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FangSong_GB2312"/>
          <w:sz w:val="36"/>
          <w:szCs w:val="36"/>
        </w:rPr>
      </w:pPr>
      <w:r>
        <w:rPr>
          <w:rFonts w:hint="eastAsia" w:eastAsia="FangSong_GB2312"/>
          <w:sz w:val="36"/>
          <w:szCs w:val="36"/>
          <w:lang w:eastAsia="zh-CN"/>
        </w:rPr>
        <w:drawing>
          <wp:anchor distT="0" distB="0" distL="114300" distR="114300" simplePos="0" relativeHeight="251735040" behindDoc="0" locked="0" layoutInCell="1" allowOverlap="1">
            <wp:simplePos x="0" y="0"/>
            <wp:positionH relativeFrom="column">
              <wp:posOffset>-499745</wp:posOffset>
            </wp:positionH>
            <wp:positionV relativeFrom="paragraph">
              <wp:posOffset>-427990</wp:posOffset>
            </wp:positionV>
            <wp:extent cx="6589395" cy="9029065"/>
            <wp:effectExtent l="0" t="0" r="1905" b="635"/>
            <wp:wrapNone/>
            <wp:docPr id="102" name="图片 218" descr="微信图片_2022082916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18" descr="微信图片_20220829163946"/>
                    <pic:cNvPicPr>
                      <a:picLocks noChangeAspect="1"/>
                    </pic:cNvPicPr>
                  </pic:nvPicPr>
                  <pic:blipFill>
                    <a:blip r:embed="rId8"/>
                    <a:stretch>
                      <a:fillRect/>
                    </a:stretch>
                  </pic:blipFill>
                  <pic:spPr>
                    <a:xfrm>
                      <a:off x="0" y="0"/>
                      <a:ext cx="6589395" cy="9029065"/>
                    </a:xfrm>
                    <a:prstGeom prst="rect">
                      <a:avLst/>
                    </a:prstGeom>
                    <a:noFill/>
                    <a:ln>
                      <a:noFill/>
                    </a:ln>
                  </pic:spPr>
                </pic:pic>
              </a:graphicData>
            </a:graphic>
          </wp:anchor>
        </w:drawing>
      </w:r>
    </w:p>
    <w:p>
      <w:pPr>
        <w:rPr>
          <w:rFonts w:eastAsia="FangSong_GB2312"/>
          <w:sz w:val="36"/>
          <w:szCs w:val="36"/>
        </w:rPr>
      </w:pPr>
    </w:p>
    <w:p>
      <w:pPr>
        <w:rPr>
          <w:rFonts w:eastAsia="FangSong_GB2312"/>
          <w:sz w:val="36"/>
          <w:szCs w:val="36"/>
        </w:rPr>
      </w:pPr>
    </w:p>
    <w:p>
      <w:pPr>
        <w:rPr>
          <w:rFonts w:eastAsia="FangSong_GB2312"/>
          <w:sz w:val="36"/>
          <w:szCs w:val="36"/>
        </w:rPr>
      </w:pPr>
    </w:p>
    <w:p>
      <w:pPr>
        <w:rPr>
          <w:rFonts w:hint="eastAsia" w:eastAsia="FangSong_GB2312"/>
          <w:sz w:val="36"/>
          <w:szCs w:val="36"/>
          <w:lang w:eastAsia="zh-CN"/>
        </w:rPr>
      </w:pPr>
    </w:p>
    <w:p>
      <w:pPr>
        <w:adjustRightInd w:val="0"/>
        <w:snapToGrid w:val="0"/>
        <w:jc w:val="center"/>
        <w:outlineLvl w:val="0"/>
        <w:rPr>
          <w:rFonts w:eastAsia="方正小标宋_GBK"/>
          <w:bCs/>
          <w:sz w:val="72"/>
          <w:szCs w:val="72"/>
        </w:rPr>
      </w:pPr>
      <w:r>
        <w:rPr>
          <w:b/>
          <w:sz w:val="72"/>
          <w:szCs w:val="72"/>
        </w:rPr>
        <w:t>建设项目环境影响报告表</w:t>
      </w:r>
    </w:p>
    <w:p>
      <w:pPr>
        <w:adjustRightInd w:val="0"/>
        <w:snapToGrid w:val="0"/>
        <w:spacing w:before="192" w:beforeLines="80"/>
        <w:jc w:val="center"/>
        <w:rPr>
          <w:b/>
          <w:sz w:val="36"/>
          <w:szCs w:val="36"/>
        </w:rPr>
      </w:pPr>
      <w:r>
        <w:rPr>
          <w:b/>
          <w:sz w:val="36"/>
          <w:szCs w:val="36"/>
        </w:rPr>
        <w:t>（污染影响类）</w:t>
      </w:r>
    </w:p>
    <w:p/>
    <w:p>
      <w:pPr>
        <w:jc w:val="center"/>
        <w:rPr>
          <w:rFonts w:eastAsia="仿宋"/>
          <w:sz w:val="52"/>
          <w:szCs w:val="52"/>
        </w:rPr>
      </w:pPr>
    </w:p>
    <w:p>
      <w:pPr>
        <w:ind w:firstLine="1040"/>
        <w:rPr>
          <w:rFonts w:eastAsia="仿宋"/>
          <w:sz w:val="44"/>
          <w:szCs w:val="44"/>
          <w:highlight w:val="yellow"/>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rPr>
          <w:b/>
          <w:bCs/>
          <w:sz w:val="30"/>
          <w:szCs w:val="30"/>
        </w:rPr>
      </w:pPr>
    </w:p>
    <w:p>
      <w:pPr>
        <w:adjustRightInd w:val="0"/>
        <w:snapToGrid w:val="0"/>
        <w:spacing w:line="288" w:lineRule="auto"/>
        <w:rPr>
          <w:b/>
          <w:bCs/>
          <w:sz w:val="30"/>
          <w:szCs w:val="30"/>
        </w:rPr>
      </w:pPr>
    </w:p>
    <w:p>
      <w:pPr>
        <w:keepNext w:val="0"/>
        <w:keepLines w:val="0"/>
        <w:pageBreakBefore w:val="0"/>
        <w:widowControl w:val="0"/>
        <w:kinsoku/>
        <w:wordWrap/>
        <w:overflowPunct/>
        <w:topLinePunct w:val="0"/>
        <w:autoSpaceDE/>
        <w:autoSpaceDN/>
        <w:bidi w:val="0"/>
        <w:adjustRightInd w:val="0"/>
        <w:snapToGrid w:val="0"/>
        <w:spacing w:line="360" w:lineRule="auto"/>
        <w:ind w:firstLine="600" w:firstLineChars="200"/>
        <w:jc w:val="center"/>
        <w:textAlignment w:val="auto"/>
        <w:rPr>
          <w:b w:val="0"/>
          <w:bCs w:val="0"/>
          <w:sz w:val="30"/>
          <w:szCs w:val="30"/>
          <w:u w:val="single"/>
        </w:rPr>
      </w:pPr>
      <w:r>
        <w:rPr>
          <w:b w:val="0"/>
          <w:bCs w:val="0"/>
          <w:sz w:val="30"/>
          <w:szCs w:val="30"/>
        </w:rPr>
        <w:t>项目名称：</w:t>
      </w:r>
      <w:r>
        <w:rPr>
          <w:rFonts w:hint="eastAsia"/>
          <w:b w:val="0"/>
          <w:bCs w:val="0"/>
          <w:sz w:val="30"/>
          <w:szCs w:val="30"/>
          <w:u w:val="single"/>
        </w:rPr>
        <w:t>新疆兵团奎屯中医院中医特色重点医院建设项目</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b w:val="0"/>
          <w:bCs w:val="0"/>
          <w:sz w:val="30"/>
          <w:szCs w:val="30"/>
        </w:rPr>
      </w:pPr>
    </w:p>
    <w:p>
      <w:pPr>
        <w:keepNext w:val="0"/>
        <w:keepLines w:val="0"/>
        <w:pageBreakBefore w:val="0"/>
        <w:widowControl w:val="0"/>
        <w:kinsoku/>
        <w:wordWrap/>
        <w:overflowPunct/>
        <w:topLinePunct w:val="0"/>
        <w:autoSpaceDE/>
        <w:autoSpaceDN/>
        <w:bidi w:val="0"/>
        <w:adjustRightInd w:val="0"/>
        <w:snapToGrid w:val="0"/>
        <w:spacing w:line="360" w:lineRule="auto"/>
        <w:ind w:firstLine="900" w:firstLineChars="300"/>
        <w:jc w:val="both"/>
        <w:textAlignment w:val="auto"/>
        <w:rPr>
          <w:rFonts w:hint="default" w:eastAsia="宋体"/>
          <w:b w:val="0"/>
          <w:bCs w:val="0"/>
          <w:sz w:val="30"/>
          <w:szCs w:val="30"/>
          <w:u w:val="single"/>
          <w:lang w:val="en-US" w:eastAsia="zh-CN"/>
        </w:rPr>
      </w:pPr>
      <w:r>
        <w:rPr>
          <w:b w:val="0"/>
          <w:bCs w:val="0"/>
          <w:sz w:val="30"/>
          <w:szCs w:val="30"/>
        </w:rPr>
        <w:t>建设单位（盖章）：</w:t>
      </w:r>
      <w:r>
        <w:rPr>
          <w:rFonts w:hint="eastAsia"/>
          <w:b w:val="0"/>
          <w:bCs w:val="0"/>
          <w:sz w:val="30"/>
          <w:szCs w:val="30"/>
          <w:u w:val="single"/>
        </w:rPr>
        <w:t>新疆</w:t>
      </w:r>
      <w:r>
        <w:rPr>
          <w:rFonts w:hint="eastAsia"/>
          <w:b w:val="0"/>
          <w:bCs w:val="0"/>
          <w:sz w:val="30"/>
          <w:szCs w:val="30"/>
          <w:u w:val="single"/>
          <w:lang w:val="en-US" w:eastAsia="zh-CN"/>
        </w:rPr>
        <w:t>生产建设</w:t>
      </w:r>
      <w:r>
        <w:rPr>
          <w:rFonts w:hint="eastAsia"/>
          <w:b w:val="0"/>
          <w:bCs w:val="0"/>
          <w:sz w:val="30"/>
          <w:szCs w:val="30"/>
          <w:u w:val="single"/>
        </w:rPr>
        <w:t>兵团奎屯中医院</w:t>
      </w:r>
      <w:r>
        <w:rPr>
          <w:rFonts w:hint="eastAsia"/>
          <w:b w:val="0"/>
          <w:bCs w:val="0"/>
          <w:sz w:val="30"/>
          <w:szCs w:val="30"/>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b w:val="0"/>
          <w:bCs w:val="0"/>
          <w:sz w:val="30"/>
          <w:szCs w:val="30"/>
        </w:rPr>
      </w:pPr>
    </w:p>
    <w:p>
      <w:pPr>
        <w:keepNext w:val="0"/>
        <w:keepLines w:val="0"/>
        <w:pageBreakBefore w:val="0"/>
        <w:widowControl w:val="0"/>
        <w:kinsoku/>
        <w:wordWrap/>
        <w:overflowPunct/>
        <w:topLinePunct w:val="0"/>
        <w:autoSpaceDE/>
        <w:autoSpaceDN/>
        <w:bidi w:val="0"/>
        <w:adjustRightInd w:val="0"/>
        <w:snapToGrid w:val="0"/>
        <w:spacing w:line="360" w:lineRule="auto"/>
        <w:ind w:firstLine="900" w:firstLineChars="300"/>
        <w:jc w:val="both"/>
        <w:textAlignment w:val="auto"/>
        <w:rPr>
          <w:rFonts w:hint="default" w:eastAsia="宋体"/>
          <w:b w:val="0"/>
          <w:bCs w:val="0"/>
          <w:sz w:val="30"/>
          <w:szCs w:val="30"/>
          <w:u w:val="single"/>
          <w:lang w:val="en-US" w:eastAsia="zh-CN"/>
        </w:rPr>
      </w:pPr>
      <w:r>
        <w:rPr>
          <w:b w:val="0"/>
          <w:bCs w:val="0"/>
          <w:sz w:val="30"/>
          <w:szCs w:val="30"/>
        </w:rPr>
        <w:t>编制日期：</w:t>
      </w:r>
      <w:r>
        <w:rPr>
          <w:rFonts w:hint="eastAsia" w:ascii="Times New Roman" w:hAnsi="Times New Roman" w:eastAsia="宋体" w:cs="Times New Roman"/>
          <w:b w:val="0"/>
          <w:bCs w:val="0"/>
          <w:sz w:val="30"/>
          <w:szCs w:val="30"/>
          <w:u w:val="single"/>
        </w:rPr>
        <w:t>2022年</w:t>
      </w:r>
      <w:r>
        <w:rPr>
          <w:rFonts w:hint="eastAsia" w:cs="Times New Roman"/>
          <w:b w:val="0"/>
          <w:bCs w:val="0"/>
          <w:sz w:val="30"/>
          <w:szCs w:val="30"/>
          <w:u w:val="single"/>
          <w:lang w:val="en-US" w:eastAsia="zh-CN"/>
        </w:rPr>
        <w:t>8</w:t>
      </w:r>
      <w:r>
        <w:rPr>
          <w:rFonts w:hint="eastAsia" w:ascii="Times New Roman" w:hAnsi="Times New Roman" w:eastAsia="宋体" w:cs="Times New Roman"/>
          <w:b w:val="0"/>
          <w:bCs w:val="0"/>
          <w:sz w:val="30"/>
          <w:szCs w:val="30"/>
          <w:u w:val="single"/>
        </w:rPr>
        <w:t>月</w:t>
      </w:r>
    </w:p>
    <w:p>
      <w:pPr>
        <w:adjustRightInd w:val="0"/>
        <w:snapToGrid w:val="0"/>
        <w:spacing w:line="288" w:lineRule="auto"/>
        <w:ind w:firstLine="1040"/>
        <w:jc w:val="center"/>
        <w:rPr>
          <w:rFonts w:eastAsia="FangSong_GB2312"/>
          <w:sz w:val="36"/>
          <w:szCs w:val="36"/>
          <w:u w:val="single"/>
        </w:rPr>
      </w:pPr>
      <w:bookmarkStart w:id="0" w:name="_Hlk57884087"/>
    </w:p>
    <w:p>
      <w:pPr>
        <w:adjustRightInd w:val="0"/>
        <w:snapToGrid w:val="0"/>
        <w:spacing w:line="288" w:lineRule="auto"/>
        <w:ind w:firstLine="1040"/>
        <w:rPr>
          <w:rFonts w:eastAsia="FangSong_GB2312"/>
          <w:sz w:val="36"/>
          <w:szCs w:val="36"/>
        </w:rPr>
      </w:pPr>
    </w:p>
    <w:p>
      <w:pPr>
        <w:adjustRightInd w:val="0"/>
        <w:snapToGrid w:val="0"/>
        <w:spacing w:line="288" w:lineRule="auto"/>
        <w:ind w:firstLine="1040"/>
        <w:rPr>
          <w:rFonts w:eastAsia="FangSong_GB2312"/>
          <w:sz w:val="36"/>
          <w:szCs w:val="36"/>
        </w:rPr>
      </w:pPr>
    </w:p>
    <w:p>
      <w:pPr>
        <w:adjustRightInd w:val="0"/>
        <w:snapToGrid w:val="0"/>
        <w:spacing w:line="288" w:lineRule="auto"/>
        <w:rPr>
          <w:rFonts w:eastAsia="FangSong_GB2312"/>
          <w:sz w:val="36"/>
          <w:szCs w:val="36"/>
        </w:rPr>
      </w:pPr>
    </w:p>
    <w:bookmarkEnd w:id="0"/>
    <w:p>
      <w:pPr>
        <w:adjustRightInd w:val="0"/>
        <w:snapToGrid w:val="0"/>
        <w:spacing w:line="288" w:lineRule="auto"/>
        <w:jc w:val="center"/>
        <w:rPr>
          <w:rFonts w:eastAsia="KaiTi_GB2312"/>
          <w:sz w:val="36"/>
          <w:szCs w:val="36"/>
        </w:rPr>
      </w:pPr>
      <w:r>
        <w:rPr>
          <w:b/>
          <w:bCs/>
          <w:sz w:val="30"/>
          <w:szCs w:val="30"/>
        </w:rPr>
        <w:t>中华人民共和国生态环境部制</w:t>
      </w:r>
    </w:p>
    <w:p>
      <w:pPr>
        <w:adjustRightInd w:val="0"/>
        <w:snapToGrid w:val="0"/>
        <w:spacing w:line="288" w:lineRule="auto"/>
        <w:ind w:firstLine="1040"/>
        <w:rPr>
          <w:rFonts w:eastAsia="FangSong_GB2312"/>
          <w:sz w:val="36"/>
          <w:szCs w:val="36"/>
        </w:rPr>
      </w:pPr>
    </w:p>
    <w:p>
      <w:pPr>
        <w:adjustRightInd w:val="0"/>
        <w:snapToGrid w:val="0"/>
        <w:spacing w:line="288" w:lineRule="auto"/>
        <w:rPr>
          <w:rFonts w:eastAsia="FangSong_GB2312"/>
          <w:sz w:val="36"/>
          <w:szCs w:val="36"/>
        </w:rPr>
        <w:sectPr>
          <w:footerReference r:id="rId3" w:type="default"/>
          <w:footerReference r:id="rId4" w:type="even"/>
          <w:pgSz w:w="11906" w:h="16838"/>
          <w:pgMar w:top="1701" w:right="1531" w:bottom="1701" w:left="1531" w:header="851" w:footer="1077" w:gutter="0"/>
          <w:pgNumType w:fmt="decimal" w:start="1"/>
          <w:cols w:space="720" w:num="1"/>
          <w:docGrid w:linePitch="312" w:charSpace="0"/>
        </w:sectPr>
      </w:pPr>
    </w:p>
    <w:p>
      <w:pPr>
        <w:pStyle w:val="24"/>
        <w:jc w:val="center"/>
        <w:outlineLvl w:val="0"/>
        <w:rPr>
          <w:rFonts w:hint="eastAsia" w:ascii="黑体" w:hAnsi="黑体" w:eastAsia="黑体"/>
          <w:snapToGrid w:val="0"/>
          <w:color w:val="auto"/>
          <w:sz w:val="30"/>
          <w:szCs w:val="30"/>
          <w:lang w:eastAsia="zh-CN"/>
        </w:rPr>
        <w:sectPr>
          <w:footerReference r:id="rId5" w:type="default"/>
          <w:pgSz w:w="11906" w:h="16838"/>
          <w:pgMar w:top="1701" w:right="1531" w:bottom="1701" w:left="1531" w:header="851" w:footer="851" w:gutter="0"/>
          <w:pgNumType w:fmt="decimal"/>
          <w:cols w:space="720" w:num="1"/>
          <w:docGrid w:linePitch="312" w:charSpace="0"/>
        </w:sectPr>
      </w:pPr>
      <w:r>
        <w:rPr>
          <w:rFonts w:hint="eastAsia" w:ascii="黑体" w:hAnsi="黑体" w:eastAsia="黑体"/>
          <w:snapToGrid w:val="0"/>
          <w:color w:val="auto"/>
          <w:sz w:val="30"/>
          <w:szCs w:val="30"/>
          <w:lang w:eastAsia="zh-CN"/>
        </w:rPr>
        <w:drawing>
          <wp:anchor distT="0" distB="0" distL="114300" distR="114300" simplePos="0" relativeHeight="251729920" behindDoc="1" locked="0" layoutInCell="1" allowOverlap="1">
            <wp:simplePos x="0" y="0"/>
            <wp:positionH relativeFrom="column">
              <wp:posOffset>-495935</wp:posOffset>
            </wp:positionH>
            <wp:positionV relativeFrom="paragraph">
              <wp:posOffset>-474980</wp:posOffset>
            </wp:positionV>
            <wp:extent cx="6741795" cy="9147810"/>
            <wp:effectExtent l="0" t="0" r="1905" b="15240"/>
            <wp:wrapNone/>
            <wp:docPr id="97" name="图片 211" descr="微信图片_2022082912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11" descr="微信图片_20220829122759"/>
                    <pic:cNvPicPr>
                      <a:picLocks noChangeAspect="1"/>
                    </pic:cNvPicPr>
                  </pic:nvPicPr>
                  <pic:blipFill>
                    <a:blip r:embed="rId9"/>
                    <a:stretch>
                      <a:fillRect/>
                    </a:stretch>
                  </pic:blipFill>
                  <pic:spPr>
                    <a:xfrm>
                      <a:off x="0" y="0"/>
                      <a:ext cx="6741795" cy="9147810"/>
                    </a:xfrm>
                    <a:prstGeom prst="rect">
                      <a:avLst/>
                    </a:prstGeom>
                    <a:noFill/>
                    <a:ln>
                      <a:noFill/>
                    </a:ln>
                  </pic:spPr>
                </pic:pic>
              </a:graphicData>
            </a:graphic>
          </wp:anchor>
        </w:drawing>
      </w:r>
      <w:r>
        <w:rPr>
          <w:rFonts w:hint="eastAsia" w:ascii="黑体" w:hAnsi="黑体" w:eastAsia="黑体"/>
          <w:snapToGrid w:val="0"/>
          <w:color w:val="auto"/>
          <w:sz w:val="30"/>
          <w:szCs w:val="30"/>
          <w:lang w:eastAsia="zh-CN"/>
        </w:rPr>
        <w:drawing>
          <wp:anchor distT="0" distB="0" distL="114300" distR="114300" simplePos="0" relativeHeight="251734016" behindDoc="0" locked="0" layoutInCell="1" allowOverlap="1">
            <wp:simplePos x="0" y="0"/>
            <wp:positionH relativeFrom="column">
              <wp:posOffset>2047875</wp:posOffset>
            </wp:positionH>
            <wp:positionV relativeFrom="paragraph">
              <wp:posOffset>3894455</wp:posOffset>
            </wp:positionV>
            <wp:extent cx="1705610" cy="1601470"/>
            <wp:effectExtent l="0" t="0" r="8890" b="17780"/>
            <wp:wrapNone/>
            <wp:docPr id="101" name="图片 217" descr="微信图片_2022082912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17" descr="微信图片_20220829123648"/>
                    <pic:cNvPicPr>
                      <a:picLocks noChangeAspect="1"/>
                    </pic:cNvPicPr>
                  </pic:nvPicPr>
                  <pic:blipFill>
                    <a:blip r:embed="rId10"/>
                    <a:stretch>
                      <a:fillRect/>
                    </a:stretch>
                  </pic:blipFill>
                  <pic:spPr>
                    <a:xfrm>
                      <a:off x="0" y="0"/>
                      <a:ext cx="1705610" cy="1601470"/>
                    </a:xfrm>
                    <a:prstGeom prst="rect">
                      <a:avLst/>
                    </a:prstGeom>
                    <a:noFill/>
                    <a:ln>
                      <a:noFill/>
                    </a:ln>
                  </pic:spPr>
                </pic:pic>
              </a:graphicData>
            </a:graphic>
          </wp:anchor>
        </w:drawing>
      </w:r>
      <w:r>
        <w:rPr>
          <w:rFonts w:hint="eastAsia" w:ascii="黑体" w:hAnsi="黑体" w:eastAsia="黑体"/>
          <w:snapToGrid w:val="0"/>
          <w:color w:val="auto"/>
          <w:sz w:val="30"/>
          <w:szCs w:val="30"/>
          <w:lang w:eastAsia="zh-CN"/>
        </w:rPr>
        <w:drawing>
          <wp:anchor distT="0" distB="0" distL="114300" distR="114300" simplePos="0" relativeHeight="251731968" behindDoc="0" locked="0" layoutInCell="1" allowOverlap="1">
            <wp:simplePos x="0" y="0"/>
            <wp:positionH relativeFrom="column">
              <wp:posOffset>4766945</wp:posOffset>
            </wp:positionH>
            <wp:positionV relativeFrom="paragraph">
              <wp:posOffset>7407275</wp:posOffset>
            </wp:positionV>
            <wp:extent cx="571500" cy="383540"/>
            <wp:effectExtent l="0" t="0" r="0" b="16510"/>
            <wp:wrapNone/>
            <wp:docPr id="99" name="图片 215" descr="微信图片_2022082912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15" descr="微信图片_20220829122816"/>
                    <pic:cNvPicPr>
                      <a:picLocks noChangeAspect="1"/>
                    </pic:cNvPicPr>
                  </pic:nvPicPr>
                  <pic:blipFill>
                    <a:blip r:embed="rId11"/>
                    <a:stretch>
                      <a:fillRect/>
                    </a:stretch>
                  </pic:blipFill>
                  <pic:spPr>
                    <a:xfrm>
                      <a:off x="0" y="0"/>
                      <a:ext cx="571500" cy="383540"/>
                    </a:xfrm>
                    <a:prstGeom prst="rect">
                      <a:avLst/>
                    </a:prstGeom>
                    <a:noFill/>
                    <a:ln>
                      <a:noFill/>
                    </a:ln>
                  </pic:spPr>
                </pic:pic>
              </a:graphicData>
            </a:graphic>
          </wp:anchor>
        </w:drawing>
      </w:r>
      <w:r>
        <w:rPr>
          <w:rFonts w:hint="eastAsia" w:ascii="黑体" w:hAnsi="黑体" w:eastAsia="黑体"/>
          <w:snapToGrid w:val="0"/>
          <w:color w:val="auto"/>
          <w:sz w:val="30"/>
          <w:szCs w:val="30"/>
          <w:lang w:eastAsia="zh-CN"/>
        </w:rPr>
        <w:drawing>
          <wp:anchor distT="0" distB="0" distL="114300" distR="114300" simplePos="0" relativeHeight="251732992" behindDoc="0" locked="0" layoutInCell="1" allowOverlap="1">
            <wp:simplePos x="0" y="0"/>
            <wp:positionH relativeFrom="column">
              <wp:posOffset>4812030</wp:posOffset>
            </wp:positionH>
            <wp:positionV relativeFrom="paragraph">
              <wp:posOffset>7070090</wp:posOffset>
            </wp:positionV>
            <wp:extent cx="528955" cy="346075"/>
            <wp:effectExtent l="0" t="0" r="0" b="16510"/>
            <wp:wrapNone/>
            <wp:docPr id="100" name="图片 216" descr="微信图片_2022082912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16" descr="微信图片_20220829122812"/>
                    <pic:cNvPicPr>
                      <a:picLocks noChangeAspect="1"/>
                    </pic:cNvPicPr>
                  </pic:nvPicPr>
                  <pic:blipFill>
                    <a:blip r:embed="rId12"/>
                    <a:stretch>
                      <a:fillRect/>
                    </a:stretch>
                  </pic:blipFill>
                  <pic:spPr>
                    <a:xfrm>
                      <a:off x="0" y="0"/>
                      <a:ext cx="528955" cy="346075"/>
                    </a:xfrm>
                    <a:prstGeom prst="rect">
                      <a:avLst/>
                    </a:prstGeom>
                    <a:noFill/>
                    <a:ln>
                      <a:noFill/>
                    </a:ln>
                  </pic:spPr>
                </pic:pic>
              </a:graphicData>
            </a:graphic>
          </wp:anchor>
        </w:drawing>
      </w:r>
      <w:r>
        <w:rPr>
          <w:rFonts w:hint="eastAsia" w:ascii="黑体" w:hAnsi="黑体" w:eastAsia="黑体"/>
          <w:snapToGrid w:val="0"/>
          <w:color w:val="auto"/>
          <w:sz w:val="30"/>
          <w:szCs w:val="30"/>
          <w:lang w:eastAsia="zh-CN"/>
        </w:rPr>
        <w:drawing>
          <wp:anchor distT="0" distB="0" distL="114300" distR="114300" simplePos="0" relativeHeight="251730944" behindDoc="0" locked="0" layoutInCell="1" allowOverlap="1">
            <wp:simplePos x="0" y="0"/>
            <wp:positionH relativeFrom="column">
              <wp:posOffset>4758055</wp:posOffset>
            </wp:positionH>
            <wp:positionV relativeFrom="paragraph">
              <wp:posOffset>6002020</wp:posOffset>
            </wp:positionV>
            <wp:extent cx="571500" cy="383540"/>
            <wp:effectExtent l="0" t="0" r="0" b="16510"/>
            <wp:wrapNone/>
            <wp:docPr id="98" name="图片 214" descr="微信图片_2022082912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14" descr="微信图片_20220829122816"/>
                    <pic:cNvPicPr>
                      <a:picLocks noChangeAspect="1"/>
                    </pic:cNvPicPr>
                  </pic:nvPicPr>
                  <pic:blipFill>
                    <a:blip r:embed="rId11"/>
                    <a:stretch>
                      <a:fillRect/>
                    </a:stretch>
                  </pic:blipFill>
                  <pic:spPr>
                    <a:xfrm>
                      <a:off x="0" y="0"/>
                      <a:ext cx="571500" cy="383540"/>
                    </a:xfrm>
                    <a:prstGeom prst="rect">
                      <a:avLst/>
                    </a:prstGeom>
                    <a:noFill/>
                    <a:ln>
                      <a:noFill/>
                    </a:ln>
                  </pic:spPr>
                </pic:pic>
              </a:graphicData>
            </a:graphic>
          </wp:anchor>
        </w:drawing>
      </w:r>
    </w:p>
    <w:tbl>
      <w:tblPr>
        <w:tblStyle w:val="27"/>
        <w:tblW w:w="0" w:type="auto"/>
        <w:tblInd w:w="0" w:type="dxa"/>
        <w:tblLayout w:type="fixed"/>
        <w:tblCellMar>
          <w:top w:w="0" w:type="dxa"/>
          <w:left w:w="108" w:type="dxa"/>
          <w:bottom w:w="0" w:type="dxa"/>
          <w:right w:w="108" w:type="dxa"/>
        </w:tblCellMar>
      </w:tblPr>
      <w:tblGrid>
        <w:gridCol w:w="4442"/>
        <w:gridCol w:w="4440"/>
      </w:tblGrid>
      <w:tr>
        <w:tblPrEx>
          <w:tblCellMar>
            <w:top w:w="0" w:type="dxa"/>
            <w:left w:w="108" w:type="dxa"/>
            <w:bottom w:w="0" w:type="dxa"/>
            <w:right w:w="108" w:type="dxa"/>
          </w:tblCellMar>
        </w:tblPrEx>
        <w:trPr>
          <w:trHeight w:val="3417" w:hRule="atLeast"/>
        </w:trPr>
        <w:tc>
          <w:tcPr>
            <w:tcW w:w="4442" w:type="dxa"/>
            <w:noWrap w:val="0"/>
            <w:vAlign w:val="center"/>
          </w:tcPr>
          <w:p>
            <w:pPr>
              <w:jc w:val="center"/>
              <w:rPr>
                <w:rFonts w:hint="eastAsia" w:ascii="宋体" w:hAnsi="宋体" w:eastAsia="宋体" w:cs="宋体"/>
                <w:b/>
                <w:color w:val="FF0000"/>
                <w:sz w:val="32"/>
                <w:szCs w:val="32"/>
                <w:lang w:eastAsia="zh-CN"/>
              </w:rPr>
            </w:pPr>
          </w:p>
        </w:tc>
        <w:tc>
          <w:tcPr>
            <w:tcW w:w="4440" w:type="dxa"/>
            <w:noWrap w:val="0"/>
            <w:vAlign w:val="center"/>
          </w:tcPr>
          <w:p>
            <w:pPr>
              <w:jc w:val="center"/>
              <w:rPr>
                <w:rFonts w:hint="eastAsia" w:ascii="宋体" w:hAnsi="宋体" w:eastAsia="宋体" w:cs="宋体"/>
                <w:b/>
                <w:color w:val="FF0000"/>
                <w:sz w:val="32"/>
                <w:szCs w:val="32"/>
                <w:lang w:eastAsia="zh-CN"/>
              </w:rPr>
            </w:pPr>
          </w:p>
        </w:tc>
      </w:tr>
      <w:tr>
        <w:tblPrEx>
          <w:tblCellMar>
            <w:top w:w="0" w:type="dxa"/>
            <w:left w:w="108" w:type="dxa"/>
            <w:bottom w:w="0" w:type="dxa"/>
            <w:right w:w="108" w:type="dxa"/>
          </w:tblCellMar>
        </w:tblPrEx>
        <w:trPr>
          <w:trHeight w:val="578" w:hRule="atLeast"/>
        </w:trPr>
        <w:tc>
          <w:tcPr>
            <w:tcW w:w="444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color w:val="FF0000"/>
                <w:sz w:val="24"/>
                <w:szCs w:val="24"/>
              </w:rPr>
            </w:pPr>
            <w:r>
              <w:rPr>
                <w:rFonts w:hint="default" w:ascii="Times New Roman" w:hAnsi="Times New Roman" w:eastAsia="仿宋_GB2312" w:cs="Times New Roman"/>
                <w:b/>
                <w:color w:val="auto"/>
                <w:szCs w:val="21"/>
              </w:rPr>
              <w:t>项目区现状</w:t>
            </w:r>
          </w:p>
        </w:tc>
        <w:tc>
          <w:tcPr>
            <w:tcW w:w="444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仿宋_GB2312" w:cs="Times New Roman"/>
                <w:b/>
                <w:color w:val="auto"/>
                <w:sz w:val="24"/>
                <w:szCs w:val="24"/>
                <w:lang w:val="en-US" w:eastAsia="zh-CN"/>
              </w:rPr>
            </w:pPr>
            <w:r>
              <w:rPr>
                <w:rFonts w:hint="eastAsia" w:ascii="Times New Roman" w:hAnsi="Times New Roman" w:eastAsia="仿宋_GB2312" w:cs="Times New Roman"/>
                <w:b/>
                <w:color w:val="auto"/>
                <w:szCs w:val="21"/>
                <w:lang w:val="en-US" w:eastAsia="zh-CN"/>
              </w:rPr>
              <w:t>项目区现状</w:t>
            </w:r>
          </w:p>
        </w:tc>
      </w:tr>
      <w:tr>
        <w:tblPrEx>
          <w:tblCellMar>
            <w:top w:w="0" w:type="dxa"/>
            <w:left w:w="108" w:type="dxa"/>
            <w:bottom w:w="0" w:type="dxa"/>
            <w:right w:w="108" w:type="dxa"/>
          </w:tblCellMar>
        </w:tblPrEx>
        <w:trPr>
          <w:trHeight w:val="3426" w:hRule="atLeast"/>
        </w:trPr>
        <w:tc>
          <w:tcPr>
            <w:tcW w:w="4442" w:type="dxa"/>
            <w:noWrap w:val="0"/>
            <w:vAlign w:val="center"/>
          </w:tcPr>
          <w:p>
            <w:pPr>
              <w:jc w:val="center"/>
              <w:rPr>
                <w:rFonts w:hint="default" w:ascii="Times New Roman" w:hAnsi="Times New Roman" w:eastAsia="仿宋_GB2312" w:cs="Times New Roman"/>
                <w:b/>
                <w:color w:val="FF0000"/>
                <w:sz w:val="32"/>
                <w:szCs w:val="32"/>
                <w:lang w:eastAsia="zh-CN"/>
              </w:rPr>
            </w:pPr>
          </w:p>
        </w:tc>
        <w:tc>
          <w:tcPr>
            <w:tcW w:w="4440" w:type="dxa"/>
            <w:noWrap w:val="0"/>
            <w:vAlign w:val="center"/>
          </w:tcPr>
          <w:p>
            <w:pPr>
              <w:jc w:val="center"/>
              <w:rPr>
                <w:rFonts w:hint="default" w:ascii="Times New Roman" w:hAnsi="Times New Roman" w:eastAsia="仿宋_GB2312" w:cs="Times New Roman"/>
                <w:b/>
                <w:color w:val="auto"/>
                <w:sz w:val="32"/>
                <w:szCs w:val="32"/>
                <w:lang w:eastAsia="zh-CN"/>
              </w:rPr>
            </w:pPr>
          </w:p>
        </w:tc>
      </w:tr>
      <w:tr>
        <w:tblPrEx>
          <w:tblCellMar>
            <w:top w:w="0" w:type="dxa"/>
            <w:left w:w="108" w:type="dxa"/>
            <w:bottom w:w="0" w:type="dxa"/>
            <w:right w:w="108" w:type="dxa"/>
          </w:tblCellMar>
        </w:tblPrEx>
        <w:trPr>
          <w:trHeight w:val="577" w:hRule="atLeast"/>
        </w:trPr>
        <w:tc>
          <w:tcPr>
            <w:tcW w:w="4442" w:type="dxa"/>
            <w:noWrap w:val="0"/>
            <w:vAlign w:val="center"/>
          </w:tcPr>
          <w:p>
            <w:pPr>
              <w:spacing w:line="240" w:lineRule="auto"/>
              <w:jc w:val="center"/>
              <w:rPr>
                <w:rFonts w:hint="eastAsia" w:ascii="Times New Roman" w:hAnsi="Times New Roman" w:eastAsia="仿宋_GB2312" w:cs="Times New Roman"/>
                <w:b/>
                <w:color w:val="FF0000"/>
                <w:sz w:val="32"/>
                <w:szCs w:val="32"/>
                <w:lang w:eastAsia="zh-CN"/>
              </w:rPr>
            </w:pPr>
            <w:r>
              <w:rPr>
                <w:rFonts w:hint="default" w:ascii="Times New Roman" w:hAnsi="Times New Roman" w:eastAsia="仿宋_GB2312" w:cs="Times New Roman"/>
                <w:b/>
                <w:color w:val="auto"/>
                <w:szCs w:val="21"/>
              </w:rPr>
              <w:t>项目区</w:t>
            </w:r>
            <w:r>
              <w:rPr>
                <w:rFonts w:hint="eastAsia" w:ascii="Times New Roman" w:hAnsi="Times New Roman" w:eastAsia="仿宋_GB2312" w:cs="Times New Roman"/>
                <w:b/>
                <w:color w:val="auto"/>
                <w:szCs w:val="21"/>
                <w:lang w:val="en-US" w:eastAsia="zh-CN"/>
              </w:rPr>
              <w:t>南侧</w:t>
            </w:r>
          </w:p>
        </w:tc>
        <w:tc>
          <w:tcPr>
            <w:tcW w:w="4440" w:type="dxa"/>
            <w:noWrap w:val="0"/>
            <w:vAlign w:val="center"/>
          </w:tcPr>
          <w:p>
            <w:pPr>
              <w:spacing w:line="240" w:lineRule="auto"/>
              <w:jc w:val="center"/>
              <w:rPr>
                <w:rFonts w:hint="eastAsia" w:ascii="Times New Roman" w:hAnsi="Times New Roman" w:eastAsia="仿宋_GB2312" w:cs="Times New Roman"/>
                <w:b/>
                <w:color w:val="auto"/>
                <w:sz w:val="32"/>
                <w:szCs w:val="32"/>
                <w:lang w:eastAsia="zh-CN"/>
              </w:rPr>
            </w:pPr>
            <w:r>
              <w:rPr>
                <w:rFonts w:hint="default" w:ascii="Times New Roman" w:hAnsi="Times New Roman" w:eastAsia="仿宋_GB2312" w:cs="Times New Roman"/>
                <w:b/>
                <w:color w:val="auto"/>
                <w:szCs w:val="21"/>
              </w:rPr>
              <w:t>项目区</w:t>
            </w:r>
            <w:r>
              <w:rPr>
                <w:rFonts w:hint="eastAsia" w:ascii="Times New Roman" w:hAnsi="Times New Roman" w:eastAsia="仿宋_GB2312" w:cs="Times New Roman"/>
                <w:b/>
                <w:color w:val="auto"/>
                <w:szCs w:val="21"/>
                <w:lang w:val="en-US" w:eastAsia="zh-CN"/>
              </w:rPr>
              <w:t>北侧</w:t>
            </w:r>
          </w:p>
        </w:tc>
      </w:tr>
      <w:tr>
        <w:tblPrEx>
          <w:tblCellMar>
            <w:top w:w="0" w:type="dxa"/>
            <w:left w:w="108" w:type="dxa"/>
            <w:bottom w:w="0" w:type="dxa"/>
            <w:right w:w="108" w:type="dxa"/>
          </w:tblCellMar>
        </w:tblPrEx>
        <w:trPr>
          <w:trHeight w:val="3341" w:hRule="atLeast"/>
        </w:trPr>
        <w:tc>
          <w:tcPr>
            <w:tcW w:w="4442" w:type="dxa"/>
            <w:noWrap w:val="0"/>
            <w:vAlign w:val="center"/>
          </w:tcPr>
          <w:p>
            <w:pPr>
              <w:jc w:val="center"/>
              <w:rPr>
                <w:rFonts w:hint="eastAsia" w:ascii="宋体" w:hAnsi="宋体" w:eastAsia="宋体" w:cs="宋体"/>
                <w:b/>
                <w:color w:val="FF0000"/>
                <w:sz w:val="32"/>
                <w:szCs w:val="32"/>
                <w:lang w:eastAsia="zh-CN"/>
              </w:rPr>
            </w:pPr>
          </w:p>
        </w:tc>
        <w:tc>
          <w:tcPr>
            <w:tcW w:w="4440" w:type="dxa"/>
            <w:noWrap w:val="0"/>
            <w:vAlign w:val="center"/>
          </w:tcPr>
          <w:p>
            <w:pPr>
              <w:jc w:val="center"/>
              <w:rPr>
                <w:rFonts w:hint="eastAsia" w:ascii="宋体" w:hAnsi="宋体" w:eastAsia="宋体" w:cs="宋体"/>
                <w:b/>
                <w:color w:val="FF0000"/>
                <w:sz w:val="32"/>
                <w:szCs w:val="32"/>
                <w:lang w:eastAsia="zh-CN"/>
              </w:rPr>
            </w:pPr>
          </w:p>
        </w:tc>
      </w:tr>
      <w:tr>
        <w:tblPrEx>
          <w:tblCellMar>
            <w:top w:w="0" w:type="dxa"/>
            <w:left w:w="108" w:type="dxa"/>
            <w:bottom w:w="0" w:type="dxa"/>
            <w:right w:w="108" w:type="dxa"/>
          </w:tblCellMar>
        </w:tblPrEx>
        <w:trPr>
          <w:trHeight w:val="742" w:hRule="atLeast"/>
        </w:trPr>
        <w:tc>
          <w:tcPr>
            <w:tcW w:w="4442" w:type="dxa"/>
            <w:noWrap w:val="0"/>
            <w:vAlign w:val="center"/>
          </w:tcPr>
          <w:p>
            <w:pPr>
              <w:spacing w:line="240" w:lineRule="auto"/>
              <w:jc w:val="center"/>
              <w:rPr>
                <w:rFonts w:hint="eastAsia" w:ascii="Times New Roman" w:hAnsi="Times New Roman" w:eastAsia="仿宋_GB2312" w:cs="Times New Roman"/>
                <w:b/>
                <w:color w:val="auto"/>
                <w:sz w:val="32"/>
                <w:szCs w:val="32"/>
                <w:lang w:eastAsia="zh-CN"/>
              </w:rPr>
            </w:pPr>
            <w:r>
              <w:rPr>
                <w:rFonts w:hint="default" w:ascii="Times New Roman" w:hAnsi="Times New Roman" w:eastAsia="仿宋_GB2312" w:cs="Times New Roman"/>
                <w:b/>
                <w:color w:val="auto"/>
                <w:szCs w:val="21"/>
              </w:rPr>
              <w:t xml:space="preserve"> 项目区</w:t>
            </w:r>
            <w:r>
              <w:rPr>
                <w:rFonts w:hint="eastAsia" w:ascii="Times New Roman" w:hAnsi="Times New Roman" w:eastAsia="仿宋_GB2312" w:cs="Times New Roman"/>
                <w:b/>
                <w:color w:val="auto"/>
                <w:szCs w:val="21"/>
                <w:lang w:val="en-US" w:eastAsia="zh-CN"/>
              </w:rPr>
              <w:t>东侧</w:t>
            </w:r>
          </w:p>
        </w:tc>
        <w:tc>
          <w:tcPr>
            <w:tcW w:w="4440" w:type="dxa"/>
            <w:noWrap w:val="0"/>
            <w:vAlign w:val="center"/>
          </w:tcPr>
          <w:p>
            <w:pPr>
              <w:spacing w:line="240" w:lineRule="auto"/>
              <w:jc w:val="center"/>
              <w:rPr>
                <w:rFonts w:hint="default" w:ascii="Times New Roman" w:hAnsi="Times New Roman" w:eastAsia="仿宋_GB2312" w:cs="Times New Roman"/>
                <w:b/>
                <w:color w:val="auto"/>
                <w:sz w:val="32"/>
                <w:szCs w:val="32"/>
                <w:lang w:val="en-US"/>
              </w:rPr>
            </w:pPr>
            <w:r>
              <w:rPr>
                <w:rFonts w:hint="default" w:ascii="Times New Roman" w:hAnsi="Times New Roman" w:eastAsia="仿宋_GB2312" w:cs="Times New Roman"/>
                <w:b/>
                <w:color w:val="auto"/>
                <w:szCs w:val="21"/>
              </w:rPr>
              <w:t>项目区</w:t>
            </w:r>
            <w:r>
              <w:rPr>
                <w:rFonts w:hint="eastAsia" w:ascii="Times New Roman" w:hAnsi="Times New Roman" w:eastAsia="仿宋_GB2312" w:cs="Times New Roman"/>
                <w:b/>
                <w:color w:val="auto"/>
                <w:szCs w:val="21"/>
                <w:lang w:val="en-US" w:eastAsia="zh-CN"/>
              </w:rPr>
              <w:t>西侧</w:t>
            </w:r>
          </w:p>
        </w:tc>
      </w:tr>
      <w:tr>
        <w:tblPrEx>
          <w:tblCellMar>
            <w:top w:w="0" w:type="dxa"/>
            <w:left w:w="108" w:type="dxa"/>
            <w:bottom w:w="0" w:type="dxa"/>
            <w:right w:w="108" w:type="dxa"/>
          </w:tblCellMar>
        </w:tblPrEx>
        <w:trPr>
          <w:trHeight w:val="1016" w:hRule="atLeast"/>
        </w:trPr>
        <w:tc>
          <w:tcPr>
            <w:tcW w:w="8882" w:type="dxa"/>
            <w:gridSpan w:val="2"/>
            <w:noWrap w:val="0"/>
            <w:vAlign w:val="center"/>
          </w:tcPr>
          <w:p>
            <w:pPr>
              <w:jc w:val="center"/>
              <w:rPr>
                <w:rFonts w:hint="default" w:ascii="Times New Roman" w:hAnsi="Times New Roman" w:eastAsia="仿宋_GB2312" w:cs="Times New Roman"/>
                <w:b/>
                <w:color w:val="FF0000"/>
                <w:sz w:val="28"/>
                <w:szCs w:val="28"/>
              </w:rPr>
            </w:pPr>
          </w:p>
          <w:p>
            <w:pPr>
              <w:jc w:val="center"/>
              <w:rPr>
                <w:rFonts w:hint="default" w:ascii="Times New Roman" w:hAnsi="Times New Roman" w:eastAsia="仿宋_GB2312" w:cs="Times New Roman"/>
                <w:b/>
                <w:color w:val="FF0000"/>
                <w:sz w:val="32"/>
                <w:szCs w:val="32"/>
              </w:rPr>
            </w:pPr>
            <w:r>
              <w:rPr>
                <w:rFonts w:hint="default" w:ascii="Times New Roman" w:hAnsi="Times New Roman" w:eastAsia="仿宋_GB2312" w:cs="Times New Roman"/>
                <w:b/>
                <w:sz w:val="28"/>
                <w:szCs w:val="28"/>
              </w:rPr>
              <w:t>现场照片</w:t>
            </w:r>
          </w:p>
        </w:tc>
      </w:tr>
    </w:tbl>
    <w:p>
      <w:pPr>
        <w:pStyle w:val="24"/>
        <w:jc w:val="center"/>
        <w:outlineLvl w:val="0"/>
        <w:rPr>
          <w:rFonts w:hint="eastAsia" w:ascii="黑体" w:hAnsi="黑体" w:eastAsia="黑体"/>
          <w:snapToGrid w:val="0"/>
          <w:color w:val="auto"/>
          <w:sz w:val="30"/>
          <w:szCs w:val="30"/>
        </w:rPr>
        <w:sectPr>
          <w:pgSz w:w="11906" w:h="16838"/>
          <w:pgMar w:top="1701" w:right="1531" w:bottom="1701" w:left="1531" w:header="851" w:footer="851" w:gutter="0"/>
          <w:pgNumType w:fmt="decimal"/>
          <w:cols w:space="720" w:num="1"/>
          <w:docGrid w:linePitch="312" w:charSpace="0"/>
        </w:sectPr>
      </w:pPr>
    </w:p>
    <w:p>
      <w:pPr>
        <w:pStyle w:val="24"/>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04"/>
        <w:gridCol w:w="2515"/>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366" w:type="dxa"/>
            <w:gridSpan w:val="3"/>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sz w:val="24"/>
              </w:rPr>
              <w:t>新疆兵团奎屯中医院中医特色重点医院建设项目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366"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lang w:val="en-US" w:eastAsia="zh-CN"/>
              </w:rPr>
              <w:t>2109-654003-11-01-880855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系人</w:t>
            </w:r>
          </w:p>
        </w:tc>
        <w:tc>
          <w:tcPr>
            <w:tcW w:w="2515" w:type="dxa"/>
            <w:noWrap w:val="0"/>
            <w:vAlign w:val="center"/>
          </w:tcPr>
          <w:p>
            <w:pPr>
              <w:adjustRightInd w:val="0"/>
              <w:snapToGrid w:val="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rPr>
              <w:t>张</w:t>
            </w:r>
            <w:r>
              <w:rPr>
                <w:rFonts w:hint="eastAsia" w:cs="Times New Roman"/>
                <w:color w:val="auto"/>
                <w:sz w:val="24"/>
                <w:lang w:val="en-US" w:eastAsia="zh-CN"/>
              </w:rPr>
              <w:t>岩</w:t>
            </w:r>
          </w:p>
        </w:tc>
        <w:tc>
          <w:tcPr>
            <w:tcW w:w="221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联系方式</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lang w:val="en-US" w:eastAsia="zh-CN"/>
              </w:rPr>
              <w:t>18799266653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366"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rPr>
              <w:t>第七师胡杨河市赤水南街以西、井冈山东路以南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366" w:type="dxa"/>
            <w:gridSpan w:val="3"/>
            <w:noWrap w:val="0"/>
            <w:vAlign w:val="center"/>
          </w:tcPr>
          <w:p>
            <w:pPr>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sz w:val="24"/>
              </w:rPr>
              <w:t>（东经：84°50′</w:t>
            </w:r>
            <w:r>
              <w:rPr>
                <w:rFonts w:hint="eastAsia" w:ascii="Times New Roman" w:hAnsi="Times New Roman" w:eastAsia="宋体" w:cs="Times New Roman"/>
                <w:color w:val="auto"/>
                <w:sz w:val="24"/>
                <w:lang w:val="en-US" w:eastAsia="zh-CN"/>
              </w:rPr>
              <w:t>31</w:t>
            </w:r>
            <w:r>
              <w:rPr>
                <w:rFonts w:hint="default" w:ascii="Times New Roman" w:hAnsi="Times New Roman" w:eastAsia="宋体" w:cs="Times New Roman"/>
                <w:color w:val="auto"/>
                <w:sz w:val="24"/>
              </w:rPr>
              <w:t>.1</w:t>
            </w:r>
            <w:r>
              <w:rPr>
                <w:rFonts w:hint="eastAsia" w:ascii="Times New Roman" w:hAnsi="Times New Roman" w:eastAsia="宋体" w:cs="Times New Roman"/>
                <w:color w:val="auto"/>
                <w:sz w:val="24"/>
                <w:lang w:val="en-US" w:eastAsia="zh-CN"/>
              </w:rPr>
              <w:t>78</w:t>
            </w:r>
            <w:r>
              <w:rPr>
                <w:rFonts w:hint="default" w:ascii="Times New Roman" w:hAnsi="Times New Roman" w:eastAsia="宋体" w:cs="Times New Roman"/>
                <w:color w:val="auto"/>
                <w:sz w:val="24"/>
              </w:rPr>
              <w:t>″，北纬</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44°41′</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818</w:t>
            </w:r>
            <w:r>
              <w:rPr>
                <w:rFonts w:hint="default" w:ascii="Times New Roman" w:hAnsi="Times New Roman" w:eastAsia="宋体" w:cs="Times New Roman"/>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0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国民经济</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515" w:type="dxa"/>
            <w:noWrap w:val="0"/>
            <w:vAlign w:val="center"/>
          </w:tcPr>
          <w:p>
            <w:pPr>
              <w:adjustRightInd w:val="0"/>
              <w:snapToGrid w:val="0"/>
              <w:jc w:val="center"/>
              <w:rPr>
                <w:rFonts w:hint="default"/>
                <w:color w:val="auto"/>
              </w:rPr>
            </w:pPr>
            <w:r>
              <w:rPr>
                <w:rFonts w:hint="default"/>
                <w:color w:val="auto"/>
              </w:rPr>
              <w:t>Q8411综合医院</w:t>
            </w:r>
          </w:p>
          <w:p>
            <w:pPr>
              <w:pStyle w:val="12"/>
              <w:jc w:val="center"/>
              <w:rPr>
                <w:rFonts w:hint="default"/>
                <w:color w:val="auto"/>
                <w:lang w:val="en-US" w:eastAsia="zh-CN"/>
              </w:rPr>
            </w:pPr>
            <w:r>
              <w:rPr>
                <w:rFonts w:hint="eastAsia" w:ascii="Times New Roman" w:hAnsi="Times New Roman" w:eastAsia="宋体" w:cs="Times New Roman"/>
                <w:color w:val="auto"/>
                <w:kern w:val="2"/>
                <w:sz w:val="21"/>
                <w:szCs w:val="24"/>
                <w:lang w:val="en-US" w:eastAsia="zh-CN" w:bidi="ar-SA"/>
              </w:rPr>
              <w:t>C2740 中成药生产</w:t>
            </w:r>
          </w:p>
        </w:tc>
        <w:tc>
          <w:tcPr>
            <w:tcW w:w="2212" w:type="dxa"/>
            <w:noWrap w:val="0"/>
            <w:vAlign w:val="center"/>
          </w:tcPr>
          <w:p>
            <w:pPr>
              <w:adjustRightInd w:val="0"/>
              <w:snapToGrid w:val="0"/>
              <w:jc w:val="center"/>
              <w:rPr>
                <w:rFonts w:hint="default" w:ascii="Times New Roman" w:hAnsi="Times New Roman" w:cs="Times New Roman"/>
                <w:color w:val="auto"/>
                <w:sz w:val="24"/>
                <w:szCs w:val="24"/>
              </w:rPr>
            </w:pPr>
            <w:bookmarkStart w:id="1" w:name="_Hlk49843745"/>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bookmarkEnd w:id="1"/>
          </w:p>
        </w:tc>
        <w:tc>
          <w:tcPr>
            <w:tcW w:w="263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rPr>
            </w:pPr>
            <w:r>
              <w:rPr>
                <w:rFonts w:hint="default"/>
                <w:color w:val="auto"/>
              </w:rPr>
              <w:t>四十九、卫生、108医院841；其他（住院床位20张以下的除外）</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color w:val="auto"/>
              </w:rPr>
            </w:pPr>
            <w:r>
              <w:rPr>
                <w:rFonts w:hint="eastAsia" w:ascii="Times New Roman" w:hAnsi="Times New Roman" w:eastAsia="宋体" w:cs="Times New Roman"/>
                <w:color w:val="auto"/>
                <w:kern w:val="2"/>
                <w:sz w:val="21"/>
                <w:szCs w:val="24"/>
                <w:lang w:val="en-US" w:eastAsia="zh-CN" w:bidi="ar-SA"/>
              </w:rPr>
              <w:t>二十四、医药制造业</w:t>
            </w:r>
            <w:r>
              <w:rPr>
                <w:rFonts w:hint="eastAsia" w:cs="Times New Roman"/>
                <w:color w:val="auto"/>
                <w:kern w:val="2"/>
                <w:sz w:val="21"/>
                <w:szCs w:val="24"/>
                <w:lang w:val="en-US" w:eastAsia="zh-CN" w:bidi="ar-SA"/>
              </w:rPr>
              <w:t>27</w:t>
            </w:r>
            <w:r>
              <w:rPr>
                <w:rFonts w:hint="eastAsia" w:ascii="Times New Roman" w:hAnsi="Times New Roman" w:eastAsia="宋体" w:cs="Times New Roman"/>
                <w:color w:val="auto"/>
                <w:kern w:val="2"/>
                <w:sz w:val="21"/>
                <w:szCs w:val="24"/>
                <w:lang w:val="en-US" w:eastAsia="zh-CN" w:bidi="ar-SA"/>
              </w:rPr>
              <w:t>、48 中成药生产274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0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515" w:type="dxa"/>
            <w:noWrap w:val="0"/>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sym w:font="Wingdings 2" w:char="0052"/>
            </w:r>
            <w:r>
              <w:rPr>
                <w:rFonts w:hint="default" w:ascii="Times New Roman" w:hAnsi="Times New Roman" w:cs="Times New Roman"/>
                <w:color w:val="auto"/>
                <w:sz w:val="24"/>
                <w:szCs w:val="24"/>
              </w:rPr>
              <w:t>新建（迁建）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□改建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□扩建</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□技术改造</w:t>
            </w:r>
          </w:p>
        </w:tc>
        <w:tc>
          <w:tcPr>
            <w:tcW w:w="221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2639" w:type="dxa"/>
            <w:noWrap w:val="0"/>
            <w:vAlign w:val="center"/>
          </w:tcPr>
          <w:p>
            <w:pPr>
              <w:keepNext w:val="0"/>
              <w:keepLines w:val="0"/>
              <w:pageBreakBefore w:val="0"/>
              <w:widowControl w:val="0"/>
              <w:kinsoku/>
              <w:wordWrap/>
              <w:overflowPunct/>
              <w:topLinePunct w:val="0"/>
              <w:bidi w:val="0"/>
              <w:spacing w:line="240" w:lineRule="auto"/>
              <w:jc w:val="left"/>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首次申报项目</w:t>
            </w:r>
          </w:p>
          <w:p>
            <w:pPr>
              <w:keepNext w:val="0"/>
              <w:keepLines w:val="0"/>
              <w:pageBreakBefore w:val="0"/>
              <w:widowControl w:val="0"/>
              <w:kinsoku/>
              <w:wordWrap/>
              <w:overflowPunct/>
              <w:topLinePunct w:val="0"/>
              <w:bidi w:val="0"/>
              <w:spacing w:line="240" w:lineRule="auto"/>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□不予批准后再次申报项目</w:t>
            </w:r>
          </w:p>
          <w:p>
            <w:pPr>
              <w:keepNext w:val="0"/>
              <w:keepLines w:val="0"/>
              <w:pageBreakBefore w:val="0"/>
              <w:widowControl w:val="0"/>
              <w:kinsoku/>
              <w:wordWrap/>
              <w:overflowPunct/>
              <w:topLinePunct w:val="0"/>
              <w:bidi w:val="0"/>
              <w:spacing w:line="240" w:lineRule="auto"/>
              <w:jc w:val="left"/>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□超五年重新审核项目</w:t>
            </w:r>
          </w:p>
          <w:p>
            <w:pPr>
              <w:jc w:val="left"/>
              <w:rPr>
                <w:rFonts w:hint="default" w:ascii="Times New Roman" w:hAnsi="Times New Roman" w:cs="Times New Roman"/>
                <w:color w:val="auto"/>
                <w:sz w:val="24"/>
                <w:szCs w:val="24"/>
              </w:rPr>
            </w:pPr>
            <w:r>
              <w:rPr>
                <w:rFonts w:hint="default" w:ascii="Times New Roman" w:hAnsi="Times New Roman" w:eastAsia="宋体" w:cs="Times New Roman"/>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0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备案）部门（选填）</w:t>
            </w:r>
          </w:p>
        </w:tc>
        <w:tc>
          <w:tcPr>
            <w:tcW w:w="251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lang w:eastAsia="zh-CN"/>
              </w:rPr>
              <w:t>新疆生产建设兵团第七师胡杨河市</w:t>
            </w:r>
            <w:r>
              <w:rPr>
                <w:rFonts w:hint="default" w:ascii="Times New Roman" w:hAnsi="Times New Roman" w:eastAsia="宋体" w:cs="Times New Roman"/>
                <w:color w:val="auto"/>
                <w:sz w:val="24"/>
              </w:rPr>
              <w:t>发展和改革委员会</w:t>
            </w:r>
          </w:p>
        </w:tc>
        <w:tc>
          <w:tcPr>
            <w:tcW w:w="221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lang w:eastAsia="zh-CN"/>
              </w:rPr>
              <w:t>师市</w:t>
            </w:r>
            <w:r>
              <w:rPr>
                <w:rFonts w:hint="eastAsia" w:ascii="Times New Roman" w:hAnsi="Times New Roman" w:eastAsia="宋体" w:cs="Times New Roman"/>
                <w:color w:val="auto"/>
                <w:sz w:val="24"/>
                <w:lang w:eastAsia="zh-CN"/>
              </w:rPr>
              <w:t>发改发</w:t>
            </w:r>
            <w:r>
              <w:rPr>
                <w:rFonts w:hint="default" w:ascii="Times New Roman" w:hAnsi="Times New Roman" w:eastAsia="宋体" w:cs="Times New Roman"/>
                <w:color w:val="auto"/>
                <w:sz w:val="24"/>
              </w:rPr>
              <w:t>【202</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158</w:t>
            </w:r>
            <w:r>
              <w:rPr>
                <w:rFonts w:hint="default" w:ascii="Times New Roman" w:hAnsi="Times New Roman" w:eastAsia="宋体" w:cs="Times New Roman"/>
                <w:color w:val="auto"/>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总投资（万元）</w:t>
            </w:r>
          </w:p>
        </w:tc>
        <w:tc>
          <w:tcPr>
            <w:tcW w:w="251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lang w:val="en-US" w:eastAsia="zh-CN"/>
              </w:rPr>
              <w:t>12500</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环保投资（万元）</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lang w:val="en-US" w:eastAsia="zh-CN"/>
              </w:rPr>
              <w:t>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环保投资占比（%）</w:t>
            </w:r>
          </w:p>
        </w:tc>
        <w:tc>
          <w:tcPr>
            <w:tcW w:w="251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lang w:val="en-US" w:eastAsia="zh-CN"/>
              </w:rPr>
              <w:t>0.7</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施工工期</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4"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515" w:type="dxa"/>
            <w:noWrap w:val="0"/>
            <w:vAlign w:val="center"/>
          </w:tcPr>
          <w:p>
            <w:pPr>
              <w:keepNext w:val="0"/>
              <w:keepLines w:val="0"/>
              <w:pageBreakBefore w:val="0"/>
              <w:widowControl w:val="0"/>
              <w:kinsoku/>
              <w:wordWrap/>
              <w:overflowPunct/>
              <w:topLinePunct w:val="0"/>
              <w:bidi w:val="0"/>
              <w:adjustRightInd w:val="0"/>
              <w:snapToGrid w:val="0"/>
              <w:spacing w:line="240" w:lineRule="auto"/>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否</w:t>
            </w:r>
          </w:p>
          <w:p>
            <w:pPr>
              <w:keepNext w:val="0"/>
              <w:keepLines w:val="0"/>
              <w:pageBreakBefore w:val="0"/>
              <w:widowControl w:val="0"/>
              <w:kinsoku/>
              <w:wordWrap/>
              <w:overflowPunct/>
              <w:topLinePunct w:val="0"/>
              <w:bidi w:val="0"/>
              <w:adjustRightInd w:val="0"/>
              <w:snapToGrid w:val="0"/>
              <w:spacing w:line="240" w:lineRule="auto"/>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sz w:val="24"/>
              </w:rPr>
              <w:t>□是</w:t>
            </w:r>
          </w:p>
        </w:tc>
        <w:tc>
          <w:tcPr>
            <w:tcW w:w="2212"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2639"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lang w:val="en-US" w:eastAsia="zh-CN"/>
              </w:rPr>
              <w:t>30162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504"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7366"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504"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规划情况</w:t>
            </w:r>
          </w:p>
        </w:tc>
        <w:tc>
          <w:tcPr>
            <w:tcW w:w="7366"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color w:val="auto"/>
                <w:kern w:val="0"/>
                <w:sz w:val="24"/>
                <w:szCs w:val="24"/>
                <w:lang w:val="en-US" w:eastAsia="zh-CN"/>
              </w:rPr>
            </w:pPr>
            <w:r>
              <w:rPr>
                <w:rFonts w:hint="eastAsia" w:cs="Times New Roman"/>
                <w:color w:val="auto"/>
                <w:sz w:val="24"/>
                <w:highlight w:val="none"/>
                <w:lang w:val="en-US" w:eastAsia="zh-CN" w:bidi="ar-S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1504"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规划环境影响评价情况</w:t>
            </w:r>
          </w:p>
        </w:tc>
        <w:tc>
          <w:tcPr>
            <w:tcW w:w="7366"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4"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w:t>
            </w:r>
          </w:p>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影响评价符合性分析</w:t>
            </w:r>
          </w:p>
        </w:tc>
        <w:tc>
          <w:tcPr>
            <w:tcW w:w="7366"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04"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其他符合性分析</w:t>
            </w:r>
          </w:p>
        </w:tc>
        <w:tc>
          <w:tcPr>
            <w:tcW w:w="7366" w:type="dxa"/>
            <w:gridSpan w:val="3"/>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b w:val="0"/>
                <w:bCs w:val="0"/>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1产业政策符合性分析</w:t>
            </w:r>
          </w:p>
          <w:p>
            <w:pPr>
              <w:pStyle w:val="99"/>
              <w:spacing w:line="360" w:lineRule="auto"/>
              <w:ind w:firstLine="480" w:firstLineChars="200"/>
              <w:rPr>
                <w:rStyle w:val="98"/>
                <w:rFonts w:hint="default" w:ascii="Times New Roman" w:hAnsi="Times New Roman" w:eastAsia="宋体" w:cs="Times New Roman"/>
                <w:color w:val="auto"/>
                <w:sz w:val="24"/>
              </w:rPr>
            </w:pPr>
            <w:r>
              <w:rPr>
                <w:rStyle w:val="98"/>
                <w:rFonts w:hint="default" w:ascii="Times New Roman" w:hAnsi="Times New Roman" w:eastAsia="宋体" w:cs="Times New Roman"/>
                <w:color w:val="auto"/>
                <w:sz w:val="24"/>
              </w:rPr>
              <w:t>根据国家《产业结构调整指导目录（2019年本）》的有关规定，本项目属于“鼓励类”中第三十七项“卫生健康”中第五条“医疗卫生服务设施建设”</w:t>
            </w:r>
            <w:r>
              <w:rPr>
                <w:rStyle w:val="38"/>
                <w:rFonts w:hint="default" w:ascii="Times New Roman" w:hAnsi="Times New Roman" w:eastAsia="宋体" w:cs="Times New Roman"/>
                <w:color w:val="auto"/>
                <w:sz w:val="24"/>
              </w:rPr>
              <w:t>，因此项目</w:t>
            </w:r>
            <w:r>
              <w:rPr>
                <w:rStyle w:val="98"/>
                <w:rFonts w:hint="default" w:ascii="Times New Roman" w:hAnsi="Times New Roman" w:eastAsia="宋体" w:cs="Times New Roman"/>
                <w:color w:val="auto"/>
                <w:sz w:val="24"/>
              </w:rPr>
              <w:t>符合国家产业政策的要求。</w:t>
            </w:r>
          </w:p>
          <w:p>
            <w:pPr>
              <w:autoSpaceDE w:val="0"/>
              <w:autoSpaceDN w:val="0"/>
              <w:adjustRightInd w:val="0"/>
              <w:snapToGrid w:val="0"/>
              <w:spacing w:line="360" w:lineRule="auto"/>
              <w:ind w:firstLine="480" w:firstLineChars="200"/>
              <w:jc w:val="left"/>
              <w:rPr>
                <w:rStyle w:val="98"/>
                <w:rFonts w:hint="eastAsia" w:ascii="Times New Roman" w:hAnsi="Times New Roman" w:eastAsia="宋体" w:cs="Times New Roman"/>
                <w:color w:val="auto"/>
                <w:kern w:val="2"/>
                <w:sz w:val="24"/>
                <w:szCs w:val="24"/>
                <w:lang w:val="en-US" w:eastAsia="zh-CN" w:bidi="ar-SA"/>
              </w:rPr>
            </w:pPr>
            <w:r>
              <w:rPr>
                <w:rStyle w:val="98"/>
                <w:rFonts w:hint="default" w:ascii="Times New Roman" w:hAnsi="Times New Roman" w:eastAsia="宋体" w:cs="Times New Roman"/>
                <w:color w:val="auto"/>
                <w:kern w:val="2"/>
                <w:sz w:val="24"/>
                <w:szCs w:val="24"/>
                <w:lang w:val="en-US" w:eastAsia="zh-CN" w:bidi="ar-SA"/>
              </w:rPr>
              <w:t>对照《国民经济行业</w:t>
            </w:r>
            <w:r>
              <w:rPr>
                <w:rStyle w:val="98"/>
                <w:rFonts w:hint="eastAsia" w:ascii="Times New Roman" w:hAnsi="Times New Roman" w:eastAsia="宋体" w:cs="Times New Roman"/>
                <w:color w:val="auto"/>
                <w:kern w:val="2"/>
                <w:sz w:val="24"/>
                <w:szCs w:val="24"/>
                <w:lang w:val="en-US" w:eastAsia="zh-CN" w:bidi="ar-SA"/>
              </w:rPr>
              <w:t>分类</w:t>
            </w:r>
            <w:r>
              <w:rPr>
                <w:rStyle w:val="98"/>
                <w:rFonts w:hint="default" w:ascii="Times New Roman" w:hAnsi="Times New Roman" w:eastAsia="宋体" w:cs="Times New Roman"/>
                <w:color w:val="auto"/>
                <w:kern w:val="2"/>
                <w:sz w:val="24"/>
                <w:szCs w:val="24"/>
                <w:lang w:val="en-US" w:eastAsia="zh-CN" w:bidi="ar-SA"/>
              </w:rPr>
              <w:t>》（GB/T4754-2017）及其第1号修改单（国统字【2019】66 号）中的规定，本项目的行业类别及代码为“Q8411综合医院</w:t>
            </w:r>
            <w:r>
              <w:rPr>
                <w:rStyle w:val="98"/>
                <w:rFonts w:hint="eastAsia" w:ascii="Times New Roman" w:hAnsi="Times New Roman" w:eastAsia="宋体" w:cs="Times New Roman"/>
                <w:color w:val="auto"/>
                <w:kern w:val="2"/>
                <w:sz w:val="24"/>
                <w:szCs w:val="24"/>
                <w:lang w:val="en-US" w:eastAsia="zh-CN" w:bidi="ar-SA"/>
              </w:rPr>
              <w:t>、C2740中成药生产</w:t>
            </w:r>
            <w:r>
              <w:rPr>
                <w:rStyle w:val="98"/>
                <w:rFonts w:hint="default" w:ascii="Times New Roman" w:hAnsi="Times New Roman" w:eastAsia="宋体" w:cs="Times New Roman"/>
                <w:color w:val="auto"/>
                <w:kern w:val="2"/>
                <w:sz w:val="24"/>
                <w:szCs w:val="24"/>
                <w:lang w:val="en-US" w:eastAsia="zh-CN" w:bidi="ar-SA"/>
              </w:rPr>
              <w:t>”。</w:t>
            </w:r>
            <w:r>
              <w:rPr>
                <w:rStyle w:val="98"/>
                <w:rFonts w:hint="eastAsia" w:ascii="Times New Roman" w:hAnsi="Times New Roman" w:cs="Times New Roman"/>
                <w:color w:val="auto"/>
                <w:kern w:val="2"/>
                <w:sz w:val="24"/>
                <w:szCs w:val="24"/>
                <w:lang w:val="en-US" w:eastAsia="zh-CN" w:bidi="ar-SA"/>
              </w:rPr>
              <w:t>对照《建设项目分类管理名录》2021年版，本项目的建设项目行业类别为：四十九、卫生、108医院841；其他（住院床位20张以下的除外）二十四、医药制造业27、48 中成药生产274。</w:t>
            </w:r>
            <w:r>
              <w:rPr>
                <w:rStyle w:val="98"/>
                <w:rFonts w:hint="default" w:ascii="Times New Roman" w:hAnsi="Times New Roman" w:eastAsia="宋体" w:cs="Times New Roman"/>
                <w:color w:val="auto"/>
                <w:kern w:val="2"/>
                <w:sz w:val="24"/>
                <w:szCs w:val="24"/>
                <w:lang w:val="en-US" w:eastAsia="zh-CN" w:bidi="ar-SA"/>
              </w:rPr>
              <w:t>对照《产业结构调整指导目录（2019 年本）》</w:t>
            </w:r>
            <w:r>
              <w:rPr>
                <w:rStyle w:val="98"/>
                <w:rFonts w:hint="eastAsia" w:ascii="Times New Roman" w:hAnsi="Times New Roman" w:eastAsia="宋体" w:cs="Times New Roman"/>
                <w:color w:val="auto"/>
                <w:kern w:val="2"/>
                <w:sz w:val="24"/>
                <w:szCs w:val="24"/>
                <w:lang w:val="en-US" w:eastAsia="zh-CN" w:bidi="ar-SA"/>
              </w:rPr>
              <w:t>（国家发展和改革委员会令第21号）</w:t>
            </w:r>
            <w:r>
              <w:rPr>
                <w:rStyle w:val="98"/>
                <w:rFonts w:hint="default" w:ascii="Times New Roman" w:hAnsi="Times New Roman" w:eastAsia="宋体" w:cs="Times New Roman"/>
                <w:color w:val="auto"/>
                <w:kern w:val="2"/>
                <w:sz w:val="24"/>
                <w:szCs w:val="24"/>
                <w:lang w:val="en-US" w:eastAsia="zh-CN" w:bidi="ar-SA"/>
              </w:rPr>
              <w:t>，</w:t>
            </w:r>
            <w:r>
              <w:rPr>
                <w:rStyle w:val="98"/>
                <w:rFonts w:hint="eastAsia" w:ascii="Times New Roman" w:hAnsi="Times New Roman" w:eastAsia="宋体" w:cs="Times New Roman"/>
                <w:color w:val="auto"/>
                <w:kern w:val="2"/>
                <w:sz w:val="24"/>
                <w:szCs w:val="24"/>
                <w:lang w:val="en-US" w:eastAsia="zh-CN" w:bidi="ar-SA"/>
              </w:rPr>
              <w:t>本项目属于该目录中鼓励类“十三、医药：1、新型药物制剂技术开发与应用”范畴。因此，本项目建设符合国家的产业政策要求</w:t>
            </w:r>
            <w:r>
              <w:rPr>
                <w:rStyle w:val="98"/>
                <w:rFonts w:hint="default" w:ascii="Times New Roman" w:hAnsi="Times New Roman" w:eastAsia="宋体" w:cs="Times New Roman"/>
                <w:color w:val="auto"/>
                <w:kern w:val="2"/>
                <w:sz w:val="24"/>
                <w:szCs w:val="24"/>
                <w:lang w:val="en-US" w:eastAsia="zh-CN" w:bidi="ar-SA"/>
              </w:rPr>
              <w:t>；</w:t>
            </w:r>
            <w:r>
              <w:rPr>
                <w:rStyle w:val="98"/>
                <w:rFonts w:hint="eastAsia" w:ascii="Times New Roman" w:hAnsi="Times New Roman" w:eastAsia="宋体" w:cs="Times New Roman"/>
                <w:color w:val="auto"/>
                <w:kern w:val="2"/>
                <w:sz w:val="24"/>
                <w:szCs w:val="24"/>
                <w:lang w:val="en-US" w:eastAsia="zh-CN" w:bidi="ar-SA"/>
              </w:rPr>
              <w:t xml:space="preserve"> </w:t>
            </w:r>
          </w:p>
          <w:p>
            <w:pPr>
              <w:autoSpaceDE w:val="0"/>
              <w:autoSpaceDN w:val="0"/>
              <w:adjustRightInd w:val="0"/>
              <w:snapToGrid w:val="0"/>
              <w:spacing w:line="360" w:lineRule="auto"/>
              <w:ind w:firstLine="480" w:firstLineChars="200"/>
              <w:jc w:val="both"/>
              <w:rPr>
                <w:rStyle w:val="98"/>
                <w:rFonts w:hint="eastAsia"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（1）“三线一单”相容性分析</w:t>
            </w:r>
          </w:p>
          <w:p>
            <w:pPr>
              <w:autoSpaceDE w:val="0"/>
              <w:autoSpaceDN w:val="0"/>
              <w:adjustRightInd w:val="0"/>
              <w:snapToGrid w:val="0"/>
              <w:spacing w:line="360" w:lineRule="auto"/>
              <w:ind w:firstLine="480" w:firstLineChars="200"/>
              <w:jc w:val="both"/>
              <w:rPr>
                <w:rStyle w:val="98"/>
                <w:rFonts w:hint="eastAsia"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根据《关于印发&lt;新疆生产建设兵团“三线一单”生态环境分区管控方案&gt;的通知》（新兵发〔2021〕16 号）的要求，切实加强环境影响评价管理，落实“生态保护红线、环境质量底线、资源利用上线和环</w:t>
            </w:r>
          </w:p>
          <w:p>
            <w:pPr>
              <w:autoSpaceDE w:val="0"/>
              <w:autoSpaceDN w:val="0"/>
              <w:adjustRightInd w:val="0"/>
              <w:snapToGrid w:val="0"/>
              <w:spacing w:line="360" w:lineRule="auto"/>
              <w:ind w:firstLine="480" w:firstLineChars="200"/>
              <w:jc w:val="both"/>
              <w:rPr>
                <w:rStyle w:val="98"/>
                <w:rFonts w:hint="eastAsia"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境准入负面清单约束”。</w:t>
            </w:r>
          </w:p>
          <w:p>
            <w:pPr>
              <w:autoSpaceDE w:val="0"/>
              <w:autoSpaceDN w:val="0"/>
              <w:adjustRightInd w:val="0"/>
              <w:snapToGrid w:val="0"/>
              <w:spacing w:line="360" w:lineRule="auto"/>
              <w:ind w:firstLine="480" w:firstLineChars="200"/>
              <w:jc w:val="both"/>
              <w:rPr>
                <w:rStyle w:val="98"/>
                <w:rFonts w:hint="eastAsia"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1）生态保护红线</w:t>
            </w:r>
          </w:p>
          <w:p>
            <w:pPr>
              <w:autoSpaceDE w:val="0"/>
              <w:autoSpaceDN w:val="0"/>
              <w:adjustRightInd w:val="0"/>
              <w:snapToGrid w:val="0"/>
              <w:spacing w:line="360" w:lineRule="auto"/>
              <w:ind w:firstLine="480" w:firstLineChars="200"/>
              <w:jc w:val="both"/>
              <w:rPr>
                <w:rStyle w:val="98"/>
                <w:rFonts w:hint="eastAsia"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本项目位于新疆维吾尔自治区</w:t>
            </w:r>
            <w:r>
              <w:rPr>
                <w:rStyle w:val="98"/>
                <w:rFonts w:hint="eastAsia" w:cs="Times New Roman"/>
                <w:color w:val="auto"/>
                <w:kern w:val="2"/>
                <w:sz w:val="24"/>
                <w:szCs w:val="24"/>
                <w:lang w:val="en-US" w:eastAsia="zh-CN" w:bidi="ar-SA"/>
              </w:rPr>
              <w:t>第七师胡杨河市</w:t>
            </w:r>
            <w:r>
              <w:rPr>
                <w:color w:val="auto"/>
                <w:sz w:val="24"/>
              </w:rPr>
              <w:t>赤水南街以西、井冈山东路以南</w:t>
            </w:r>
            <w:r>
              <w:rPr>
                <w:rStyle w:val="98"/>
                <w:rFonts w:hint="eastAsia" w:ascii="Times New Roman" w:hAnsi="Times New Roman" w:eastAsia="宋体" w:cs="Times New Roman"/>
                <w:color w:val="auto"/>
                <w:kern w:val="2"/>
                <w:sz w:val="24"/>
                <w:szCs w:val="24"/>
                <w:lang w:val="en-US" w:eastAsia="zh-CN" w:bidi="ar-SA"/>
              </w:rPr>
              <w:t>。项目所在地不属于已划定的水源涵养、水土保持、防风固沙、生物多样性保护等生态红线区域，因此本项目不涉及生态保护区域，不会影响所在区域内生态服务功能。</w:t>
            </w:r>
          </w:p>
          <w:p>
            <w:pPr>
              <w:autoSpaceDE w:val="0"/>
              <w:autoSpaceDN w:val="0"/>
              <w:adjustRightInd w:val="0"/>
              <w:snapToGrid w:val="0"/>
              <w:spacing w:line="360" w:lineRule="auto"/>
              <w:ind w:firstLine="480" w:firstLineChars="200"/>
              <w:jc w:val="both"/>
              <w:rPr>
                <w:rStyle w:val="98"/>
                <w:rFonts w:hint="eastAsia"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2）环境质量底线</w:t>
            </w:r>
          </w:p>
          <w:p>
            <w:pPr>
              <w:autoSpaceDE w:val="0"/>
              <w:autoSpaceDN w:val="0"/>
              <w:adjustRightInd w:val="0"/>
              <w:spacing w:line="360" w:lineRule="auto"/>
              <w:ind w:firstLine="480" w:firstLineChars="200"/>
              <w:jc w:val="both"/>
              <w:rPr>
                <w:rStyle w:val="98"/>
                <w:rFonts w:hint="default"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大气环境质量底线就是在符合大气环境区域功能区划分和大气环境管理的基础上，确保大气污染物排放不对区域功能区划造成影响，污染物排放总量低于大气环境容量。本项目产生的大气污染物主要是粉尘，经有效措施处理后满足排放标准。</w:t>
            </w:r>
          </w:p>
          <w:p>
            <w:pPr>
              <w:autoSpaceDE w:val="0"/>
              <w:autoSpaceDN w:val="0"/>
              <w:adjustRightInd w:val="0"/>
              <w:spacing w:line="360" w:lineRule="auto"/>
              <w:ind w:firstLine="480" w:firstLineChars="200"/>
              <w:jc w:val="both"/>
              <w:rPr>
                <w:rStyle w:val="98"/>
                <w:rFonts w:hint="default"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本项目无新增生活污水，生产废水排入厂区现有污水处理站处理后排污市政下水管网。</w:t>
            </w:r>
          </w:p>
          <w:p>
            <w:pPr>
              <w:autoSpaceDE w:val="0"/>
              <w:autoSpaceDN w:val="0"/>
              <w:adjustRightInd w:val="0"/>
              <w:snapToGrid w:val="0"/>
              <w:spacing w:line="360" w:lineRule="auto"/>
              <w:ind w:firstLine="480" w:firstLineChars="200"/>
              <w:jc w:val="both"/>
              <w:rPr>
                <w:rStyle w:val="98"/>
                <w:rFonts w:hint="eastAsia"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本项目</w:t>
            </w:r>
            <w:r>
              <w:rPr>
                <w:color w:val="auto"/>
                <w:sz w:val="24"/>
              </w:rPr>
              <w:t>厂界外500米范围内无大气环境保护目标。</w:t>
            </w:r>
            <w:r>
              <w:rPr>
                <w:rFonts w:hint="eastAsia"/>
                <w:color w:val="auto"/>
                <w:sz w:val="24"/>
                <w:lang w:val="en-US" w:eastAsia="zh-CN"/>
              </w:rPr>
              <w:t>且</w:t>
            </w:r>
            <w:r>
              <w:rPr>
                <w:rStyle w:val="98"/>
                <w:rFonts w:hint="eastAsia" w:ascii="Times New Roman" w:hAnsi="Times New Roman" w:eastAsia="宋体" w:cs="Times New Roman"/>
                <w:color w:val="auto"/>
                <w:kern w:val="2"/>
                <w:sz w:val="24"/>
                <w:szCs w:val="24"/>
                <w:lang w:val="en-US" w:eastAsia="zh-CN" w:bidi="ar-SA"/>
              </w:rPr>
              <w:t>项目采取噪声设备加装减震垫、隔声、降噪的措施。</w:t>
            </w:r>
          </w:p>
          <w:p>
            <w:pPr>
              <w:autoSpaceDE w:val="0"/>
              <w:autoSpaceDN w:val="0"/>
              <w:adjustRightInd w:val="0"/>
              <w:snapToGrid w:val="0"/>
              <w:spacing w:line="360" w:lineRule="auto"/>
              <w:ind w:firstLine="480" w:firstLineChars="200"/>
              <w:jc w:val="both"/>
              <w:rPr>
                <w:rStyle w:val="98"/>
                <w:rFonts w:hint="eastAsia"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综上所述，本项目建成后上述措施能确保污染物对环境质量的影响降到最小，不突破所在区域环境质量底线。</w:t>
            </w:r>
          </w:p>
          <w:p>
            <w:pPr>
              <w:autoSpaceDE w:val="0"/>
              <w:autoSpaceDN w:val="0"/>
              <w:adjustRightInd w:val="0"/>
              <w:snapToGrid w:val="0"/>
              <w:spacing w:line="360" w:lineRule="auto"/>
              <w:ind w:firstLine="480" w:firstLineChars="200"/>
              <w:jc w:val="both"/>
              <w:rPr>
                <w:rStyle w:val="98"/>
                <w:rFonts w:hint="eastAsia"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3）资源利用上线</w:t>
            </w:r>
          </w:p>
          <w:p>
            <w:pPr>
              <w:autoSpaceDE w:val="0"/>
              <w:autoSpaceDN w:val="0"/>
              <w:adjustRightInd w:val="0"/>
              <w:snapToGrid w:val="0"/>
              <w:spacing w:line="360" w:lineRule="auto"/>
              <w:ind w:firstLine="480" w:firstLineChars="200"/>
              <w:jc w:val="both"/>
              <w:rPr>
                <w:rStyle w:val="98"/>
                <w:rFonts w:hint="eastAsia"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本项目用水由</w:t>
            </w:r>
            <w:r>
              <w:rPr>
                <w:rStyle w:val="98"/>
                <w:rFonts w:hint="eastAsia" w:cs="Times New Roman"/>
                <w:color w:val="auto"/>
                <w:kern w:val="2"/>
                <w:sz w:val="24"/>
                <w:szCs w:val="24"/>
                <w:lang w:val="en-US" w:eastAsia="zh-CN" w:bidi="ar-SA"/>
              </w:rPr>
              <w:t>胡杨河</w:t>
            </w:r>
            <w:r>
              <w:rPr>
                <w:rStyle w:val="98"/>
                <w:rFonts w:hint="eastAsia" w:ascii="Times New Roman" w:hAnsi="Times New Roman" w:eastAsia="宋体" w:cs="Times New Roman"/>
                <w:color w:val="auto"/>
                <w:kern w:val="2"/>
                <w:sz w:val="24"/>
                <w:szCs w:val="24"/>
                <w:lang w:val="en-US" w:eastAsia="zh-CN" w:bidi="ar-SA"/>
              </w:rPr>
              <w:t>市提供,本项目的建设不会使</w:t>
            </w:r>
            <w:r>
              <w:rPr>
                <w:rStyle w:val="98"/>
                <w:rFonts w:hint="eastAsia" w:cs="Times New Roman"/>
                <w:color w:val="auto"/>
                <w:kern w:val="2"/>
                <w:sz w:val="24"/>
                <w:szCs w:val="24"/>
                <w:lang w:val="en-US" w:eastAsia="zh-CN" w:bidi="ar-SA"/>
              </w:rPr>
              <w:t>胡杨河</w:t>
            </w:r>
            <w:r>
              <w:rPr>
                <w:rStyle w:val="98"/>
                <w:rFonts w:hint="eastAsia" w:ascii="Times New Roman" w:hAnsi="Times New Roman" w:eastAsia="宋体" w:cs="Times New Roman"/>
                <w:color w:val="auto"/>
                <w:kern w:val="2"/>
                <w:sz w:val="24"/>
                <w:szCs w:val="24"/>
                <w:lang w:val="en-US" w:eastAsia="zh-CN" w:bidi="ar-SA"/>
              </w:rPr>
              <w:t>市供水突破上线。</w:t>
            </w:r>
          </w:p>
          <w:p>
            <w:pPr>
              <w:autoSpaceDE w:val="0"/>
              <w:autoSpaceDN w:val="0"/>
              <w:adjustRightInd w:val="0"/>
              <w:snapToGrid w:val="0"/>
              <w:spacing w:line="360" w:lineRule="auto"/>
              <w:ind w:firstLine="480" w:firstLineChars="200"/>
              <w:jc w:val="both"/>
              <w:rPr>
                <w:rStyle w:val="98"/>
                <w:rFonts w:hint="eastAsia"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4）环境准入负面清单</w:t>
            </w:r>
          </w:p>
          <w:p>
            <w:pPr>
              <w:autoSpaceDE w:val="0"/>
              <w:autoSpaceDN w:val="0"/>
              <w:adjustRightInd w:val="0"/>
              <w:snapToGrid w:val="0"/>
              <w:spacing w:line="360" w:lineRule="auto"/>
              <w:ind w:firstLine="480" w:firstLineChars="200"/>
              <w:jc w:val="both"/>
              <w:rPr>
                <w:rStyle w:val="98"/>
                <w:rFonts w:hint="eastAsia"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本项目生产工艺较为先进，不属于环境污染大、环境风险高的淘汰落后产能企业，不属于“三高”项目，不在环境准入负面清单内。</w:t>
            </w:r>
          </w:p>
          <w:p>
            <w:pPr>
              <w:autoSpaceDE w:val="0"/>
              <w:autoSpaceDN w:val="0"/>
              <w:adjustRightInd w:val="0"/>
              <w:snapToGrid w:val="0"/>
              <w:spacing w:line="360" w:lineRule="auto"/>
              <w:ind w:firstLine="480" w:firstLineChars="200"/>
              <w:jc w:val="both"/>
              <w:rPr>
                <w:rStyle w:val="98"/>
                <w:rFonts w:hint="eastAsia"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综上所述，本项目建设符合“三线一单”要求。</w:t>
            </w:r>
          </w:p>
          <w:p>
            <w:pPr>
              <w:autoSpaceDE w:val="0"/>
              <w:autoSpaceDN w:val="0"/>
              <w:adjustRightInd w:val="0"/>
              <w:snapToGrid w:val="0"/>
              <w:spacing w:line="360" w:lineRule="auto"/>
              <w:ind w:firstLine="480" w:firstLineChars="200"/>
              <w:jc w:val="both"/>
              <w:rPr>
                <w:rStyle w:val="98"/>
                <w:rFonts w:hint="eastAsia"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（2）与《产业结构调整指导目录（</w:t>
            </w:r>
            <w:r>
              <w:rPr>
                <w:rStyle w:val="98"/>
                <w:rFonts w:hint="default" w:ascii="Times New Roman" w:hAnsi="Times New Roman" w:eastAsia="宋体" w:cs="Times New Roman"/>
                <w:color w:val="auto"/>
                <w:kern w:val="2"/>
                <w:sz w:val="24"/>
                <w:szCs w:val="24"/>
                <w:lang w:val="en-US" w:eastAsia="zh-CN" w:bidi="ar-SA"/>
              </w:rPr>
              <w:t>2019</w:t>
            </w:r>
            <w:r>
              <w:rPr>
                <w:rStyle w:val="98"/>
                <w:rFonts w:hint="eastAsia" w:ascii="Times New Roman" w:hAnsi="Times New Roman" w:eastAsia="宋体" w:cs="Times New Roman"/>
                <w:color w:val="auto"/>
                <w:kern w:val="2"/>
                <w:sz w:val="24"/>
                <w:szCs w:val="24"/>
                <w:lang w:val="en-US" w:eastAsia="zh-CN" w:bidi="ar-SA"/>
              </w:rPr>
              <w:t>年本）》符合性分析</w:t>
            </w:r>
          </w:p>
          <w:p>
            <w:pPr>
              <w:pStyle w:val="99"/>
              <w:spacing w:line="360" w:lineRule="auto"/>
              <w:ind w:firstLine="480" w:firstLineChars="200"/>
              <w:jc w:val="both"/>
              <w:rPr>
                <w:rStyle w:val="98"/>
                <w:rFonts w:hint="default" w:ascii="Times New Roman" w:hAnsi="Times New Roman" w:eastAsia="宋体" w:cs="Times New Roman"/>
                <w:color w:val="auto"/>
                <w:kern w:val="2"/>
                <w:sz w:val="24"/>
                <w:szCs w:val="24"/>
                <w:lang w:val="en-US" w:eastAsia="zh-CN" w:bidi="ar-SA"/>
              </w:rPr>
            </w:pPr>
            <w:r>
              <w:rPr>
                <w:rStyle w:val="98"/>
                <w:rFonts w:hint="eastAsia" w:ascii="Times New Roman" w:hAnsi="Times New Roman" w:eastAsia="宋体" w:cs="Times New Roman"/>
                <w:color w:val="auto"/>
                <w:kern w:val="2"/>
                <w:sz w:val="24"/>
                <w:szCs w:val="24"/>
                <w:lang w:val="en-US" w:eastAsia="zh-CN" w:bidi="ar-SA"/>
              </w:rPr>
              <w:t>根据《产业结构调整指导目录（2019年本）》（国家发展和改革委员会令第21号），本项目不属于该目录中限制类“十三、医药：1、新型药物制剂技术开发与应用”范畴。因此，本项目建设符合国家的产业政策要求。</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2“三线一单”符合性</w:t>
            </w:r>
          </w:p>
          <w:p>
            <w:pPr>
              <w:pStyle w:val="139"/>
              <w:keepNext w:val="0"/>
              <w:keepLines w:val="0"/>
              <w:pageBreakBefore w:val="0"/>
              <w:widowControl w:val="0"/>
              <w:kinsoku/>
              <w:wordWrap/>
              <w:overflowPunct/>
              <w:topLinePunct w:val="0"/>
              <w:bidi w:val="0"/>
              <w:spacing w:after="0" w:line="360" w:lineRule="auto"/>
              <w:ind w:left="0" w:leftChars="0" w:firstLine="0" w:firstLineChars="0"/>
              <w:textAlignment w:val="auto"/>
              <w:rPr>
                <w:rFonts w:hint="default" w:ascii="Times New Roman" w:hAnsi="Times New Roman" w:cs="Times New Roman"/>
                <w:b/>
                <w:bCs/>
                <w:color w:val="auto"/>
                <w:kern w:val="0"/>
                <w:sz w:val="24"/>
                <w:szCs w:val="20"/>
                <w:lang w:val="en-US" w:eastAsia="zh-CN" w:bidi="ar-SA"/>
              </w:rPr>
            </w:pPr>
            <w:r>
              <w:rPr>
                <w:rFonts w:hint="eastAsia" w:ascii="Times New Roman" w:hAnsi="Times New Roman" w:cs="Times New Roman"/>
                <w:b/>
                <w:bCs/>
                <w:color w:val="auto"/>
                <w:kern w:val="0"/>
                <w:sz w:val="24"/>
                <w:szCs w:val="20"/>
                <w:lang w:val="en-US" w:eastAsia="zh-CN" w:bidi="ar-SA"/>
              </w:rPr>
              <w:t>2</w:t>
            </w:r>
            <w:r>
              <w:rPr>
                <w:rFonts w:hint="default" w:ascii="Times New Roman" w:hAnsi="Times New Roman" w:cs="Times New Roman"/>
                <w:b/>
                <w:bCs/>
                <w:color w:val="auto"/>
                <w:kern w:val="0"/>
                <w:sz w:val="24"/>
                <w:szCs w:val="20"/>
                <w:lang w:val="en-US" w:eastAsia="zh-CN" w:bidi="ar-SA"/>
              </w:rPr>
              <w:t>.1生态保护红线符合性分析</w:t>
            </w:r>
          </w:p>
          <w:p>
            <w:pPr>
              <w:pStyle w:val="99"/>
              <w:spacing w:line="360" w:lineRule="auto"/>
              <w:ind w:firstLine="480" w:firstLineChars="200"/>
              <w:rPr>
                <w:rFonts w:hint="default" w:ascii="Times New Roman" w:hAnsi="Times New Roman" w:cs="Times New Roman"/>
                <w:color w:val="auto"/>
                <w:sz w:val="24"/>
                <w:szCs w:val="24"/>
                <w:lang w:val="en-US" w:eastAsia="zh-CN"/>
              </w:rPr>
            </w:pPr>
            <w:r>
              <w:rPr>
                <w:rStyle w:val="98"/>
                <w:rFonts w:hint="default" w:ascii="Times New Roman" w:hAnsi="Times New Roman" w:eastAsia="宋体" w:cs="Times New Roman"/>
                <w:color w:val="auto"/>
                <w:sz w:val="24"/>
              </w:rPr>
              <w:t>根据《</w:t>
            </w:r>
            <w:r>
              <w:rPr>
                <w:rStyle w:val="98"/>
                <w:rFonts w:hint="eastAsia" w:ascii="Times New Roman" w:hAnsi="Times New Roman" w:eastAsia="宋体" w:cs="Times New Roman"/>
                <w:color w:val="auto"/>
                <w:sz w:val="24"/>
                <w:lang w:eastAsia="zh-CN"/>
              </w:rPr>
              <w:t>第七师胡杨河市</w:t>
            </w:r>
            <w:r>
              <w:rPr>
                <w:rStyle w:val="98"/>
                <w:rFonts w:hint="default" w:ascii="Times New Roman" w:hAnsi="Times New Roman" w:eastAsia="宋体" w:cs="Times New Roman"/>
                <w:color w:val="auto"/>
                <w:sz w:val="24"/>
              </w:rPr>
              <w:t>“三线一单”生态环境分区管控方案》</w:t>
            </w:r>
            <w:r>
              <w:rPr>
                <w:rStyle w:val="98"/>
                <w:rFonts w:hint="eastAsia" w:ascii="Times New Roman" w:hAnsi="Times New Roman" w:eastAsia="宋体" w:cs="Times New Roman"/>
                <w:color w:val="auto"/>
                <w:kern w:val="2"/>
                <w:sz w:val="24"/>
                <w:szCs w:val="24"/>
                <w:lang w:val="en-US" w:eastAsia="zh-CN" w:bidi="ar-SA"/>
              </w:rPr>
              <w:t>（新疆生产建设兵团第七师胡杨河市人民政府于2021年6月25日印发）</w:t>
            </w:r>
            <w:r>
              <w:rPr>
                <w:rStyle w:val="98"/>
                <w:rFonts w:hint="default" w:ascii="Times New Roman" w:hAnsi="Times New Roman" w:eastAsia="宋体" w:cs="Times New Roman"/>
                <w:color w:val="auto"/>
                <w:sz w:val="24"/>
              </w:rPr>
              <w:t>，</w:t>
            </w:r>
            <w:r>
              <w:rPr>
                <w:rStyle w:val="98"/>
                <w:rFonts w:hint="eastAsia" w:ascii="Times New Roman" w:hAnsi="Times New Roman" w:eastAsia="宋体" w:cs="Times New Roman"/>
                <w:color w:val="auto"/>
                <w:sz w:val="24"/>
                <w:lang w:eastAsia="zh-CN"/>
              </w:rPr>
              <w:t>第七师胡杨河市生态保护红线为：根</w:t>
            </w:r>
            <w:r>
              <w:rPr>
                <w:rStyle w:val="98"/>
                <w:rFonts w:hint="default" w:ascii="Times New Roman" w:hAnsi="Times New Roman" w:eastAsia="宋体" w:cs="Times New Roman"/>
                <w:color w:val="auto"/>
                <w:sz w:val="24"/>
              </w:rPr>
              <w:t>据主导生态功能定位，实施差别化管理，确保生态保护红线生态功能不降低、面积不减少、性质不改变。对生态保护红线内的自然保护区、国家公园、风景名胜区、森林公园、地质公园、世界自然遗产、湿地公园、饮用水水源保护区等各类保护地的管理，法律法规和规章另有规定的，从其规定。</w:t>
            </w:r>
            <w:r>
              <w:rPr>
                <w:rStyle w:val="98"/>
                <w:rFonts w:hint="eastAsia" w:ascii="Times New Roman" w:hAnsi="Times New Roman" w:eastAsia="宋体" w:cs="Times New Roman"/>
                <w:color w:val="auto"/>
                <w:sz w:val="24"/>
                <w:lang w:eastAsia="zh-CN"/>
              </w:rPr>
              <w:t>项目位于第七师胡杨河市，项目占地不属于重点生态功能区、</w:t>
            </w:r>
            <w:r>
              <w:rPr>
                <w:rStyle w:val="98"/>
                <w:rFonts w:hint="default" w:ascii="Times New Roman" w:hAnsi="Times New Roman" w:eastAsia="宋体" w:cs="Times New Roman"/>
                <w:color w:val="auto"/>
                <w:sz w:val="24"/>
                <w:lang w:val="en-US" w:eastAsia="zh-CN"/>
              </w:rPr>
              <w:t>环境敏感区和脆弱区等生态红线区域，符合生态红线保护要求，不会导致辖区内生态服务功能下降。</w:t>
            </w:r>
          </w:p>
          <w:p>
            <w:pPr>
              <w:pStyle w:val="139"/>
              <w:keepNext w:val="0"/>
              <w:keepLines w:val="0"/>
              <w:pageBreakBefore w:val="0"/>
              <w:widowControl w:val="0"/>
              <w:kinsoku/>
              <w:wordWrap/>
              <w:overflowPunct/>
              <w:topLinePunct w:val="0"/>
              <w:bidi w:val="0"/>
              <w:spacing w:after="0" w:line="360" w:lineRule="auto"/>
              <w:ind w:left="0" w:leftChars="0" w:firstLine="0" w:firstLineChars="0"/>
              <w:textAlignment w:val="auto"/>
              <w:rPr>
                <w:rFonts w:hint="default" w:ascii="Times New Roman" w:hAnsi="Times New Roman" w:cs="Times New Roman"/>
                <w:b/>
                <w:bCs/>
                <w:color w:val="auto"/>
                <w:kern w:val="0"/>
                <w:sz w:val="24"/>
                <w:szCs w:val="20"/>
                <w:lang w:val="en-US" w:eastAsia="zh-CN" w:bidi="ar-SA"/>
              </w:rPr>
            </w:pPr>
            <w:r>
              <w:rPr>
                <w:rFonts w:hint="eastAsia" w:ascii="Times New Roman" w:hAnsi="Times New Roman" w:cs="Times New Roman"/>
                <w:b/>
                <w:bCs/>
                <w:color w:val="auto"/>
                <w:kern w:val="0"/>
                <w:sz w:val="24"/>
                <w:szCs w:val="20"/>
                <w:lang w:val="en-US" w:eastAsia="zh-CN" w:bidi="ar-SA"/>
              </w:rPr>
              <w:t>2</w:t>
            </w:r>
            <w:r>
              <w:rPr>
                <w:rFonts w:hint="default" w:ascii="Times New Roman" w:hAnsi="Times New Roman" w:cs="Times New Roman"/>
                <w:b/>
                <w:bCs/>
                <w:color w:val="auto"/>
                <w:kern w:val="0"/>
                <w:sz w:val="24"/>
                <w:szCs w:val="20"/>
                <w:lang w:val="en-US" w:eastAsia="zh-CN" w:bidi="ar-SA"/>
              </w:rPr>
              <w:t>.</w:t>
            </w:r>
            <w:r>
              <w:rPr>
                <w:rFonts w:hint="eastAsia" w:ascii="Times New Roman" w:hAnsi="Times New Roman" w:cs="Times New Roman"/>
                <w:b/>
                <w:bCs/>
                <w:color w:val="auto"/>
                <w:kern w:val="0"/>
                <w:sz w:val="24"/>
                <w:szCs w:val="20"/>
                <w:lang w:val="en-US" w:eastAsia="zh-CN" w:bidi="ar-SA"/>
              </w:rPr>
              <w:t>2</w:t>
            </w:r>
            <w:r>
              <w:rPr>
                <w:rFonts w:hint="default" w:ascii="Times New Roman" w:hAnsi="Times New Roman" w:cs="Times New Roman"/>
                <w:b/>
                <w:bCs/>
                <w:color w:val="auto"/>
                <w:kern w:val="0"/>
                <w:sz w:val="24"/>
                <w:szCs w:val="20"/>
                <w:lang w:val="en-US" w:eastAsia="zh-CN" w:bidi="ar-SA"/>
              </w:rPr>
              <w:t>环境质量底线符合性分析</w:t>
            </w:r>
          </w:p>
          <w:p>
            <w:pPr>
              <w:pStyle w:val="139"/>
              <w:keepNext w:val="0"/>
              <w:keepLines w:val="0"/>
              <w:pageBreakBefore w:val="0"/>
              <w:widowControl w:val="0"/>
              <w:kinsoku/>
              <w:wordWrap/>
              <w:overflowPunct/>
              <w:topLinePunct w:val="0"/>
              <w:bidi w:val="0"/>
              <w:spacing w:after="0" w:line="360" w:lineRule="auto"/>
              <w:ind w:left="0" w:leftChars="0" w:firstLine="480" w:firstLineChars="200"/>
              <w:textAlignment w:val="auto"/>
              <w:rPr>
                <w:rFonts w:hint="eastAsia" w:ascii="Times New Roman" w:hAnsi="Times New Roman" w:cs="Times New Roman"/>
                <w:color w:val="auto"/>
                <w:sz w:val="24"/>
                <w:szCs w:val="24"/>
                <w:lang w:val="en-US" w:eastAsia="zh-CN"/>
              </w:rPr>
            </w:pPr>
            <w:r>
              <w:rPr>
                <w:rStyle w:val="98"/>
                <w:rFonts w:hint="default" w:ascii="Times New Roman" w:hAnsi="Times New Roman" w:eastAsia="宋体" w:cs="Times New Roman"/>
                <w:color w:val="auto"/>
                <w:sz w:val="24"/>
              </w:rPr>
              <w:t>根据《</w:t>
            </w:r>
            <w:r>
              <w:rPr>
                <w:rStyle w:val="98"/>
                <w:rFonts w:hint="eastAsia" w:ascii="Times New Roman" w:hAnsi="Times New Roman" w:eastAsia="宋体" w:cs="Times New Roman"/>
                <w:color w:val="auto"/>
                <w:sz w:val="24"/>
                <w:lang w:eastAsia="zh-CN"/>
              </w:rPr>
              <w:t>第七师胡杨河市</w:t>
            </w:r>
            <w:r>
              <w:rPr>
                <w:rStyle w:val="98"/>
                <w:rFonts w:hint="default" w:ascii="Times New Roman" w:hAnsi="Times New Roman" w:eastAsia="宋体" w:cs="Times New Roman"/>
                <w:color w:val="auto"/>
                <w:sz w:val="24"/>
              </w:rPr>
              <w:t>“三线一单”生态环境分区管控方案》</w:t>
            </w:r>
            <w:r>
              <w:rPr>
                <w:rStyle w:val="98"/>
                <w:rFonts w:hint="eastAsia" w:ascii="Times New Roman" w:hAnsi="Times New Roman" w:eastAsia="宋体" w:cs="Times New Roman"/>
                <w:color w:val="auto"/>
                <w:sz w:val="24"/>
                <w:lang w:eastAsia="zh-CN"/>
              </w:rPr>
              <w:t>，</w:t>
            </w:r>
            <w:r>
              <w:rPr>
                <w:rFonts w:hint="default" w:ascii="Times New Roman" w:hAnsi="Times New Roman" w:cs="Times New Roman"/>
                <w:color w:val="auto"/>
                <w:sz w:val="24"/>
                <w:szCs w:val="24"/>
                <w:lang w:val="en-US" w:eastAsia="zh-CN"/>
              </w:rPr>
              <w:t>项目所在区域环境空气质量属于二类功能区，地下水属于Ⅲ类功能区，声环境属于2类功能区。</w:t>
            </w:r>
            <w:r>
              <w:rPr>
                <w:rFonts w:hint="eastAsia" w:ascii="Times New Roman" w:hAnsi="Times New Roman" w:cs="Times New Roman"/>
                <w:color w:val="auto"/>
                <w:sz w:val="24"/>
                <w:szCs w:val="24"/>
                <w:lang w:val="en-US" w:eastAsia="zh-CN"/>
              </w:rPr>
              <w:t>周边无与本项目发生地表联系的地表水体。本项目建成后各污染物均能达标排放，在落实本评价提出的污染防治措施、严格落实排污总量制度下项目排放的污染物对周边环境影响较小，不会改变现有环境质量等级，项目的实施不会影响区域环境质量目标的实现，符合环境质量底线要求。</w:t>
            </w:r>
          </w:p>
          <w:p>
            <w:pPr>
              <w:pStyle w:val="139"/>
              <w:keepNext w:val="0"/>
              <w:keepLines w:val="0"/>
              <w:pageBreakBefore w:val="0"/>
              <w:widowControl w:val="0"/>
              <w:kinsoku/>
              <w:wordWrap/>
              <w:overflowPunct/>
              <w:topLinePunct w:val="0"/>
              <w:bidi w:val="0"/>
              <w:spacing w:after="0" w:line="360" w:lineRule="auto"/>
              <w:ind w:left="0" w:leftChars="0" w:firstLine="0" w:firstLineChars="0"/>
              <w:textAlignment w:val="auto"/>
              <w:rPr>
                <w:rFonts w:hint="default" w:ascii="Times New Roman" w:hAnsi="Times New Roman" w:cs="Times New Roman"/>
                <w:b/>
                <w:bCs/>
                <w:color w:val="auto"/>
                <w:kern w:val="0"/>
                <w:sz w:val="24"/>
                <w:szCs w:val="20"/>
                <w:lang w:val="en-US" w:eastAsia="zh-CN" w:bidi="ar-SA"/>
              </w:rPr>
            </w:pPr>
            <w:r>
              <w:rPr>
                <w:rFonts w:hint="eastAsia" w:ascii="Times New Roman" w:hAnsi="Times New Roman" w:cs="Times New Roman"/>
                <w:b/>
                <w:bCs/>
                <w:color w:val="auto"/>
                <w:kern w:val="0"/>
                <w:sz w:val="24"/>
                <w:szCs w:val="20"/>
                <w:lang w:val="en-US" w:eastAsia="zh-CN" w:bidi="ar-SA"/>
              </w:rPr>
              <w:t>2</w:t>
            </w:r>
            <w:r>
              <w:rPr>
                <w:rFonts w:hint="default" w:ascii="Times New Roman" w:hAnsi="Times New Roman" w:cs="Times New Roman"/>
                <w:b/>
                <w:bCs/>
                <w:color w:val="auto"/>
                <w:kern w:val="0"/>
                <w:sz w:val="24"/>
                <w:szCs w:val="20"/>
                <w:lang w:val="en-US" w:eastAsia="zh-CN" w:bidi="ar-SA"/>
              </w:rPr>
              <w:t>.</w:t>
            </w:r>
            <w:r>
              <w:rPr>
                <w:rFonts w:hint="eastAsia" w:ascii="Times New Roman" w:hAnsi="Times New Roman" w:cs="Times New Roman"/>
                <w:b/>
                <w:bCs/>
                <w:color w:val="auto"/>
                <w:kern w:val="0"/>
                <w:sz w:val="24"/>
                <w:szCs w:val="20"/>
                <w:lang w:val="en-US" w:eastAsia="zh-CN" w:bidi="ar-SA"/>
              </w:rPr>
              <w:t>3</w:t>
            </w:r>
            <w:r>
              <w:rPr>
                <w:rFonts w:hint="default" w:ascii="Times New Roman" w:hAnsi="Times New Roman" w:cs="Times New Roman"/>
                <w:b/>
                <w:bCs/>
                <w:color w:val="auto"/>
                <w:kern w:val="0"/>
                <w:sz w:val="24"/>
                <w:szCs w:val="20"/>
                <w:lang w:val="en-US" w:eastAsia="zh-CN" w:bidi="ar-SA"/>
              </w:rPr>
              <w:t>资源利用上线符合性分析</w:t>
            </w:r>
          </w:p>
          <w:p>
            <w:pPr>
              <w:pStyle w:val="99"/>
              <w:spacing w:line="360" w:lineRule="auto"/>
              <w:ind w:firstLine="480"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强化节约集约利用，持续提升资源能源利用效率，水资源、土地资源、能源消耗达到国家、兵团下达的总量和强度控制目标，地下水超采得到严格控制。加快区域低碳发展，积极推动低碳试点城市建设，发挥低碳试点示范引领作用。</w:t>
            </w:r>
          </w:p>
          <w:p>
            <w:pPr>
              <w:pStyle w:val="139"/>
              <w:keepNext w:val="0"/>
              <w:keepLines w:val="0"/>
              <w:pageBreakBefore w:val="0"/>
              <w:widowControl w:val="0"/>
              <w:kinsoku/>
              <w:wordWrap/>
              <w:overflowPunct/>
              <w:topLinePunct w:val="0"/>
              <w:bidi w:val="0"/>
              <w:spacing w:after="0" w:line="360" w:lineRule="auto"/>
              <w:ind w:left="0" w:leftChars="0"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本项目为医院项目，运营期将消耗一定的水、电，不会突破资源利用上线。故本项目满足资源利用上线要求</w:t>
            </w:r>
            <w:r>
              <w:rPr>
                <w:rFonts w:hint="eastAsia" w:ascii="Times New Roman" w:hAnsi="Times New Roman" w:eastAsia="宋体" w:cs="Times New Roman"/>
                <w:color w:val="auto"/>
                <w:kern w:val="0"/>
                <w:sz w:val="24"/>
                <w:szCs w:val="24"/>
                <w:lang w:val="en-US" w:eastAsia="zh-CN" w:bidi="ar-SA"/>
              </w:rPr>
              <w:t>。</w:t>
            </w:r>
          </w:p>
          <w:p>
            <w:pPr>
              <w:pStyle w:val="139"/>
              <w:keepNext w:val="0"/>
              <w:keepLines w:val="0"/>
              <w:pageBreakBefore w:val="0"/>
              <w:widowControl w:val="0"/>
              <w:kinsoku/>
              <w:wordWrap/>
              <w:overflowPunct/>
              <w:topLinePunct w:val="0"/>
              <w:bidi w:val="0"/>
              <w:spacing w:after="0" w:line="360" w:lineRule="auto"/>
              <w:ind w:left="0" w:leftChars="0" w:firstLine="0" w:firstLineChars="0"/>
              <w:textAlignment w:val="auto"/>
              <w:rPr>
                <w:rFonts w:hint="default" w:ascii="Times New Roman" w:hAnsi="Times New Roman" w:cs="Times New Roman"/>
                <w:b/>
                <w:bCs/>
                <w:color w:val="auto"/>
                <w:kern w:val="0"/>
                <w:sz w:val="24"/>
                <w:szCs w:val="20"/>
                <w:lang w:val="en-US" w:eastAsia="zh-CN" w:bidi="ar-SA"/>
              </w:rPr>
            </w:pPr>
            <w:r>
              <w:rPr>
                <w:rFonts w:hint="eastAsia" w:ascii="Times New Roman" w:hAnsi="Times New Roman" w:cs="Times New Roman"/>
                <w:b/>
                <w:bCs/>
                <w:color w:val="auto"/>
                <w:kern w:val="0"/>
                <w:sz w:val="24"/>
                <w:szCs w:val="20"/>
                <w:lang w:val="en-US" w:eastAsia="zh-CN" w:bidi="ar-SA"/>
              </w:rPr>
              <w:t>2</w:t>
            </w:r>
            <w:r>
              <w:rPr>
                <w:rFonts w:hint="default" w:ascii="Times New Roman" w:hAnsi="Times New Roman" w:cs="Times New Roman"/>
                <w:b/>
                <w:bCs/>
                <w:color w:val="auto"/>
                <w:kern w:val="0"/>
                <w:sz w:val="24"/>
                <w:szCs w:val="20"/>
                <w:lang w:val="en-US" w:eastAsia="zh-CN" w:bidi="ar-SA"/>
              </w:rPr>
              <w:t>.</w:t>
            </w:r>
            <w:r>
              <w:rPr>
                <w:rFonts w:hint="eastAsia" w:ascii="Times New Roman" w:hAnsi="Times New Roman" w:cs="Times New Roman"/>
                <w:b/>
                <w:bCs/>
                <w:color w:val="auto"/>
                <w:kern w:val="0"/>
                <w:sz w:val="24"/>
                <w:szCs w:val="20"/>
                <w:lang w:val="en-US" w:eastAsia="zh-CN" w:bidi="ar-SA"/>
              </w:rPr>
              <w:t>4</w:t>
            </w:r>
            <w:r>
              <w:rPr>
                <w:rFonts w:hint="default" w:ascii="Times New Roman" w:hAnsi="Times New Roman" w:cs="Times New Roman"/>
                <w:b/>
                <w:bCs/>
                <w:color w:val="auto"/>
                <w:kern w:val="0"/>
                <w:sz w:val="24"/>
                <w:szCs w:val="20"/>
                <w:lang w:val="en-US" w:eastAsia="zh-CN" w:bidi="ar-SA"/>
              </w:rPr>
              <w:t>生态环境准入清单符合性分析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b w:val="0"/>
                <w:bCs w:val="0"/>
                <w:color w:val="auto"/>
                <w:kern w:val="0"/>
                <w:sz w:val="24"/>
                <w:szCs w:val="24"/>
                <w:lang w:val="en-US" w:eastAsia="zh-CN"/>
              </w:rPr>
            </w:pPr>
            <w:r>
              <w:rPr>
                <w:rFonts w:hint="eastAsia" w:ascii="Times New Roman" w:hAnsi="Times New Roman" w:eastAsia="宋体" w:cs="Times New Roman"/>
                <w:color w:val="auto"/>
                <w:sz w:val="24"/>
                <w:szCs w:val="24"/>
                <w:lang w:val="en-US" w:eastAsia="zh-CN"/>
              </w:rPr>
              <w:t>根据《第七师胡杨河市“三线一单”生态环境分区管控方案》，</w:t>
            </w:r>
            <w:r>
              <w:rPr>
                <w:rFonts w:hint="eastAsia" w:ascii="Times New Roman" w:hAnsi="Times New Roman" w:cs="Times New Roman"/>
                <w:b w:val="0"/>
                <w:bCs w:val="0"/>
                <w:color w:val="auto"/>
                <w:kern w:val="0"/>
                <w:sz w:val="24"/>
                <w:szCs w:val="24"/>
                <w:lang w:val="en-US" w:eastAsia="zh-CN"/>
              </w:rPr>
              <w:t>师市共划定环境管控单元共66个，分为优先保护单元、重点管控单元、一般管控单元三大类。</w:t>
            </w:r>
            <w:r>
              <w:rPr>
                <w:rFonts w:hint="default" w:ascii="Times New Roman" w:hAnsi="Times New Roman" w:cs="Times New Roman"/>
                <w:b w:val="0"/>
                <w:bCs w:val="0"/>
                <w:color w:val="auto"/>
                <w:kern w:val="0"/>
                <w:sz w:val="24"/>
                <w:szCs w:val="24"/>
                <w:lang w:val="en-US" w:eastAsia="zh-CN"/>
              </w:rPr>
              <w:t>本项目所在地位于</w:t>
            </w:r>
            <w:r>
              <w:rPr>
                <w:rFonts w:hint="eastAsia" w:ascii="Times New Roman" w:hAnsi="Times New Roman" w:cs="Times New Roman"/>
                <w:b w:val="0"/>
                <w:bCs w:val="0"/>
                <w:color w:val="auto"/>
                <w:kern w:val="0"/>
                <w:sz w:val="24"/>
                <w:szCs w:val="24"/>
                <w:lang w:val="en-US" w:eastAsia="zh-CN"/>
              </w:rPr>
              <w:t>130团一般管控单</w:t>
            </w:r>
            <w:r>
              <w:rPr>
                <w:rFonts w:hint="eastAsia" w:ascii="Times New Roman" w:hAnsi="Times New Roman" w:eastAsia="宋体" w:cs="Times New Roman"/>
                <w:b w:val="0"/>
                <w:bCs w:val="0"/>
                <w:color w:val="auto"/>
                <w:kern w:val="0"/>
                <w:sz w:val="24"/>
                <w:szCs w:val="24"/>
                <w:lang w:val="en-US" w:eastAsia="zh-CN"/>
              </w:rPr>
              <w:t>元，环境管控单元编号：ZH65770830001（本项目与第七师环境管控单元图的位置关系详见附图1）。本项目与环境管控单元生态环境准入清单的符合性分析详见表1。</w:t>
            </w:r>
          </w:p>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3</w:t>
            </w:r>
            <w:r>
              <w:rPr>
                <w:rFonts w:hint="default" w:ascii="Times New Roman" w:hAnsi="Times New Roman" w:cs="Times New Roman"/>
                <w:b/>
                <w:bCs/>
                <w:color w:val="auto"/>
                <w:kern w:val="0"/>
                <w:sz w:val="24"/>
                <w:szCs w:val="24"/>
                <w:lang w:val="en-US" w:eastAsia="zh-CN"/>
              </w:rPr>
              <w:t>选址环境合理性</w:t>
            </w:r>
          </w:p>
          <w:p>
            <w:pPr>
              <w:pStyle w:val="153"/>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bCs/>
                <w:color w:val="auto"/>
                <w:sz w:val="21"/>
                <w:szCs w:val="21"/>
              </w:rPr>
            </w:pPr>
            <w:r>
              <w:rPr>
                <w:rFonts w:hint="eastAsia" w:ascii="Times New Roman" w:hAnsi="Times New Roman" w:eastAsia="宋体" w:cs="Times New Roman"/>
                <w:b w:val="0"/>
                <w:bCs w:val="0"/>
                <w:color w:val="auto"/>
                <w:kern w:val="0"/>
                <w:sz w:val="24"/>
                <w:szCs w:val="24"/>
                <w:lang w:val="en-US" w:eastAsia="zh-CN" w:bidi="ar-SA"/>
              </w:rPr>
              <w:t>本</w:t>
            </w:r>
            <w:r>
              <w:rPr>
                <w:rFonts w:hint="default" w:ascii="Times New Roman" w:hAnsi="Times New Roman" w:eastAsia="宋体" w:cs="Times New Roman"/>
                <w:b w:val="0"/>
                <w:bCs w:val="0"/>
                <w:color w:val="auto"/>
                <w:kern w:val="0"/>
                <w:sz w:val="24"/>
                <w:szCs w:val="24"/>
                <w:lang w:val="en-US" w:eastAsia="zh-CN" w:bidi="ar-SA"/>
              </w:rPr>
              <w:t>项目建设符合</w:t>
            </w:r>
            <w:r>
              <w:rPr>
                <w:rFonts w:hint="eastAsia" w:ascii="Times New Roman" w:hAnsi="Times New Roman" w:eastAsia="宋体" w:cs="Times New Roman"/>
                <w:color w:val="auto"/>
                <w:sz w:val="24"/>
                <w:szCs w:val="24"/>
                <w:lang w:val="en-US" w:eastAsia="zh-CN"/>
              </w:rPr>
              <w:t>《第</w:t>
            </w:r>
            <w:r>
              <w:rPr>
                <w:rFonts w:hint="eastAsia" w:ascii="Times New Roman" w:cs="Times New Roman"/>
                <w:color w:val="auto"/>
                <w:sz w:val="24"/>
                <w:szCs w:val="24"/>
                <w:lang w:val="en-US" w:eastAsia="zh-CN"/>
              </w:rPr>
              <w:t>七</w:t>
            </w:r>
            <w:r>
              <w:rPr>
                <w:rFonts w:hint="eastAsia" w:ascii="Times New Roman" w:hAnsi="Times New Roman" w:eastAsia="宋体" w:cs="Times New Roman"/>
                <w:color w:val="auto"/>
                <w:sz w:val="24"/>
                <w:szCs w:val="24"/>
                <w:lang w:val="en-US" w:eastAsia="zh-CN"/>
              </w:rPr>
              <w:t>师</w:t>
            </w:r>
            <w:r>
              <w:rPr>
                <w:rFonts w:hint="eastAsia" w:ascii="Times New Roman" w:cs="Times New Roman"/>
                <w:color w:val="auto"/>
                <w:sz w:val="24"/>
                <w:szCs w:val="24"/>
                <w:lang w:val="en-US" w:eastAsia="zh-CN"/>
              </w:rPr>
              <w:t>胡杨河</w:t>
            </w:r>
            <w:r>
              <w:rPr>
                <w:rFonts w:hint="eastAsia" w:ascii="Times New Roman" w:hAnsi="Times New Roman" w:eastAsia="宋体" w:cs="Times New Roman"/>
                <w:color w:val="auto"/>
                <w:sz w:val="24"/>
                <w:szCs w:val="24"/>
                <w:lang w:val="en-US" w:eastAsia="zh-CN"/>
              </w:rPr>
              <w:t>市“三线一单”生态环境分区管控方案》</w:t>
            </w:r>
            <w:r>
              <w:rPr>
                <w:rFonts w:hint="default" w:ascii="Times New Roman" w:hAnsi="Times New Roman" w:eastAsia="宋体" w:cs="Times New Roman"/>
                <w:b w:val="0"/>
                <w:bCs w:val="0"/>
                <w:color w:val="auto"/>
                <w:kern w:val="0"/>
                <w:sz w:val="24"/>
                <w:szCs w:val="24"/>
                <w:lang w:val="en-US" w:eastAsia="zh-CN" w:bidi="ar-SA"/>
              </w:rPr>
              <w:t>关于空间布局约束、污染物排放管控、环境风险防控、资源开发效率的要求。根据</w:t>
            </w:r>
            <w:r>
              <w:rPr>
                <w:rFonts w:hint="eastAsia" w:ascii="Times New Roman" w:hAnsi="Times New Roman" w:cs="Times New Roman"/>
                <w:b w:val="0"/>
                <w:bCs w:val="0"/>
                <w:color w:val="auto"/>
                <w:kern w:val="0"/>
                <w:sz w:val="24"/>
                <w:szCs w:val="24"/>
                <w:lang w:val="en-US" w:eastAsia="zh-CN" w:bidi="ar-SA"/>
              </w:rPr>
              <w:t>第七</w:t>
            </w:r>
            <w:r>
              <w:rPr>
                <w:rFonts w:hint="default" w:ascii="Times New Roman" w:hAnsi="Times New Roman" w:eastAsia="宋体" w:cs="Times New Roman"/>
                <w:b w:val="0"/>
                <w:bCs w:val="0"/>
                <w:color w:val="auto"/>
                <w:kern w:val="0"/>
                <w:sz w:val="24"/>
                <w:szCs w:val="24"/>
                <w:lang w:val="en-US" w:eastAsia="zh-CN" w:bidi="ar-SA"/>
              </w:rPr>
              <w:t>师自然资源和规划局202</w:t>
            </w:r>
            <w:r>
              <w:rPr>
                <w:rFonts w:hint="eastAsia" w:ascii="Times New Roman" w:hAnsi="Times New Roman" w:cs="Times New Roman"/>
                <w:b w:val="0"/>
                <w:bCs w:val="0"/>
                <w:color w:val="auto"/>
                <w:kern w:val="0"/>
                <w:sz w:val="24"/>
                <w:szCs w:val="24"/>
                <w:lang w:val="en-US" w:eastAsia="zh-CN" w:bidi="ar-SA"/>
              </w:rPr>
              <w:t>1</w:t>
            </w:r>
            <w:r>
              <w:rPr>
                <w:rFonts w:hint="default" w:ascii="Times New Roman" w:hAnsi="Times New Roman" w:eastAsia="宋体" w:cs="Times New Roman"/>
                <w:b w:val="0"/>
                <w:bCs w:val="0"/>
                <w:color w:val="auto"/>
                <w:kern w:val="0"/>
                <w:sz w:val="24"/>
                <w:szCs w:val="24"/>
                <w:lang w:val="en-US" w:eastAsia="zh-CN" w:bidi="ar-SA"/>
              </w:rPr>
              <w:t>年</w:t>
            </w:r>
            <w:r>
              <w:rPr>
                <w:rFonts w:hint="eastAsia" w:ascii="Times New Roman" w:hAnsi="Times New Roman" w:cs="Times New Roman"/>
                <w:b w:val="0"/>
                <w:bCs w:val="0"/>
                <w:color w:val="auto"/>
                <w:kern w:val="0"/>
                <w:sz w:val="24"/>
                <w:szCs w:val="24"/>
                <w:lang w:val="en-US" w:eastAsia="zh-CN" w:bidi="ar-SA"/>
              </w:rPr>
              <w:t>12</w:t>
            </w:r>
            <w:r>
              <w:rPr>
                <w:rFonts w:hint="default" w:ascii="Times New Roman" w:hAnsi="Times New Roman" w:eastAsia="宋体" w:cs="Times New Roman"/>
                <w:b w:val="0"/>
                <w:bCs w:val="0"/>
                <w:color w:val="auto"/>
                <w:kern w:val="0"/>
                <w:sz w:val="24"/>
                <w:szCs w:val="24"/>
                <w:lang w:val="en-US" w:eastAsia="zh-CN" w:bidi="ar-SA"/>
              </w:rPr>
              <w:t>月</w:t>
            </w:r>
            <w:r>
              <w:rPr>
                <w:rFonts w:hint="eastAsia" w:ascii="Times New Roman" w:hAnsi="Times New Roman" w:cs="Times New Roman"/>
                <w:b w:val="0"/>
                <w:bCs w:val="0"/>
                <w:color w:val="auto"/>
                <w:kern w:val="0"/>
                <w:sz w:val="24"/>
                <w:szCs w:val="24"/>
                <w:lang w:val="en-US" w:eastAsia="zh-CN" w:bidi="ar-SA"/>
              </w:rPr>
              <w:t>1</w:t>
            </w:r>
            <w:r>
              <w:rPr>
                <w:rFonts w:hint="eastAsia" w:ascii="Times New Roman" w:hAnsi="Times New Roman" w:eastAsia="宋体" w:cs="Times New Roman"/>
                <w:b w:val="0"/>
                <w:bCs w:val="0"/>
                <w:color w:val="auto"/>
                <w:kern w:val="0"/>
                <w:sz w:val="24"/>
                <w:szCs w:val="24"/>
                <w:lang w:val="en-US" w:eastAsia="zh-CN" w:bidi="ar-SA"/>
              </w:rPr>
              <w:t>6</w:t>
            </w:r>
            <w:r>
              <w:rPr>
                <w:rFonts w:hint="default" w:ascii="Times New Roman" w:hAnsi="Times New Roman" w:eastAsia="宋体" w:cs="Times New Roman"/>
                <w:b w:val="0"/>
                <w:bCs w:val="0"/>
                <w:color w:val="auto"/>
                <w:kern w:val="0"/>
                <w:sz w:val="24"/>
                <w:szCs w:val="24"/>
                <w:lang w:val="en-US" w:eastAsia="zh-CN" w:bidi="ar-SA"/>
              </w:rPr>
              <w:t>日出具的建设项目用地预审与选址意见书（用字第6</w:t>
            </w:r>
            <w:r>
              <w:rPr>
                <w:rFonts w:hint="eastAsia" w:ascii="Times New Roman" w:hAnsi="Times New Roman" w:cs="Times New Roman"/>
                <w:b w:val="0"/>
                <w:bCs w:val="0"/>
                <w:color w:val="auto"/>
                <w:kern w:val="0"/>
                <w:sz w:val="24"/>
                <w:szCs w:val="24"/>
                <w:lang w:val="en-US" w:eastAsia="zh-CN" w:bidi="ar-SA"/>
              </w:rPr>
              <w:t>590102021B0161</w:t>
            </w:r>
            <w:r>
              <w:rPr>
                <w:rFonts w:hint="default" w:ascii="Times New Roman" w:hAnsi="Times New Roman" w:eastAsia="宋体" w:cs="Times New Roman"/>
                <w:b w:val="0"/>
                <w:bCs w:val="0"/>
                <w:color w:val="auto"/>
                <w:kern w:val="0"/>
                <w:sz w:val="24"/>
                <w:szCs w:val="24"/>
                <w:lang w:val="en-US" w:eastAsia="zh-CN" w:bidi="ar-SA"/>
              </w:rPr>
              <w:t>号）（详见附件）</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用地性质为医疗卫生用地，</w:t>
            </w:r>
            <w:r>
              <w:rPr>
                <w:rFonts w:hint="default" w:ascii="Times New Roman" w:hAnsi="Times New Roman" w:eastAsia="宋体" w:cs="Times New Roman"/>
                <w:b w:val="0"/>
                <w:bCs w:val="0"/>
                <w:color w:val="auto"/>
                <w:kern w:val="0"/>
                <w:sz w:val="24"/>
                <w:szCs w:val="24"/>
                <w:lang w:val="en-US" w:eastAsia="zh-CN" w:bidi="ar-SA"/>
              </w:rPr>
              <w:t>本项目建设用地符合国土空间用途管制要求。项目厂界外50m范围内无声环境保护目标、500米范围内无大气环境保护目标。项目运行过程中产生的污染物通过采取相应防治措施后均达标排放，该项目建设不会改变区域环境功能类别。从环境角度考虑，本项目选址合理。</w:t>
            </w:r>
          </w:p>
          <w:p>
            <w:pPr>
              <w:pStyle w:val="153"/>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表1</w:t>
            </w:r>
            <w:r>
              <w:rPr>
                <w:rFonts w:hint="eastAsia" w:ascii="Times New Roman" w:cs="Times New Roman"/>
                <w:b/>
                <w:color w:val="auto"/>
                <w:kern w:val="2"/>
                <w:sz w:val="24"/>
                <w:szCs w:val="24"/>
                <w:highlight w:val="none"/>
                <w:lang w:val="en-US" w:eastAsia="zh-CN" w:bidi="ar-SA"/>
              </w:rPr>
              <w:t>-1</w:t>
            </w:r>
            <w:r>
              <w:rPr>
                <w:rFonts w:hint="eastAsia" w:ascii="Times New Roman" w:hAnsi="Times New Roman" w:cs="Times New Roman"/>
                <w:b/>
                <w:color w:val="auto"/>
                <w:kern w:val="2"/>
                <w:sz w:val="24"/>
                <w:szCs w:val="24"/>
                <w:highlight w:val="none"/>
                <w:lang w:val="en-US" w:eastAsia="zh-CN" w:bidi="ar-SA"/>
              </w:rPr>
              <w:t xml:space="preserve">  </w:t>
            </w:r>
            <w:r>
              <w:rPr>
                <w:rFonts w:hint="eastAsia" w:ascii="Times New Roman" w:hAnsi="Times New Roman" w:eastAsia="宋体" w:cs="Times New Roman"/>
                <w:b/>
                <w:color w:val="auto"/>
                <w:kern w:val="2"/>
                <w:sz w:val="24"/>
                <w:szCs w:val="24"/>
                <w:highlight w:val="none"/>
                <w:lang w:val="en-US" w:eastAsia="zh-CN" w:bidi="ar-SA"/>
              </w:rPr>
              <w:t>项目与总体准入要求符合性分析一览表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8"/>
              <w:gridCol w:w="2625"/>
              <w:gridCol w:w="2743"/>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管控维度</w:t>
                  </w:r>
                </w:p>
              </w:tc>
              <w:tc>
                <w:tcPr>
                  <w:tcW w:w="2625"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管控内容</w:t>
                  </w:r>
                </w:p>
              </w:tc>
              <w:tc>
                <w:tcPr>
                  <w:tcW w:w="2743"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项目概况</w:t>
                  </w:r>
                </w:p>
              </w:tc>
              <w:tc>
                <w:tcPr>
                  <w:tcW w:w="684"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Merge w:val="restart"/>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空间布</w:t>
                  </w: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局约束</w:t>
                  </w:r>
                </w:p>
              </w:tc>
              <w:tc>
                <w:tcPr>
                  <w:tcW w:w="2625"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禁止采伐天然林，对已遭受破坏的林草生态系统，积极组织重建与恢复。</w:t>
                  </w:r>
                </w:p>
              </w:tc>
              <w:tc>
                <w:tcPr>
                  <w:tcW w:w="2743"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本项目建设占用未利用地，未占用林地。</w:t>
                  </w:r>
                </w:p>
              </w:tc>
              <w:tc>
                <w:tcPr>
                  <w:tcW w:w="684"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p>
              </w:tc>
              <w:tc>
                <w:tcPr>
                  <w:tcW w:w="2625"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加大人工造林、退耕还草、生态经济兼用林等工程建设；加强天然林保护区各项基础设施建设。</w:t>
                  </w:r>
                </w:p>
              </w:tc>
              <w:tc>
                <w:tcPr>
                  <w:tcW w:w="2743"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本项目建设占用未利用地，未占用耕地。</w:t>
                  </w:r>
                </w:p>
              </w:tc>
              <w:tc>
                <w:tcPr>
                  <w:tcW w:w="684"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p>
              </w:tc>
              <w:tc>
                <w:tcPr>
                  <w:tcW w:w="2625"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完善团场外围防风固沙林与农田林网配套建设，进一步完善综合防护林体系。将保护现有荒漠植被作为防沙治沙的首要任务，持续开展防沙治沙工作，保护绿洲边缘荒漠林，避免营造高耗水的人工速生林</w:t>
                  </w:r>
                  <w:r>
                    <w:rPr>
                      <w:rFonts w:hint="eastAsia" w:ascii="Times New Roman" w:hAnsi="Times New Roman" w:eastAsia="宋体" w:cs="Times New Roman"/>
                      <w:color w:val="auto"/>
                      <w:sz w:val="21"/>
                      <w:szCs w:val="21"/>
                      <w:vertAlign w:val="baseline"/>
                      <w:lang w:val="en-US" w:eastAsia="zh-CN"/>
                    </w:rPr>
                    <w:t>。</w:t>
                  </w:r>
                </w:p>
              </w:tc>
              <w:tc>
                <w:tcPr>
                  <w:tcW w:w="2743"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本项目建设占用未利用地，未占用耕地、林地。</w:t>
                  </w:r>
                </w:p>
              </w:tc>
              <w:tc>
                <w:tcPr>
                  <w:tcW w:w="684"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8"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color w:val="auto"/>
                      <w:sz w:val="21"/>
                      <w:szCs w:val="21"/>
                      <w:vertAlign w:val="baseline"/>
                      <w:lang w:val="en-US" w:eastAsia="zh-CN"/>
                    </w:rPr>
                  </w:pP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污染排</w:t>
                  </w: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放管控</w:t>
                  </w:r>
                </w:p>
              </w:tc>
              <w:tc>
                <w:tcPr>
                  <w:tcW w:w="2625"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both"/>
                    <w:textAlignment w:val="auto"/>
                    <w:rPr>
                      <w:rStyle w:val="98"/>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严格落实环境保护目标责任制，强化污染物总量控制目标考核，健全重大环境事件和污染事故责任追究制度，加大问责力度。强化环境执法监督，严格污染物排放标准、环境影响评价和污染物排放许可制度，进一步健全环境监管体制。严格执行行业排放标准、清洁生产标准，降低污染物产生强度、排放强度。</w:t>
                  </w:r>
                </w:p>
              </w:tc>
              <w:tc>
                <w:tcPr>
                  <w:tcW w:w="2743"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jc w:val="both"/>
                    <w:textAlignment w:val="auto"/>
                    <w:rPr>
                      <w:rStyle w:val="98"/>
                      <w:rFonts w:hint="default" w:ascii="Times New Roman" w:hAnsi="Times New Roman" w:eastAsia="宋体" w:cs="Times New Roman"/>
                      <w:color w:val="auto"/>
                      <w:kern w:val="2"/>
                      <w:sz w:val="21"/>
                      <w:szCs w:val="21"/>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center"/>
                    <w:textAlignment w:val="auto"/>
                    <w:rPr>
                      <w:rStyle w:val="98"/>
                      <w:rFonts w:hint="default" w:ascii="Times New Roman" w:hAnsi="Times New Roman" w:eastAsia="宋体" w:cs="Times New Roman"/>
                      <w:color w:val="auto"/>
                      <w:kern w:val="2"/>
                      <w:sz w:val="21"/>
                      <w:szCs w:val="21"/>
                      <w:lang w:val="en-US" w:eastAsia="zh-CN" w:bidi="ar-SA"/>
                    </w:rPr>
                  </w:pPr>
                  <w:r>
                    <w:rPr>
                      <w:rStyle w:val="98"/>
                      <w:rFonts w:hint="default" w:ascii="Times New Roman" w:hAnsi="Times New Roman" w:eastAsia="宋体" w:cs="Times New Roman"/>
                      <w:color w:val="auto"/>
                      <w:kern w:val="2"/>
                      <w:sz w:val="21"/>
                      <w:szCs w:val="21"/>
                      <w:lang w:val="en-US" w:eastAsia="zh-CN" w:bidi="ar-SA"/>
                    </w:rPr>
                    <w:t>本项目建成后各污染物均能达标排放，在落实本评价提出的污染防治措施、严格落实排污总量制度下项目排放的污染物对周边环境影响较小</w:t>
                  </w:r>
                  <w:r>
                    <w:rPr>
                      <w:rStyle w:val="98"/>
                      <w:rFonts w:hint="eastAsia" w:ascii="Times New Roman" w:hAnsi="Times New Roman" w:eastAsia="宋体" w:cs="Times New Roman"/>
                      <w:color w:val="auto"/>
                      <w:kern w:val="2"/>
                      <w:sz w:val="21"/>
                      <w:szCs w:val="21"/>
                      <w:lang w:val="en-US" w:eastAsia="zh-CN" w:bidi="ar-SA"/>
                    </w:rPr>
                    <w:t>。</w:t>
                  </w:r>
                </w:p>
              </w:tc>
              <w:tc>
                <w:tcPr>
                  <w:tcW w:w="684"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资源开发利用效率</w:t>
                  </w:r>
                </w:p>
              </w:tc>
              <w:tc>
                <w:tcPr>
                  <w:tcW w:w="2625" w:type="dxa"/>
                  <w:noWrap w:val="0"/>
                  <w:vAlign w:val="center"/>
                </w:tcPr>
                <w:p>
                  <w:pPr>
                    <w:keepNext w:val="0"/>
                    <w:keepLines w:val="0"/>
                    <w:pageBreakBefore w:val="0"/>
                    <w:widowControl/>
                    <w:kinsoku/>
                    <w:wordWrap/>
                    <w:overflowPunct/>
                    <w:topLinePunct w:val="0"/>
                    <w:autoSpaceDE/>
                    <w:autoSpaceDN/>
                    <w:bidi w:val="0"/>
                    <w:adjustRightInd/>
                    <w:spacing w:line="300" w:lineRule="exact"/>
                    <w:textAlignment w:val="auto"/>
                    <w:rPr>
                      <w:rStyle w:val="98"/>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vertAlign w:val="baseline"/>
                      <w:lang w:val="en-US" w:eastAsia="zh-CN"/>
                    </w:rPr>
                    <w:t>加强中水回用，提高水资源利用率；对七师所掌握的水资源进行综合统筹利用，编制园区的水资源论证报告，落实供水方案，保障产业发展的需求。</w:t>
                  </w:r>
                  <w:r>
                    <w:rPr>
                      <w:rFonts w:ascii="Times New Roman" w:hAnsi="Times New Roman"/>
                      <w:color w:val="auto"/>
                      <w:szCs w:val="21"/>
                    </w:rPr>
                    <w:t>组织开展燃煤锅炉节能减排攻坚战，完成燃煤工业锅炉能效普查年度任务；推进锅炉系统安全节能标准化管理。强化废物在企业内部的循环使用和综合利用，推广循环经济模式，减少固体废物的产生量。促进清洁生产。加强对重点企业的清洁生产审核和评估验收。</w:t>
                  </w:r>
                </w:p>
              </w:tc>
              <w:tc>
                <w:tcPr>
                  <w:tcW w:w="2743"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both"/>
                    <w:textAlignment w:val="auto"/>
                    <w:rPr>
                      <w:rStyle w:val="98"/>
                      <w:rFonts w:hint="default" w:ascii="Times New Roman" w:hAnsi="Times New Roman" w:eastAsia="宋体" w:cs="Times New Roman"/>
                      <w:color w:val="auto"/>
                      <w:kern w:val="2"/>
                      <w:sz w:val="21"/>
                      <w:szCs w:val="21"/>
                      <w:lang w:val="en-US" w:eastAsia="zh-CN" w:bidi="ar-SA"/>
                    </w:rPr>
                  </w:pP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both"/>
                    <w:textAlignment w:val="auto"/>
                    <w:rPr>
                      <w:rStyle w:val="98"/>
                      <w:rFonts w:hint="default" w:ascii="Times New Roman" w:hAnsi="Times New Roman" w:eastAsia="宋体" w:cs="Times New Roman"/>
                      <w:color w:val="auto"/>
                      <w:kern w:val="2"/>
                      <w:sz w:val="21"/>
                      <w:szCs w:val="21"/>
                      <w:lang w:val="en-US" w:eastAsia="zh-CN" w:bidi="ar-SA"/>
                    </w:rPr>
                  </w:pPr>
                  <w:r>
                    <w:rPr>
                      <w:rStyle w:val="98"/>
                      <w:rFonts w:hint="default" w:ascii="Times New Roman" w:hAnsi="Times New Roman" w:eastAsia="宋体" w:cs="Times New Roman"/>
                      <w:color w:val="auto"/>
                      <w:kern w:val="2"/>
                      <w:sz w:val="21"/>
                      <w:szCs w:val="21"/>
                      <w:lang w:val="en-US" w:eastAsia="zh-CN" w:bidi="ar-SA"/>
                    </w:rPr>
                    <w:t>本项</w:t>
                  </w:r>
                  <w:r>
                    <w:rPr>
                      <w:rStyle w:val="98"/>
                      <w:rFonts w:hint="eastAsia" w:ascii="Times New Roman" w:hAnsi="Times New Roman" w:eastAsia="宋体" w:cs="Times New Roman"/>
                      <w:color w:val="auto"/>
                      <w:kern w:val="2"/>
                      <w:sz w:val="21"/>
                      <w:szCs w:val="21"/>
                      <w:lang w:val="en-US" w:eastAsia="zh-CN" w:bidi="ar-SA"/>
                    </w:rPr>
                    <w:t>目利用的资源主要为土地资源、水资源和电资源。</w:t>
                  </w:r>
                  <w:r>
                    <w:rPr>
                      <w:rFonts w:hint="eastAsia" w:ascii="Times New Roman" w:hAnsi="Times New Roman" w:eastAsia="宋体" w:cs="Times New Roman"/>
                      <w:color w:val="auto"/>
                      <w:kern w:val="2"/>
                      <w:sz w:val="21"/>
                      <w:szCs w:val="21"/>
                      <w:vertAlign w:val="baseline"/>
                      <w:lang w:val="en-US" w:eastAsia="zh-CN" w:bidi="ar-SA"/>
                    </w:rPr>
                    <w:t>本项目用地占用未利用地，</w:t>
                  </w:r>
                  <w:r>
                    <w:rPr>
                      <w:rFonts w:hint="default" w:ascii="Times New Roman" w:hAnsi="Times New Roman" w:eastAsia="宋体" w:cs="Times New Roman"/>
                      <w:color w:val="auto"/>
                      <w:kern w:val="2"/>
                      <w:sz w:val="21"/>
                      <w:szCs w:val="21"/>
                      <w:vertAlign w:val="baseline"/>
                      <w:lang w:val="en-US" w:eastAsia="zh-CN" w:bidi="ar-SA"/>
                    </w:rPr>
                    <w:t>符合当地土地总体利用规划</w:t>
                  </w:r>
                  <w:r>
                    <w:rPr>
                      <w:rFonts w:hint="eastAsia" w:ascii="Times New Roman" w:hAnsi="Times New Roman" w:eastAsia="宋体" w:cs="Times New Roman"/>
                      <w:color w:val="auto"/>
                      <w:kern w:val="2"/>
                      <w:sz w:val="21"/>
                      <w:szCs w:val="21"/>
                      <w:vertAlign w:val="baseline"/>
                      <w:lang w:val="en-US" w:eastAsia="zh-CN" w:bidi="ar-SA"/>
                    </w:rPr>
                    <w:t>；用水不会使胡杨河市供水突破上线，用电由市</w:t>
                  </w:r>
                  <w:r>
                    <w:rPr>
                      <w:rStyle w:val="98"/>
                      <w:rFonts w:hint="eastAsia" w:ascii="Times New Roman" w:hAnsi="Times New Roman" w:eastAsia="宋体" w:cs="Times New Roman"/>
                      <w:color w:val="auto"/>
                      <w:kern w:val="2"/>
                      <w:sz w:val="21"/>
                      <w:szCs w:val="21"/>
                      <w:lang w:val="en-US" w:eastAsia="zh-CN" w:bidi="ar-SA"/>
                    </w:rPr>
                    <w:t>政供电。</w:t>
                  </w:r>
                </w:p>
              </w:tc>
              <w:tc>
                <w:tcPr>
                  <w:tcW w:w="684"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color w:val="auto"/>
                      <w:sz w:val="21"/>
                      <w:szCs w:val="21"/>
                      <w:vertAlign w:val="baseline"/>
                      <w:lang w:val="en-US" w:eastAsia="zh-CN"/>
                    </w:rPr>
                  </w:pPr>
                  <w:r>
                    <w:rPr>
                      <w:rFonts w:hint="default"/>
                      <w:color w:val="auto"/>
                      <w:sz w:val="21"/>
                      <w:szCs w:val="21"/>
                      <w:vertAlign w:val="baseline"/>
                      <w:lang w:val="en-US" w:eastAsia="zh-CN"/>
                    </w:rPr>
                    <w:t>环境风险防控</w:t>
                  </w:r>
                </w:p>
              </w:tc>
              <w:tc>
                <w:tcPr>
                  <w:tcW w:w="2625"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firstLine="0" w:firstLineChars="0"/>
                    <w:jc w:val="both"/>
                    <w:textAlignment w:val="auto"/>
                    <w:rPr>
                      <w:rStyle w:val="98"/>
                      <w:rFonts w:hint="eastAsia" w:ascii="Times New Roman" w:hAnsi="Times New Roman" w:eastAsia="宋体" w:cs="Times New Roman"/>
                      <w:color w:val="auto"/>
                      <w:kern w:val="2"/>
                      <w:sz w:val="21"/>
                      <w:szCs w:val="21"/>
                      <w:lang w:val="en-US" w:eastAsia="zh-CN" w:bidi="ar-SA"/>
                    </w:rPr>
                  </w:pPr>
                  <w:r>
                    <w:rPr>
                      <w:rStyle w:val="98"/>
                      <w:rFonts w:hint="default" w:ascii="Times New Roman" w:hAnsi="Times New Roman" w:eastAsia="宋体" w:cs="Times New Roman"/>
                      <w:color w:val="auto"/>
                      <w:kern w:val="2"/>
                      <w:sz w:val="21"/>
                      <w:szCs w:val="21"/>
                      <w:lang w:val="en-US" w:eastAsia="zh-CN" w:bidi="ar-SA"/>
                    </w:rPr>
                    <w:t>加强危险废物管理。加大危险废物管理法律法规宣传；继续开展危险废物经营许可证管理；加快医疗废物专业收集运输体系和集中处置设施的建设，做好医疗废物污染环境防治。</w:t>
                  </w:r>
                </w:p>
              </w:tc>
              <w:tc>
                <w:tcPr>
                  <w:tcW w:w="2743"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0" w:firstLineChars="0"/>
                    <w:jc w:val="left"/>
                    <w:textAlignment w:val="auto"/>
                    <w:rPr>
                      <w:rStyle w:val="98"/>
                      <w:rFonts w:hint="default" w:ascii="Times New Roman" w:hAnsi="Times New Roman" w:eastAsia="宋体" w:cs="Times New Roman"/>
                      <w:color w:val="auto"/>
                      <w:kern w:val="2"/>
                      <w:sz w:val="21"/>
                      <w:szCs w:val="21"/>
                      <w:lang w:val="en-US" w:eastAsia="zh-CN" w:bidi="ar-SA"/>
                    </w:rPr>
                  </w:pPr>
                  <w:r>
                    <w:rPr>
                      <w:rStyle w:val="98"/>
                      <w:rFonts w:hint="default" w:ascii="Times New Roman" w:hAnsi="Times New Roman" w:eastAsia="宋体" w:cs="Times New Roman"/>
                      <w:color w:val="auto"/>
                      <w:kern w:val="2"/>
                      <w:sz w:val="21"/>
                      <w:szCs w:val="21"/>
                      <w:lang w:val="en-US" w:eastAsia="zh-CN" w:bidi="ar-SA"/>
                    </w:rPr>
                    <w:t>本项目</w:t>
                  </w:r>
                  <w:r>
                    <w:rPr>
                      <w:rStyle w:val="98"/>
                      <w:rFonts w:hint="eastAsia" w:ascii="Times New Roman" w:hAnsi="Times New Roman" w:eastAsia="宋体" w:cs="Times New Roman"/>
                      <w:color w:val="auto"/>
                      <w:kern w:val="2"/>
                      <w:sz w:val="21"/>
                      <w:szCs w:val="21"/>
                      <w:lang w:val="en-US" w:eastAsia="zh-CN" w:bidi="ar-SA"/>
                    </w:rPr>
                    <w:t>产生的医疗废物</w:t>
                  </w:r>
                  <w:r>
                    <w:rPr>
                      <w:rFonts w:hint="default" w:ascii="Times New Roman" w:hAnsi="Times New Roman" w:eastAsia="宋体" w:cs="Times New Roman"/>
                      <w:color w:val="auto"/>
                      <w:szCs w:val="21"/>
                    </w:rPr>
                    <w:t>分类收集暂存于，统一交由有资质单位处理</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生活垃圾</w:t>
                  </w:r>
                  <w:r>
                    <w:rPr>
                      <w:rFonts w:hint="default" w:ascii="Times New Roman" w:hAnsi="Times New Roman" w:eastAsia="宋体" w:cs="Times New Roman"/>
                      <w:color w:val="auto"/>
                      <w:szCs w:val="21"/>
                      <w:lang w:eastAsia="zh-CN"/>
                    </w:rPr>
                    <w:t>定点堆放，定时运至垃圾场</w:t>
                  </w:r>
                  <w:r>
                    <w:rPr>
                      <w:rFonts w:hint="eastAsia" w:ascii="Times New Roman" w:hAnsi="Times New Roman" w:eastAsia="宋体" w:cs="Times New Roman"/>
                      <w:color w:val="auto"/>
                      <w:szCs w:val="21"/>
                      <w:lang w:eastAsia="zh-CN"/>
                    </w:rPr>
                    <w:t>。</w:t>
                  </w:r>
                </w:p>
              </w:tc>
              <w:tc>
                <w:tcPr>
                  <w:tcW w:w="684"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color w:val="auto"/>
                      <w:sz w:val="21"/>
                      <w:szCs w:val="21"/>
                      <w:vertAlign w:val="baseline"/>
                      <w:lang w:val="en-US" w:eastAsia="zh-CN"/>
                    </w:rPr>
                  </w:pPr>
                  <w:r>
                    <w:rPr>
                      <w:rFonts w:hint="eastAsia"/>
                      <w:color w:val="auto"/>
                      <w:sz w:val="21"/>
                      <w:szCs w:val="21"/>
                      <w:vertAlign w:val="baseline"/>
                      <w:lang w:val="en-US" w:eastAsia="zh-CN"/>
                    </w:rPr>
                    <w:t>符合</w:t>
                  </w:r>
                </w:p>
              </w:tc>
            </w:tr>
          </w:tbl>
          <w:p>
            <w:pPr>
              <w:autoSpaceDE w:val="0"/>
              <w:autoSpaceDN w:val="0"/>
              <w:adjustRightInd w:val="0"/>
              <w:snapToGrid w:val="0"/>
              <w:spacing w:before="157" w:beforeLines="50" w:line="360" w:lineRule="auto"/>
              <w:ind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w:t>
            </w:r>
            <w:r>
              <w:rPr>
                <w:rFonts w:hint="eastAsia" w:ascii="Times New Roman" w:hAnsi="Times New Roman" w:cs="Times New Roman"/>
                <w:color w:val="auto"/>
                <w:sz w:val="24"/>
                <w:highlight w:val="none"/>
                <w:lang w:val="en-US" w:eastAsia="zh-CN" w:bidi="ar-SA"/>
              </w:rPr>
              <w:t>“</w:t>
            </w:r>
            <w:r>
              <w:rPr>
                <w:rFonts w:hint="eastAsia" w:ascii="Times New Roman" w:hAnsi="Times New Roman" w:cs="Times New Roman"/>
                <w:color w:val="auto"/>
                <w:sz w:val="24"/>
                <w:highlight w:val="none"/>
                <w:lang w:val="en-US" w:bidi="ar-SA"/>
              </w:rPr>
              <w:t>十四五</w:t>
            </w:r>
            <w:r>
              <w:rPr>
                <w:rFonts w:hint="eastAsia" w:ascii="Times New Roman" w:hAnsi="Times New Roman" w:cs="Times New Roman"/>
                <w:color w:val="auto"/>
                <w:sz w:val="24"/>
                <w:highlight w:val="none"/>
                <w:lang w:val="en-US" w:eastAsia="zh-CN" w:bidi="ar-SA"/>
              </w:rPr>
              <w:t>”</w:t>
            </w:r>
            <w:r>
              <w:rPr>
                <w:rFonts w:hint="eastAsia" w:ascii="Times New Roman" w:hAnsi="Times New Roman" w:cs="Times New Roman"/>
                <w:color w:val="auto"/>
                <w:sz w:val="24"/>
                <w:highlight w:val="none"/>
                <w:lang w:val="en-US" w:bidi="ar-SA"/>
              </w:rPr>
              <w:t>优质高效医疗卫生服务体系建设实施方案</w:t>
            </w:r>
            <w:r>
              <w:rPr>
                <w:rFonts w:hint="eastAsia" w:ascii="Times New Roman" w:hAnsi="Times New Roman" w:eastAsia="宋体" w:cs="Times New Roman"/>
                <w:color w:val="auto"/>
                <w:sz w:val="24"/>
                <w:highlight w:val="none"/>
                <w:lang w:val="en-US" w:eastAsia="zh-CN"/>
              </w:rPr>
              <w:t>》，旨在加快构建强大公共卫生体系，推动优质医疗资源扩容和区域均衡布局，提高全方位全周期健康服务与保障能力，促进中医药传承创新。方案指出，到2025年，在中央和地方共同努力下，基本建成体系完整、布局合理、分工明确、功能互补、密切协作、运行高效、富有韧性的优质高效整合型医疗卫生服务体系，重大疫情防控救治和突发公共卫生事件应对水平显著提升，国家医学中心、区域医疗中心等重大基地建设取得明显进展，全方位全周期健康服务与保障能力显著增强，中医药服务体系更加健全，努力让广大人民群众就近享有公平可及、系统连续的高质量医疗卫生服务。</w:t>
            </w:r>
          </w:p>
          <w:p>
            <w:pPr>
              <w:autoSpaceDE w:val="0"/>
              <w:autoSpaceDN w:val="0"/>
              <w:adjustRightInd w:val="0"/>
              <w:snapToGrid w:val="0"/>
              <w:jc w:val="center"/>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表1-2  与规划条件相符性分析</w:t>
            </w:r>
          </w:p>
          <w:tbl>
            <w:tblPr>
              <w:tblStyle w:val="2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4105"/>
              <w:gridCol w:w="2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577" w:type="pct"/>
                  <w:noWrap w:val="0"/>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序号</w:t>
                  </w:r>
                </w:p>
              </w:tc>
              <w:tc>
                <w:tcPr>
                  <w:tcW w:w="2874" w:type="pct"/>
                  <w:noWrap w:val="0"/>
                  <w:vAlign w:val="center"/>
                </w:tcPr>
                <w:p>
                  <w:pPr>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条件</w:t>
                  </w:r>
                </w:p>
              </w:tc>
              <w:tc>
                <w:tcPr>
                  <w:tcW w:w="1547" w:type="pct"/>
                  <w:noWrap w:val="0"/>
                  <w:vAlign w:val="center"/>
                </w:tcPr>
                <w:p>
                  <w:pPr>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7" w:type="pct"/>
                  <w:noWrap w:val="0"/>
                  <w:vAlign w:val="center"/>
                </w:tcPr>
                <w:p>
                  <w:pPr>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1</w:t>
                  </w:r>
                </w:p>
              </w:tc>
              <w:tc>
                <w:tcPr>
                  <w:tcW w:w="2874" w:type="pct"/>
                  <w:noWrap w:val="0"/>
                  <w:vAlign w:val="center"/>
                </w:tcPr>
                <w:p>
                  <w:pPr>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中央预算内投资重点支持国家医学中心、区域医疗中心建设，推动省域优质医疗资源扩容下沉，支持脱贫地区、三区三州、中央苏区、易地扶贫搬迁安置地区县级医院提标扩能，加快数字健康基础设施建设，推进健康医疗大数据体系建设，扩大优质医疗资源辐射覆盖范围，进一步缩小区域、城乡差距，更好满足群众就近享有高水平医疗服务需求。将中医医院统筹纳入国家医学中心、区域医疗中心等重大建设项目。地方政府要切实履行公立医疗机构建设主体责任，加快未能纳入中央预算内投资支持范围的市、县级医院建设，全面推进社区医院和基层医疗卫生机构建设，力争实现每个地市都有三甲医院，服务人口超过100万的县有达到城市三级医院硬件设施和服务能力的县级医院。</w:t>
                  </w:r>
                </w:p>
              </w:tc>
              <w:tc>
                <w:tcPr>
                  <w:tcW w:w="1547" w:type="pct"/>
                  <w:noWrap w:val="0"/>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本项目为</w:t>
                  </w:r>
                  <w:r>
                    <w:rPr>
                      <w:rFonts w:hint="eastAsia" w:ascii="Times New Roman" w:hAnsi="Times New Roman" w:cs="Times New Roman"/>
                      <w:color w:val="auto"/>
                      <w:szCs w:val="21"/>
                      <w:highlight w:val="none"/>
                      <w:lang w:eastAsia="zh-CN"/>
                    </w:rPr>
                    <w:t>中医院项</w:t>
                  </w:r>
                  <w:r>
                    <w:rPr>
                      <w:rFonts w:hint="eastAsia" w:ascii="Times New Roman" w:hAnsi="Times New Roman" w:cs="Times New Roman"/>
                      <w:color w:val="auto"/>
                      <w:szCs w:val="21"/>
                      <w:highlight w:val="none"/>
                      <w:lang w:val="en-US" w:eastAsia="zh-CN"/>
                    </w:rPr>
                    <w:t>目</w:t>
                  </w:r>
                  <w:r>
                    <w:rPr>
                      <w:rFonts w:hint="eastAsia" w:ascii="Times New Roman" w:hAnsi="Times New Roman" w:cs="Times New Roman"/>
                      <w:color w:val="auto"/>
                      <w:szCs w:val="21"/>
                      <w:highlight w:val="none"/>
                    </w:rPr>
                    <w:t>，符合</w:t>
                  </w:r>
                  <w:r>
                    <w:rPr>
                      <w:rFonts w:hint="eastAsia" w:ascii="Times New Roman" w:hAnsi="Times New Roman" w:cs="Times New Roman"/>
                      <w:color w:val="auto"/>
                      <w:szCs w:val="21"/>
                      <w:highlight w:val="none"/>
                      <w:lang w:eastAsia="zh-CN"/>
                    </w:rPr>
                    <w:t>规划</w:t>
                  </w:r>
                  <w:r>
                    <w:rPr>
                      <w:rFonts w:hint="eastAsia" w:ascii="Times New Roman" w:hAnsi="Times New Roman" w:cs="Times New Roman"/>
                      <w:color w:val="auto"/>
                      <w:szCs w:val="21"/>
                      <w:highlight w:val="none"/>
                    </w:rPr>
                    <w:t>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7" w:type="pct"/>
                  <w:noWrap w:val="0"/>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2</w:t>
                  </w:r>
                </w:p>
              </w:tc>
              <w:tc>
                <w:tcPr>
                  <w:tcW w:w="2874" w:type="pct"/>
                  <w:noWrap w:val="0"/>
                  <w:vAlign w:val="center"/>
                </w:tcPr>
                <w:p>
                  <w:pPr>
                    <w:jc w:val="center"/>
                    <w:rPr>
                      <w:rFonts w:hint="eastAsia" w:ascii="Times New Roman" w:hAnsi="Times New Roman" w:cs="Times New Roman"/>
                      <w:color w:val="auto"/>
                      <w:szCs w:val="21"/>
                      <w:highlight w:val="none"/>
                    </w:rPr>
                  </w:pPr>
                  <w:r>
                    <w:rPr>
                      <w:rFonts w:hint="eastAsia" w:ascii="Times New Roman" w:hAnsi="Times New Roman" w:cs="Times New Roman"/>
                      <w:color w:val="auto"/>
                      <w:szCs w:val="21"/>
                      <w:highlight w:val="none"/>
                    </w:rPr>
                    <w:t>中央预算内投资重点支持国家中医医学中心、区域中医医疗中心、国家中医药传承创新中心、国家中医疫病防治基地、中西医协同“旗舰”医院、中医特色重点医院和名医堂建设，积极谋划国家中医药博物馆建设，发挥中医药整体医学优势，推动建成融预防保健、疾病治疗和康复于一体的中医药服务体系，促进中医药传承创新发展。</w:t>
                  </w:r>
                </w:p>
              </w:tc>
              <w:tc>
                <w:tcPr>
                  <w:tcW w:w="1547" w:type="pct"/>
                  <w:noWrap w:val="0"/>
                  <w:vAlign w:val="center"/>
                </w:tcPr>
                <w:p>
                  <w:pPr>
                    <w:jc w:val="center"/>
                    <w:rPr>
                      <w:rFonts w:hint="default"/>
                      <w:color w:val="auto"/>
                      <w:highlight w:val="none"/>
                      <w:lang w:val="en-US"/>
                    </w:rPr>
                  </w:pPr>
                  <w:r>
                    <w:rPr>
                      <w:rFonts w:hint="eastAsia" w:ascii="Times New Roman" w:hAnsi="Times New Roman" w:cs="Times New Roman"/>
                      <w:color w:val="auto"/>
                      <w:szCs w:val="21"/>
                      <w:highlight w:val="none"/>
                      <w:lang w:val="en-US" w:eastAsia="zh-CN"/>
                    </w:rPr>
                    <w:t>本项目中医院项目，是预防保健、疾病治疗和康复于一体的中医药服务体系，符合规划条件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7" w:type="pct"/>
                  <w:noWrap w:val="0"/>
                  <w:vAlign w:val="center"/>
                </w:tcPr>
                <w:p>
                  <w:pPr>
                    <w:jc w:val="center"/>
                    <w:rPr>
                      <w:rFonts w:ascii="Times New Roman" w:hAnsi="Times New Roman" w:cs="Times New Roman"/>
                      <w:color w:val="auto"/>
                      <w:szCs w:val="21"/>
                      <w:highlight w:val="none"/>
                    </w:rPr>
                  </w:pPr>
                  <w:r>
                    <w:rPr>
                      <w:rFonts w:hint="eastAsia" w:ascii="Times New Roman" w:hAnsi="Times New Roman" w:cs="Times New Roman"/>
                      <w:color w:val="auto"/>
                      <w:szCs w:val="21"/>
                      <w:highlight w:val="none"/>
                    </w:rPr>
                    <w:t>3</w:t>
                  </w:r>
                </w:p>
              </w:tc>
              <w:tc>
                <w:tcPr>
                  <w:tcW w:w="2874" w:type="pct"/>
                  <w:noWrap w:val="0"/>
                  <w:vAlign w:val="center"/>
                </w:tcPr>
                <w:p>
                  <w:pPr>
                    <w:jc w:val="center"/>
                    <w:rPr>
                      <w:rFonts w:hint="eastAsia" w:ascii="Times New Roman" w:hAnsi="Times New Roman" w:cs="Times New Roman"/>
                      <w:color w:val="auto"/>
                      <w:spacing w:val="0"/>
                      <w:sz w:val="21"/>
                      <w:szCs w:val="21"/>
                      <w:highlight w:val="none"/>
                    </w:rPr>
                  </w:pPr>
                  <w:r>
                    <w:rPr>
                      <w:rFonts w:hint="eastAsia" w:ascii="Times New Roman" w:hAnsi="Times New Roman" w:cs="Times New Roman"/>
                      <w:color w:val="auto"/>
                      <w:spacing w:val="0"/>
                      <w:sz w:val="21"/>
                      <w:szCs w:val="21"/>
                      <w:highlight w:val="none"/>
                    </w:rPr>
                    <w:t>根据“平急结合、高效准备，专兼结合、合理布局，协调联动、快速反应”的原则，建设35个左右、覆盖所有省份的国家中医疫病防治基地，提高中医药在新发突发传染病等重大公共卫生事件发生时的第一时间快速反应参与救治能力和危急重症患者集中收治能力，带动提升区域内中医疫病防治能力。</w:t>
                  </w:r>
                </w:p>
              </w:tc>
              <w:tc>
                <w:tcPr>
                  <w:tcW w:w="1547" w:type="pct"/>
                  <w:noWrap w:val="0"/>
                  <w:vAlign w:val="center"/>
                </w:tcPr>
                <w:p>
                  <w:pPr>
                    <w:jc w:val="center"/>
                    <w:rPr>
                      <w:rFonts w:hint="eastAsia" w:ascii="Times New Roman" w:hAnsi="Times New Roman" w:eastAsia="宋体" w:cs="Times New Roman"/>
                      <w:color w:val="auto"/>
                      <w:spacing w:val="0"/>
                      <w:sz w:val="21"/>
                      <w:szCs w:val="21"/>
                      <w:highlight w:val="none"/>
                      <w:lang w:eastAsia="zh-CN"/>
                    </w:rPr>
                  </w:pPr>
                  <w:r>
                    <w:rPr>
                      <w:rFonts w:hint="eastAsia" w:ascii="Times New Roman" w:hAnsi="Times New Roman" w:cs="Times New Roman"/>
                      <w:color w:val="auto"/>
                      <w:spacing w:val="0"/>
                      <w:sz w:val="21"/>
                      <w:szCs w:val="21"/>
                      <w:highlight w:val="none"/>
                    </w:rPr>
                    <w:t>本项目</w:t>
                  </w:r>
                  <w:r>
                    <w:rPr>
                      <w:rFonts w:hint="eastAsia" w:ascii="Times New Roman" w:hAnsi="Times New Roman" w:cs="Times New Roman"/>
                      <w:color w:val="auto"/>
                      <w:spacing w:val="0"/>
                      <w:sz w:val="21"/>
                      <w:szCs w:val="21"/>
                      <w:highlight w:val="none"/>
                      <w:lang w:eastAsia="zh-CN"/>
                    </w:rPr>
                    <w:t>带动提升区域内中医疾病防治能力，符合规划条件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77"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w:t>
                  </w:r>
                </w:p>
              </w:tc>
              <w:tc>
                <w:tcPr>
                  <w:tcW w:w="2874" w:type="pct"/>
                  <w:noWrap w:val="0"/>
                  <w:vAlign w:val="center"/>
                </w:tcPr>
                <w:p>
                  <w:pPr>
                    <w:jc w:val="center"/>
                    <w:rPr>
                      <w:rFonts w:hint="eastAsia" w:ascii="Times New Roman" w:hAnsi="Times New Roman" w:cs="Times New Roman"/>
                      <w:color w:val="auto"/>
                      <w:spacing w:val="0"/>
                      <w:sz w:val="21"/>
                      <w:szCs w:val="21"/>
                      <w:highlight w:val="none"/>
                    </w:rPr>
                  </w:pPr>
                  <w:r>
                    <w:rPr>
                      <w:rFonts w:hint="eastAsia" w:ascii="Times New Roman" w:hAnsi="Times New Roman" w:cs="Times New Roman"/>
                      <w:color w:val="auto"/>
                      <w:spacing w:val="0"/>
                      <w:sz w:val="21"/>
                      <w:szCs w:val="21"/>
                      <w:highlight w:val="none"/>
                    </w:rPr>
                    <w:t>以中国中医科学院等优势中医机构和团队为依托，创新政策措施，发挥示范带动作用，分层级规划布局建设一批名医堂，推动名医团队入驻，服务广大基层群众。打造可推广、可复制、可持续的示范性名医堂运营模式，按照品牌化、优质化、规范化、标准化的建设要求，统一服务标准，规范技术操作，保证药品质量。建立健全名医堂信息系统，加强互联互通。推动实现人民群众“方便看中医、放心用中药、看上好中医”。</w:t>
                  </w:r>
                </w:p>
              </w:tc>
              <w:tc>
                <w:tcPr>
                  <w:tcW w:w="1547" w:type="pct"/>
                  <w:noWrap w:val="0"/>
                  <w:vAlign w:val="center"/>
                </w:tcPr>
                <w:p>
                  <w:pPr>
                    <w:jc w:val="center"/>
                    <w:rPr>
                      <w:rFonts w:hint="eastAsia" w:ascii="Times New Roman" w:hAnsi="Times New Roman" w:eastAsia="宋体" w:cs="Times New Roman"/>
                      <w:color w:val="auto"/>
                      <w:spacing w:val="0"/>
                      <w:sz w:val="21"/>
                      <w:szCs w:val="21"/>
                      <w:highlight w:val="none"/>
                      <w:lang w:eastAsia="zh-CN"/>
                    </w:rPr>
                  </w:pPr>
                  <w:r>
                    <w:rPr>
                      <w:rFonts w:hint="eastAsia" w:ascii="Times New Roman" w:hAnsi="Times New Roman" w:cs="Times New Roman"/>
                      <w:color w:val="auto"/>
                      <w:spacing w:val="0"/>
                      <w:sz w:val="21"/>
                      <w:szCs w:val="21"/>
                      <w:highlight w:val="none"/>
                      <w:lang w:eastAsia="zh-CN"/>
                    </w:rPr>
                    <w:t>本项目中医院内包含名医堂，符合规划条件</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val="0"/>
              <w:jc w:val="both"/>
              <w:textAlignment w:val="auto"/>
              <w:rPr>
                <w:rFonts w:hint="default" w:ascii="Times New Roman" w:hAnsi="Times New Roman" w:cs="Times New Roman"/>
                <w:b w:val="0"/>
                <w:bCs w:val="0"/>
                <w:color w:val="auto"/>
                <w:kern w:val="0"/>
                <w:sz w:val="24"/>
                <w:szCs w:val="24"/>
                <w:lang w:val="en-US" w:eastAsia="zh-CN"/>
              </w:rPr>
            </w:pPr>
            <w:r>
              <w:rPr>
                <w:rFonts w:hint="eastAsia" w:cs="Times New Roman"/>
                <w:color w:val="auto"/>
                <w:kern w:val="0"/>
                <w:sz w:val="24"/>
                <w:szCs w:val="24"/>
                <w:lang w:val="en-US" w:eastAsia="zh-CN"/>
              </w:rPr>
              <w:t>综上，本项目建设与</w:t>
            </w:r>
            <w:r>
              <w:rPr>
                <w:rFonts w:hint="default" w:ascii="Times New Roman" w:hAnsi="Times New Roman" w:cs="Times New Roman"/>
                <w:color w:val="auto"/>
                <w:sz w:val="24"/>
                <w:highlight w:val="none"/>
                <w:lang w:val="en-US" w:bidi="ar-SA"/>
              </w:rPr>
              <w:t>《</w:t>
            </w:r>
            <w:r>
              <w:rPr>
                <w:rFonts w:hint="default" w:ascii="Times New Roman" w:hAnsi="Times New Roman" w:cs="Times New Roman"/>
                <w:color w:val="auto"/>
                <w:sz w:val="24"/>
                <w:highlight w:val="none"/>
                <w:lang w:val="en-US" w:eastAsia="zh-CN" w:bidi="ar-SA"/>
              </w:rPr>
              <w:t>“</w:t>
            </w:r>
            <w:r>
              <w:rPr>
                <w:rFonts w:hint="default" w:ascii="Times New Roman" w:hAnsi="Times New Roman" w:cs="Times New Roman"/>
                <w:color w:val="auto"/>
                <w:sz w:val="24"/>
                <w:highlight w:val="none"/>
                <w:lang w:val="en-US" w:bidi="ar-SA"/>
              </w:rPr>
              <w:t>十四五</w:t>
            </w:r>
            <w:r>
              <w:rPr>
                <w:rFonts w:hint="default" w:ascii="Times New Roman" w:hAnsi="Times New Roman" w:cs="Times New Roman"/>
                <w:color w:val="auto"/>
                <w:sz w:val="24"/>
                <w:highlight w:val="none"/>
                <w:lang w:val="en-US" w:eastAsia="zh-CN" w:bidi="ar-SA"/>
              </w:rPr>
              <w:t>”</w:t>
            </w:r>
            <w:r>
              <w:rPr>
                <w:rFonts w:hint="default" w:ascii="Times New Roman" w:hAnsi="Times New Roman" w:cs="Times New Roman"/>
                <w:color w:val="auto"/>
                <w:sz w:val="24"/>
                <w:highlight w:val="none"/>
                <w:lang w:val="en-US" w:bidi="ar-SA"/>
              </w:rPr>
              <w:t>优质高效医疗卫生服务体系建设实施方案》</w:t>
            </w:r>
            <w:r>
              <w:rPr>
                <w:rFonts w:hint="eastAsia" w:cs="Times New Roman"/>
                <w:color w:val="auto"/>
                <w:kern w:val="0"/>
                <w:sz w:val="24"/>
                <w:szCs w:val="24"/>
                <w:lang w:val="en-US" w:eastAsia="zh-CN"/>
              </w:rPr>
              <w:t>相符合。</w:t>
            </w:r>
          </w:p>
        </w:tc>
      </w:tr>
    </w:tbl>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jc w:val="both"/>
        <w:outlineLvl w:val="0"/>
        <w:rPr>
          <w:rFonts w:ascii="Times New Roman" w:hAnsi="Times New Roman"/>
          <w:b/>
          <w:bCs/>
          <w:snapToGrid w:val="0"/>
          <w:sz w:val="30"/>
          <w:szCs w:val="30"/>
        </w:rPr>
      </w:pPr>
    </w:p>
    <w:p>
      <w:pPr>
        <w:pStyle w:val="24"/>
        <w:numPr>
          <w:ilvl w:val="0"/>
          <w:numId w:val="2"/>
        </w:numPr>
        <w:spacing w:before="0" w:beforeAutospacing="0" w:after="0" w:afterAutospacing="0"/>
        <w:jc w:val="center"/>
        <w:outlineLvl w:val="0"/>
        <w:rPr>
          <w:rFonts w:ascii="Times New Roman" w:hAnsi="Times New Roman"/>
          <w:b/>
          <w:bCs/>
          <w:snapToGrid w:val="0"/>
          <w:sz w:val="30"/>
          <w:szCs w:val="30"/>
        </w:rPr>
      </w:pPr>
      <w:r>
        <w:rPr>
          <w:rFonts w:ascii="Times New Roman" w:hAnsi="Times New Roman"/>
          <w:b/>
          <w:bCs/>
          <w:snapToGrid w:val="0"/>
          <w:sz w:val="30"/>
          <w:szCs w:val="30"/>
        </w:rPr>
        <w:t>建设项目工程分析</w:t>
      </w:r>
    </w:p>
    <w:tbl>
      <w:tblPr>
        <w:tblStyle w:val="27"/>
        <w:tblW w:w="95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5"/>
        <w:gridCol w:w="9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82" w:hRule="atLeast"/>
          <w:jc w:val="center"/>
        </w:trPr>
        <w:tc>
          <w:tcPr>
            <w:tcW w:w="355" w:type="dxa"/>
            <w:noWrap w:val="0"/>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0000FF"/>
                <w:sz w:val="21"/>
                <w:szCs w:val="21"/>
              </w:rPr>
            </w:pPr>
            <w:r>
              <w:rPr>
                <w:rFonts w:hint="default" w:ascii="Times New Roman" w:hAnsi="Times New Roman" w:eastAsia="宋体" w:cs="Times New Roman"/>
                <w:color w:val="auto"/>
                <w:sz w:val="21"/>
                <w:szCs w:val="21"/>
              </w:rPr>
              <w:t>建设内容</w:t>
            </w:r>
          </w:p>
        </w:tc>
        <w:tc>
          <w:tcPr>
            <w:tcW w:w="9162" w:type="dxa"/>
            <w:noWrap w:val="0"/>
            <w:vAlign w:val="top"/>
          </w:tcPr>
          <w:p>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1</w:t>
            </w:r>
            <w:r>
              <w:rPr>
                <w:rFonts w:hint="eastAsia" w:ascii="Times New Roman" w:hAnsi="Times New Roman" w:cs="Times New Roman"/>
                <w:b/>
                <w:bCs/>
                <w:color w:val="auto"/>
                <w:kern w:val="0"/>
                <w:sz w:val="24"/>
                <w:szCs w:val="24"/>
                <w:lang w:val="en-US" w:eastAsia="zh-CN"/>
              </w:rPr>
              <w:t>项建设地点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auto"/>
                <w:sz w:val="24"/>
              </w:rPr>
            </w:pPr>
            <w:r>
              <w:rPr>
                <w:rFonts w:hint="default" w:ascii="Times New Roman" w:hAnsi="Times New Roman" w:cs="Times New Roman"/>
                <w:color w:val="auto"/>
                <w:sz w:val="24"/>
                <w:szCs w:val="24"/>
              </w:rPr>
              <w:t>新疆兵团奎屯中医院中医特色重点医院建设项目</w:t>
            </w:r>
            <w:r>
              <w:rPr>
                <w:rFonts w:hint="eastAsia" w:ascii="Times New Roman" w:hAnsi="Times New Roman" w:cs="Times New Roman"/>
                <w:color w:val="auto"/>
                <w:sz w:val="24"/>
                <w:szCs w:val="24"/>
                <w:lang w:val="en-US" w:eastAsia="zh-CN"/>
              </w:rPr>
              <w:t>位于</w:t>
            </w:r>
            <w:r>
              <w:rPr>
                <w:rFonts w:hint="default" w:ascii="Times New Roman" w:hAnsi="Times New Roman" w:eastAsia="宋体" w:cs="Times New Roman"/>
                <w:color w:val="auto"/>
                <w:sz w:val="24"/>
              </w:rPr>
              <w:t>第七师胡杨河市</w:t>
            </w:r>
            <w:r>
              <w:rPr>
                <w:rFonts w:hint="eastAsia" w:ascii="Times New Roman" w:hAnsi="Times New Roman" w:cs="Times New Roman"/>
                <w:color w:val="auto"/>
                <w:sz w:val="24"/>
                <w:szCs w:val="24"/>
                <w:lang w:val="en-US" w:eastAsia="zh-CN"/>
              </w:rPr>
              <w:t>，占地面积</w:t>
            </w:r>
            <w:r>
              <w:rPr>
                <w:rFonts w:hint="default" w:ascii="Times New Roman" w:hAnsi="Times New Roman" w:eastAsia="宋体" w:cs="Times New Roman"/>
                <w:color w:val="auto"/>
                <w:sz w:val="24"/>
                <w:lang w:val="en-US" w:eastAsia="zh-CN"/>
              </w:rPr>
              <w:t>30162</w:t>
            </w:r>
            <w:r>
              <w:rPr>
                <w:rFonts w:hint="eastAsia" w:ascii="Times New Roman" w:hAnsi="Times New Roman" w:cs="Times New Roman"/>
                <w:color w:val="auto"/>
                <w:sz w:val="24"/>
                <w:szCs w:val="24"/>
                <w:lang w:val="en-US" w:eastAsia="zh-CN"/>
              </w:rPr>
              <w:t>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，项目区四周均为空地，项目区中心坐标为N</w:t>
            </w:r>
            <w:r>
              <w:rPr>
                <w:rFonts w:hint="default" w:ascii="Times New Roman" w:hAnsi="Times New Roman" w:eastAsia="宋体" w:cs="Times New Roman"/>
                <w:color w:val="auto"/>
                <w:sz w:val="24"/>
              </w:rPr>
              <w:t>:44°41′</w:t>
            </w:r>
            <w:r>
              <w:rPr>
                <w:rFonts w:hint="eastAsia"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818</w:t>
            </w:r>
            <w:r>
              <w:rPr>
                <w:rFonts w:hint="default" w:ascii="Times New Roman" w:hAnsi="Times New Roman" w:eastAsia="宋体" w:cs="Times New Roman"/>
                <w:color w:val="auto"/>
                <w:sz w:val="24"/>
              </w:rPr>
              <w:t>″</w:t>
            </w:r>
            <w:r>
              <w:rPr>
                <w:rFonts w:hint="eastAsia" w:ascii="Times New Roman" w:hAnsi="Times New Roman" w:cs="Times New Roman"/>
                <w:color w:val="auto"/>
                <w:sz w:val="24"/>
                <w:szCs w:val="24"/>
                <w:lang w:val="en-US" w:eastAsia="zh-CN"/>
              </w:rPr>
              <w:t>，E</w:t>
            </w:r>
            <w:r>
              <w:rPr>
                <w:rFonts w:hint="default" w:ascii="Times New Roman" w:hAnsi="Times New Roman" w:eastAsia="宋体" w:cs="Times New Roman"/>
                <w:color w:val="auto"/>
                <w:sz w:val="24"/>
              </w:rPr>
              <w:t>84°50′</w:t>
            </w:r>
            <w:r>
              <w:rPr>
                <w:rFonts w:hint="eastAsia" w:ascii="Times New Roman" w:hAnsi="Times New Roman" w:eastAsia="宋体" w:cs="Times New Roman"/>
                <w:color w:val="auto"/>
                <w:sz w:val="24"/>
                <w:lang w:val="en-US" w:eastAsia="zh-CN"/>
              </w:rPr>
              <w:t>31</w:t>
            </w:r>
            <w:r>
              <w:rPr>
                <w:rFonts w:hint="default" w:ascii="Times New Roman" w:hAnsi="Times New Roman" w:eastAsia="宋体" w:cs="Times New Roman"/>
                <w:color w:val="auto"/>
                <w:sz w:val="24"/>
              </w:rPr>
              <w:t>.1</w:t>
            </w:r>
            <w:r>
              <w:rPr>
                <w:rFonts w:hint="eastAsia" w:ascii="Times New Roman" w:hAnsi="Times New Roman" w:eastAsia="宋体" w:cs="Times New Roman"/>
                <w:color w:val="auto"/>
                <w:sz w:val="24"/>
                <w:lang w:val="en-US" w:eastAsia="zh-CN"/>
              </w:rPr>
              <w:t>78</w:t>
            </w:r>
            <w:r>
              <w:rPr>
                <w:rFonts w:hint="default" w:ascii="Times New Roman" w:hAnsi="Times New Roman" w:eastAsia="宋体" w:cs="Times New Roman"/>
                <w:color w:val="auto"/>
                <w:sz w:val="24"/>
              </w:rPr>
              <w:t>″</w:t>
            </w:r>
            <w:r>
              <w:rPr>
                <w:rFonts w:hint="eastAsia" w:ascii="Times New Roman" w:hAnsi="Times New Roman" w:cs="Times New Roman"/>
                <w:color w:val="auto"/>
                <w:sz w:val="24"/>
                <w:szCs w:val="24"/>
                <w:lang w:val="en-US" w:eastAsia="zh-CN"/>
              </w:rPr>
              <w:t>，项目周边环境情况图详见图2。</w:t>
            </w:r>
          </w:p>
          <w:p>
            <w:pPr>
              <w:spacing w:line="360" w:lineRule="auto"/>
              <w:rPr>
                <w:rFonts w:hint="eastAsia" w:ascii="Times New Roman" w:hAnsi="Times New Roman" w:eastAsia="宋体" w:cs="Times New Roman"/>
                <w:b/>
                <w:bCs/>
                <w:color w:val="auto"/>
                <w:sz w:val="24"/>
                <w:lang w:eastAsia="zh-CN"/>
              </w:rPr>
            </w:pPr>
            <w:r>
              <w:rPr>
                <w:rFonts w:hint="default" w:ascii="Times New Roman" w:hAnsi="Times New Roman" w:eastAsia="宋体" w:cs="Times New Roman"/>
                <w:b/>
                <w:bCs/>
                <w:color w:val="auto"/>
                <w:sz w:val="24"/>
              </w:rPr>
              <w:t>1.</w:t>
            </w:r>
            <w:r>
              <w:rPr>
                <w:rFonts w:hint="eastAsia" w:ascii="Times New Roman" w:hAnsi="Times New Roman" w:eastAsia="宋体" w:cs="Times New Roman"/>
                <w:b/>
                <w:bCs/>
                <w:color w:val="auto"/>
                <w:sz w:val="24"/>
                <w:lang w:val="en-US" w:eastAsia="zh-CN"/>
              </w:rPr>
              <w:t>1</w:t>
            </w:r>
            <w:r>
              <w:rPr>
                <w:rFonts w:hint="default" w:ascii="Times New Roman" w:hAnsi="Times New Roman" w:eastAsia="宋体" w:cs="Times New Roman"/>
                <w:b/>
                <w:bCs/>
                <w:color w:val="auto"/>
                <w:sz w:val="24"/>
              </w:rPr>
              <w:t>项目建设内容</w:t>
            </w:r>
            <w:r>
              <w:rPr>
                <w:rFonts w:hint="eastAsia" w:ascii="Times New Roman" w:hAnsi="Times New Roman" w:eastAsia="宋体" w:cs="Times New Roman"/>
                <w:b/>
                <w:bCs/>
                <w:color w:val="auto"/>
                <w:sz w:val="24"/>
                <w:lang w:eastAsia="zh-CN"/>
              </w:rPr>
              <w:t>与建设规模</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lang w:val="en-US" w:eastAsia="zh-CN"/>
              </w:rPr>
              <w:t>新疆兵团奎屯中医院中医特色重点医院建设项目位于七师胡杨河市，总</w:t>
            </w:r>
            <w:r>
              <w:rPr>
                <w:rFonts w:hint="eastAsia" w:ascii="Times New Roman" w:hAnsi="Times New Roman" w:eastAsia="宋体" w:cs="Times New Roman"/>
                <w:color w:val="auto"/>
                <w:sz w:val="24"/>
                <w:lang w:val="en-US" w:eastAsia="zh-CN"/>
              </w:rPr>
              <w:t>建筑</w:t>
            </w:r>
            <w:r>
              <w:rPr>
                <w:rFonts w:hint="default" w:ascii="Times New Roman" w:hAnsi="Times New Roman" w:eastAsia="宋体" w:cs="Times New Roman"/>
                <w:color w:val="auto"/>
                <w:sz w:val="24"/>
                <w:lang w:val="en-US" w:eastAsia="zh-CN"/>
              </w:rPr>
              <w:t>面积</w:t>
            </w:r>
            <w:r>
              <w:rPr>
                <w:rFonts w:hint="eastAsia" w:ascii="Times New Roman" w:hAnsi="Times New Roman" w:eastAsia="宋体" w:cs="Times New Roman"/>
                <w:color w:val="auto"/>
                <w:sz w:val="24"/>
                <w:lang w:val="en-US" w:eastAsia="zh-CN"/>
              </w:rPr>
              <w:t>20880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vertAlign w:val="baseline"/>
                <w:lang w:val="en-US" w:eastAsia="zh-CN"/>
              </w:rPr>
              <w:t>，</w:t>
            </w:r>
            <w:r>
              <w:rPr>
                <w:rFonts w:hint="eastAsia" w:ascii="Times New Roman" w:hAnsi="Times New Roman" w:cs="Times New Roman"/>
                <w:b w:val="0"/>
                <w:bCs w:val="0"/>
                <w:color w:val="auto"/>
                <w:kern w:val="0"/>
                <w:sz w:val="24"/>
                <w:szCs w:val="24"/>
                <w:lang w:val="en-US" w:eastAsia="zh-CN"/>
              </w:rPr>
              <w:t>其中：1）门诊、中医名医实践馆、诊疗室、医技楼总建筑面积6880m</w:t>
            </w:r>
            <w:r>
              <w:rPr>
                <w:rFonts w:hint="eastAsia" w:ascii="Times New Roman" w:hAnsi="Times New Roman" w:cs="Times New Roman"/>
                <w:b w:val="0"/>
                <w:bCs w:val="0"/>
                <w:color w:val="auto"/>
                <w:kern w:val="0"/>
                <w:sz w:val="24"/>
                <w:szCs w:val="24"/>
                <w:vertAlign w:val="superscript"/>
                <w:lang w:val="en-US" w:eastAsia="zh-CN"/>
              </w:rPr>
              <w:t>2</w:t>
            </w:r>
            <w:r>
              <w:rPr>
                <w:rFonts w:hint="eastAsia" w:ascii="Times New Roman" w:hAnsi="Times New Roman" w:cs="Times New Roman"/>
                <w:b w:val="0"/>
                <w:bCs w:val="0"/>
                <w:color w:val="auto"/>
                <w:kern w:val="0"/>
                <w:sz w:val="24"/>
                <w:szCs w:val="24"/>
                <w:lang w:val="en-US" w:eastAsia="zh-CN"/>
              </w:rPr>
              <w:t>、地上3层、建筑高度13.80m；2）住院部、康复中心建筑面积12000m</w:t>
            </w:r>
            <w:r>
              <w:rPr>
                <w:rFonts w:hint="eastAsia" w:ascii="Times New Roman" w:hAnsi="Times New Roman" w:cs="Times New Roman"/>
                <w:b w:val="0"/>
                <w:bCs w:val="0"/>
                <w:color w:val="auto"/>
                <w:kern w:val="0"/>
                <w:sz w:val="24"/>
                <w:szCs w:val="24"/>
                <w:vertAlign w:val="superscript"/>
                <w:lang w:val="en-US" w:eastAsia="zh-CN"/>
              </w:rPr>
              <w:t>2</w:t>
            </w:r>
            <w:r>
              <w:rPr>
                <w:rFonts w:hint="eastAsia" w:ascii="Times New Roman" w:hAnsi="Times New Roman" w:cs="Times New Roman"/>
                <w:b w:val="0"/>
                <w:bCs w:val="0"/>
                <w:color w:val="auto"/>
                <w:kern w:val="0"/>
                <w:sz w:val="24"/>
                <w:szCs w:val="24"/>
                <w:lang w:val="en-US" w:eastAsia="zh-CN"/>
              </w:rPr>
              <w:t>、地上十层、地下一层，建筑高度37.80m；3）中药制剂中心建筑面积2000m</w:t>
            </w:r>
            <w:r>
              <w:rPr>
                <w:rFonts w:hint="eastAsia" w:ascii="Times New Roman" w:hAnsi="Times New Roman" w:cs="Times New Roman"/>
                <w:b w:val="0"/>
                <w:bCs w:val="0"/>
                <w:color w:val="auto"/>
                <w:kern w:val="0"/>
                <w:sz w:val="24"/>
                <w:szCs w:val="24"/>
                <w:vertAlign w:val="superscript"/>
                <w:lang w:val="en-US" w:eastAsia="zh-CN"/>
              </w:rPr>
              <w:t>2</w:t>
            </w:r>
            <w:r>
              <w:rPr>
                <w:rFonts w:hint="eastAsia" w:ascii="Times New Roman" w:hAnsi="Times New Roman" w:cs="Times New Roman"/>
                <w:b w:val="0"/>
                <w:bCs w:val="0"/>
                <w:color w:val="auto"/>
                <w:kern w:val="0"/>
                <w:sz w:val="24"/>
                <w:szCs w:val="24"/>
                <w:lang w:val="en-US" w:eastAsia="zh-CN"/>
              </w:rPr>
              <w:t>、地上两层、建筑高度9.30m；4）其他配套设施。包括专科服务设备26套，中医诊断3套，中医治疗、康复、理疗设备35套，中药调剂设备9套，中药制剂设备17套</w:t>
            </w:r>
            <w:r>
              <w:rPr>
                <w:rFonts w:hint="eastAsia" w:ascii="Times New Roman" w:hAnsi="Times New Roman" w:eastAsia="宋体" w:cs="Times New Roman"/>
                <w:color w:val="auto"/>
                <w:kern w:val="0"/>
                <w:sz w:val="24"/>
                <w:highlight w:val="none"/>
                <w:lang w:val="en-US" w:eastAsia="zh-CN" w:bidi="en-US"/>
              </w:rPr>
              <w:t>及应急柴油发电机等</w:t>
            </w:r>
            <w:r>
              <w:rPr>
                <w:rFonts w:hint="eastAsia" w:ascii="Times New Roman" w:hAnsi="Times New Roman" w:cs="Times New Roman"/>
                <w:b w:val="0"/>
                <w:bCs w:val="0"/>
                <w:color w:val="auto"/>
                <w:kern w:val="0"/>
                <w:sz w:val="24"/>
                <w:szCs w:val="24"/>
                <w:lang w:val="en-US" w:eastAsia="zh-CN"/>
              </w:rPr>
              <w:t>。</w:t>
            </w:r>
            <w:r>
              <w:rPr>
                <w:rFonts w:hint="default" w:ascii="Times New Roman" w:hAnsi="Times New Roman" w:cs="Times New Roman"/>
                <w:b w:val="0"/>
                <w:bCs w:val="0"/>
                <w:color w:val="auto"/>
                <w:kern w:val="0"/>
                <w:sz w:val="24"/>
                <w:szCs w:val="24"/>
                <w:lang w:val="en-US" w:eastAsia="zh-CN"/>
              </w:rPr>
              <w:t>本项目建设内容详见表</w:t>
            </w:r>
            <w:r>
              <w:rPr>
                <w:rFonts w:hint="default" w:ascii="Times New Roman" w:hAnsi="Times New Roman" w:eastAsia="宋体" w:cs="Times New Roman"/>
                <w:b w:val="0"/>
                <w:bCs w:val="0"/>
                <w:color w:val="auto"/>
                <w:sz w:val="24"/>
              </w:rPr>
              <w:t>2-1</w:t>
            </w:r>
            <w:r>
              <w:rPr>
                <w:rFonts w:hint="default" w:ascii="Times New Roman" w:hAnsi="Times New Roman" w:cs="Times New Roman"/>
                <w:b w:val="0"/>
                <w:bCs w:val="0"/>
                <w:color w:val="auto"/>
                <w:kern w:val="0"/>
                <w:sz w:val="24"/>
                <w:szCs w:val="24"/>
                <w:lang w:val="en-US" w:eastAsia="zh-CN"/>
              </w:rPr>
              <w:t>。</w:t>
            </w:r>
          </w:p>
          <w:p>
            <w:pPr>
              <w:adjustRightInd w:val="0"/>
              <w:snapToGrid w:val="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表2-1</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项目组成一览表</w:t>
            </w:r>
          </w:p>
          <w:tbl>
            <w:tblPr>
              <w:tblStyle w:val="27"/>
              <w:tblW w:w="90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466"/>
              <w:gridCol w:w="1267"/>
              <w:gridCol w:w="4364"/>
              <w:gridCol w:w="13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648"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类别</w:t>
                  </w:r>
                </w:p>
              </w:tc>
              <w:tc>
                <w:tcPr>
                  <w:tcW w:w="14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项目名称</w:t>
                  </w:r>
                </w:p>
              </w:tc>
              <w:tc>
                <w:tcPr>
                  <w:tcW w:w="563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工程内容与规模</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6" w:hRule="atLeast"/>
                <w:jc w:val="center"/>
              </w:trPr>
              <w:tc>
                <w:tcPr>
                  <w:tcW w:w="648" w:type="dxa"/>
                  <w:vMerge w:val="restart"/>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主体工程</w:t>
                  </w:r>
                </w:p>
              </w:tc>
              <w:tc>
                <w:tcPr>
                  <w:tcW w:w="14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门诊、</w:t>
                  </w:r>
                  <w:r>
                    <w:rPr>
                      <w:rFonts w:hint="eastAsia" w:ascii="Times New Roman" w:hAnsi="Times New Roman" w:eastAsia="宋体" w:cs="Times New Roman"/>
                      <w:color w:val="auto"/>
                      <w:sz w:val="21"/>
                      <w:szCs w:val="21"/>
                      <w:vertAlign w:val="baseline"/>
                      <w:lang w:val="en-US" w:eastAsia="zh-CN"/>
                    </w:rPr>
                    <w:t>中医名医实践馆、诊疗室、</w:t>
                  </w:r>
                  <w:r>
                    <w:rPr>
                      <w:rFonts w:hint="default" w:ascii="Times New Roman" w:hAnsi="Times New Roman" w:eastAsia="宋体" w:cs="Times New Roman"/>
                      <w:color w:val="auto"/>
                      <w:sz w:val="21"/>
                      <w:szCs w:val="21"/>
                      <w:vertAlign w:val="baseline"/>
                      <w:lang w:val="en-US" w:eastAsia="zh-CN"/>
                    </w:rPr>
                    <w:t>医技楼</w:t>
                  </w:r>
                </w:p>
              </w:tc>
              <w:tc>
                <w:tcPr>
                  <w:tcW w:w="563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一层</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2596.72m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)：置候诊大厅、儿科、检验科、急诊科、发热门诊、挂号收费处、西药药房、中药药房、候梯厅、疏散楼梯、公共卫生间</w:t>
                  </w: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二层</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2140.32m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)：内科、外科、皮肤科、病理科、体检科、民族中医馆、手术室、会诊室、医生办公室、卫生间</w:t>
                  </w: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三层</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2140.32m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vertAlign w:val="baseline"/>
                      <w:lang w:val="en-US" w:eastAsia="zh-CN"/>
                    </w:rPr>
                    <w:t>)：特色中医科、妇科、药剂科及供应中心</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地上三层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648"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住院部</w:t>
                  </w: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（282个床位）</w:t>
                  </w:r>
                </w:p>
              </w:tc>
              <w:tc>
                <w:tcPr>
                  <w:tcW w:w="563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一层：住院部大厅、便民服务超市，医院中心配液室出入院办理窗口、结算中心及相关的辅助用房。</w:t>
                  </w: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二层：康复中心病房</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三层：儿科病区</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四层：妇产科病区</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五层：内科病区</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六层：肿瘤科病区</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vertAlign w:val="baseline"/>
                      <w:lang w:val="en-US" w:eastAsia="zh-CN"/>
                    </w:rPr>
                    <w:t>七层：外科病房</w:t>
                  </w:r>
                  <w:r>
                    <w:rPr>
                      <w:rFonts w:hint="eastAsia" w:ascii="Times New Roman" w:hAnsi="Times New Roman" w:eastAsia="宋体" w:cs="Times New Roman"/>
                      <w:color w:val="auto"/>
                      <w:sz w:val="21"/>
                      <w:szCs w:val="21"/>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八层</w:t>
                  </w:r>
                  <w:r>
                    <w:rPr>
                      <w:rFonts w:hint="eastAsia"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肛肠科</w:t>
                  </w:r>
                  <w:r>
                    <w:rPr>
                      <w:rFonts w:hint="eastAsia"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highlight w:val="none"/>
                      <w:vertAlign w:val="baseline"/>
                      <w:lang w:val="en-US" w:eastAsia="zh-CN"/>
                    </w:rPr>
                    <w:t>九层：皮肤</w:t>
                  </w:r>
                  <w:r>
                    <w:rPr>
                      <w:rFonts w:hint="eastAsia" w:cs="Times New Roman"/>
                      <w:color w:val="auto"/>
                      <w:sz w:val="21"/>
                      <w:szCs w:val="21"/>
                      <w:highlight w:val="none"/>
                      <w:vertAlign w:val="baseline"/>
                      <w:lang w:val="en-US" w:eastAsia="zh-CN"/>
                    </w:rPr>
                    <w:t>科</w:t>
                  </w:r>
                  <w:r>
                    <w:rPr>
                      <w:rFonts w:hint="eastAsia" w:ascii="Times New Roman" w:hAnsi="Times New Roman" w:eastAsia="宋体" w:cs="Times New Roman"/>
                      <w:color w:val="auto"/>
                      <w:sz w:val="21"/>
                      <w:szCs w:val="21"/>
                      <w:highlight w:val="none"/>
                      <w:vertAlign w:val="baseline"/>
                      <w:lang w:val="en-US" w:eastAsia="zh-CN"/>
                    </w:rPr>
                    <w:t>；</w:t>
                  </w:r>
                  <w:r>
                    <w:rPr>
                      <w:rFonts w:hint="default" w:ascii="Times New Roman" w:hAnsi="Times New Roman" w:eastAsia="宋体" w:cs="Times New Roman"/>
                      <w:color w:val="auto"/>
                      <w:sz w:val="21"/>
                      <w:szCs w:val="21"/>
                      <w:vertAlign w:val="baseline"/>
                      <w:lang w:val="en-US" w:eastAsia="zh-CN"/>
                    </w:rPr>
                    <w:t>十层：手术部区并辅以相应的换床室、苏醒室、更衣室、麻醉室、敷料室、无菌器械室、一次性用品室、消毒室、打包室、值班室等功能用房。</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框架结构10层，地下一层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3" w:hRule="atLeast"/>
                <w:jc w:val="center"/>
              </w:trPr>
              <w:tc>
                <w:tcPr>
                  <w:tcW w:w="648"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中药制剂中心、康复中心</w:t>
                  </w: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p>
              </w:tc>
              <w:tc>
                <w:tcPr>
                  <w:tcW w:w="563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一层：处理提取车间</w:t>
                  </w:r>
                  <w:r>
                    <w:rPr>
                      <w:rFonts w:hint="eastAsia" w:ascii="Times New Roman" w:hAnsi="Times New Roman" w:eastAsia="宋体" w:cs="Times New Roman"/>
                      <w:color w:val="auto"/>
                      <w:sz w:val="21"/>
                      <w:szCs w:val="21"/>
                      <w:vertAlign w:val="baseline"/>
                      <w:lang w:val="en-US" w:eastAsia="zh-CN"/>
                    </w:rPr>
                    <w:t>（仅为煎熬中药）</w:t>
                  </w:r>
                  <w:r>
                    <w:rPr>
                      <w:rFonts w:hint="default" w:ascii="Times New Roman" w:hAnsi="Times New Roman" w:eastAsia="宋体" w:cs="Times New Roman"/>
                      <w:color w:val="auto"/>
                      <w:sz w:val="21"/>
                      <w:szCs w:val="21"/>
                      <w:vertAlign w:val="baseline"/>
                      <w:lang w:val="en-US" w:eastAsia="zh-CN"/>
                    </w:rPr>
                    <w:t>、固体制剂生产室</w:t>
                  </w:r>
                  <w:r>
                    <w:rPr>
                      <w:rFonts w:hint="eastAsia" w:ascii="Times New Roman" w:hAnsi="Times New Roman" w:eastAsia="宋体" w:cs="Times New Roman"/>
                      <w:color w:val="auto"/>
                      <w:sz w:val="21"/>
                      <w:szCs w:val="21"/>
                      <w:vertAlign w:val="baseline"/>
                      <w:lang w:val="en-US" w:eastAsia="zh-CN"/>
                    </w:rPr>
                    <w:t>（仅涉及中药的制剂）</w:t>
                  </w:r>
                  <w:r>
                    <w:rPr>
                      <w:rFonts w:hint="default" w:ascii="Times New Roman" w:hAnsi="Times New Roman" w:eastAsia="宋体" w:cs="Times New Roman"/>
                      <w:color w:val="auto"/>
                      <w:sz w:val="21"/>
                      <w:szCs w:val="21"/>
                      <w:vertAlign w:val="baseline"/>
                      <w:lang w:val="en-US" w:eastAsia="zh-CN"/>
                    </w:rPr>
                    <w:t>、水处理室、干燥灭菌室、检测室、包装间、成品库、冷库</w:t>
                  </w:r>
                  <w:r>
                    <w:rPr>
                      <w:rFonts w:hint="eastAsia" w:cs="Times New Roman"/>
                      <w:color w:val="auto"/>
                      <w:sz w:val="21"/>
                      <w:szCs w:val="21"/>
                      <w:vertAlign w:val="baseline"/>
                      <w:lang w:val="en-US" w:eastAsia="zh-CN"/>
                    </w:rPr>
                    <w:t>（36.19m</w:t>
                  </w:r>
                  <w:r>
                    <w:rPr>
                      <w:rFonts w:hint="eastAsia" w:cs="Times New Roman"/>
                      <w:color w:val="auto"/>
                      <w:sz w:val="21"/>
                      <w:szCs w:val="21"/>
                      <w:vertAlign w:val="superscript"/>
                      <w:lang w:val="en-US" w:eastAsia="zh-CN"/>
                    </w:rPr>
                    <w:t>2</w:t>
                  </w:r>
                  <w:r>
                    <w:rPr>
                      <w:rFonts w:hint="eastAsia" w:cs="Times New Roman"/>
                      <w:color w:val="auto"/>
                      <w:sz w:val="21"/>
                      <w:szCs w:val="21"/>
                      <w:vertAlign w:val="baseline"/>
                      <w:lang w:val="en-US" w:eastAsia="zh-CN"/>
                    </w:rPr>
                    <w:t>，制冷机类型：氟利昂）</w:t>
                  </w:r>
                  <w:r>
                    <w:rPr>
                      <w:rFonts w:hint="default" w:ascii="Times New Roman" w:hAnsi="Times New Roman" w:eastAsia="宋体" w:cs="Times New Roman"/>
                      <w:color w:val="auto"/>
                      <w:sz w:val="21"/>
                      <w:szCs w:val="21"/>
                      <w:vertAlign w:val="baseline"/>
                      <w:lang w:val="en-US" w:eastAsia="zh-CN"/>
                    </w:rPr>
                    <w:t>、工作间、值班室、办公室</w:t>
                  </w:r>
                  <w:r>
                    <w:rPr>
                      <w:rFonts w:hint="eastAsia" w:cs="Times New Roman"/>
                      <w:color w:val="auto"/>
                      <w:sz w:val="21"/>
                      <w:szCs w:val="21"/>
                      <w:vertAlign w:val="baseline"/>
                      <w:lang w:val="en-US" w:eastAsia="zh-CN"/>
                    </w:rPr>
                    <w:t>、库房</w:t>
                  </w:r>
                  <w:r>
                    <w:rPr>
                      <w:rFonts w:hint="default" w:ascii="Times New Roman" w:hAnsi="Times New Roman" w:eastAsia="宋体" w:cs="Times New Roman"/>
                      <w:color w:val="auto"/>
                      <w:sz w:val="21"/>
                      <w:szCs w:val="21"/>
                      <w:vertAlign w:val="baseline"/>
                      <w:lang w:val="en-US" w:eastAsia="zh-CN"/>
                    </w:rPr>
                    <w:t>等</w:t>
                  </w: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二层：康复治疗室、医护办公室、卫生间</w:t>
                  </w:r>
                  <w:r>
                    <w:rPr>
                      <w:rFonts w:hint="eastAsia" w:cs="Times New Roman"/>
                      <w:color w:val="auto"/>
                      <w:sz w:val="21"/>
                      <w:szCs w:val="21"/>
                      <w:vertAlign w:val="baseline"/>
                      <w:lang w:val="en-US" w:eastAsia="zh-CN"/>
                    </w:rPr>
                    <w:t>、库房</w:t>
                  </w:r>
                  <w:r>
                    <w:rPr>
                      <w:rFonts w:hint="default" w:ascii="Times New Roman" w:hAnsi="Times New Roman" w:eastAsia="宋体" w:cs="Times New Roman"/>
                      <w:color w:val="auto"/>
                      <w:sz w:val="21"/>
                      <w:szCs w:val="21"/>
                      <w:vertAlign w:val="baseline"/>
                      <w:lang w:val="en-US" w:eastAsia="zh-CN"/>
                    </w:rPr>
                    <w:t>等</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地上2层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648" w:type="dxa"/>
                  <w:vMerge w:val="restart"/>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辅助工程</w:t>
                  </w:r>
                </w:p>
              </w:tc>
              <w:tc>
                <w:tcPr>
                  <w:tcW w:w="14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警卫室</w:t>
                  </w:r>
                </w:p>
              </w:tc>
              <w:tc>
                <w:tcPr>
                  <w:tcW w:w="563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建筑面积10m</w:t>
                  </w:r>
                  <w:r>
                    <w:rPr>
                      <w:rFonts w:hint="default" w:ascii="Times New Roman" w:hAnsi="Times New Roman" w:eastAsia="宋体" w:cs="Times New Roman"/>
                      <w:color w:val="auto"/>
                      <w:sz w:val="21"/>
                      <w:szCs w:val="21"/>
                      <w:vertAlign w:val="superscript"/>
                      <w:lang w:val="en-US" w:eastAsia="zh-CN"/>
                    </w:rPr>
                    <w:t>2</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8"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液氧储罐泵房</w:t>
                  </w:r>
                </w:p>
              </w:tc>
              <w:tc>
                <w:tcPr>
                  <w:tcW w:w="563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建筑</w:t>
                  </w:r>
                  <w:r>
                    <w:rPr>
                      <w:rFonts w:hint="eastAsia" w:ascii="Times New Roman" w:hAnsi="Times New Roman" w:eastAsia="宋体" w:cs="Times New Roman"/>
                      <w:color w:val="auto"/>
                      <w:sz w:val="21"/>
                      <w:szCs w:val="21"/>
                      <w:vertAlign w:val="baseline"/>
                      <w:lang w:val="en-US" w:eastAsia="zh-CN"/>
                    </w:rPr>
                    <w:t>面积</w:t>
                  </w:r>
                  <w:r>
                    <w:rPr>
                      <w:rFonts w:hint="default" w:ascii="Times New Roman" w:hAnsi="Times New Roman" w:eastAsia="宋体" w:cs="Times New Roman"/>
                      <w:color w:val="auto"/>
                      <w:sz w:val="21"/>
                      <w:szCs w:val="21"/>
                      <w:vertAlign w:val="baseline"/>
                      <w:lang w:val="en-US" w:eastAsia="zh-CN"/>
                    </w:rPr>
                    <w:t>3m</w:t>
                  </w:r>
                  <w:r>
                    <w:rPr>
                      <w:rFonts w:hint="default" w:ascii="Times New Roman" w:hAnsi="Times New Roman" w:eastAsia="宋体" w:cs="Times New Roman"/>
                      <w:color w:val="auto"/>
                      <w:sz w:val="21"/>
                      <w:szCs w:val="21"/>
                      <w:vertAlign w:val="superscript"/>
                      <w:lang w:val="en-US" w:eastAsia="zh-CN"/>
                    </w:rPr>
                    <w:t>2</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648" w:type="dxa"/>
                  <w:vMerge w:val="restart"/>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公用工程</w:t>
                  </w:r>
                </w:p>
              </w:tc>
              <w:tc>
                <w:tcPr>
                  <w:tcW w:w="14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给水</w:t>
                  </w:r>
                </w:p>
              </w:tc>
              <w:tc>
                <w:tcPr>
                  <w:tcW w:w="563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由市政供水管网供给</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48"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排水</w:t>
                  </w:r>
                </w:p>
              </w:tc>
              <w:tc>
                <w:tcPr>
                  <w:tcW w:w="563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kern w:val="0"/>
                      <w:sz w:val="21"/>
                      <w:szCs w:val="21"/>
                      <w:highlight w:val="none"/>
                      <w:lang w:val="en-US" w:eastAsia="zh-CN" w:bidi="en-US"/>
                    </w:rPr>
                    <w:t>医院综合废水经医院污水处理站处理达标后排入市政管网，最终排入胡杨河市污水处理厂。</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48"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供电</w:t>
                  </w:r>
                </w:p>
              </w:tc>
              <w:tc>
                <w:tcPr>
                  <w:tcW w:w="563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市政供电</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48"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供热</w:t>
                  </w:r>
                </w:p>
              </w:tc>
              <w:tc>
                <w:tcPr>
                  <w:tcW w:w="563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由市政集中供热管网接</w:t>
                  </w:r>
                  <w:r>
                    <w:rPr>
                      <w:rFonts w:hint="eastAsia" w:ascii="Times New Roman" w:hAnsi="Times New Roman" w:eastAsia="宋体" w:cs="Times New Roman"/>
                      <w:color w:val="auto"/>
                      <w:sz w:val="21"/>
                      <w:szCs w:val="21"/>
                      <w:vertAlign w:val="baseline"/>
                      <w:lang w:val="en-US" w:eastAsia="zh-CN"/>
                    </w:rPr>
                    <w:t>供热</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48"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kern w:val="0"/>
                      <w:sz w:val="21"/>
                      <w:szCs w:val="21"/>
                      <w:highlight w:val="none"/>
                      <w:lang w:val="en-US" w:eastAsia="zh-CN" w:bidi="en-US"/>
                    </w:rPr>
                  </w:pPr>
                  <w:r>
                    <w:rPr>
                      <w:rFonts w:hint="eastAsia" w:ascii="Times New Roman" w:hAnsi="Times New Roman" w:eastAsia="宋体" w:cs="Times New Roman"/>
                      <w:color w:val="auto"/>
                      <w:kern w:val="0"/>
                      <w:sz w:val="21"/>
                      <w:szCs w:val="21"/>
                      <w:highlight w:val="none"/>
                      <w:lang w:val="en-US" w:eastAsia="zh-CN" w:bidi="en-US"/>
                    </w:rPr>
                    <w:t>备用发电机房</w:t>
                  </w:r>
                </w:p>
              </w:tc>
              <w:tc>
                <w:tcPr>
                  <w:tcW w:w="563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kern w:val="0"/>
                      <w:sz w:val="21"/>
                      <w:szCs w:val="21"/>
                      <w:highlight w:val="none"/>
                      <w:lang w:val="en-US" w:eastAsia="zh-CN" w:bidi="en-US"/>
                    </w:rPr>
                  </w:pPr>
                  <w:r>
                    <w:rPr>
                      <w:rFonts w:hint="eastAsia" w:ascii="Times New Roman" w:hAnsi="Times New Roman" w:eastAsia="宋体" w:cs="Times New Roman"/>
                      <w:color w:val="auto"/>
                      <w:kern w:val="0"/>
                      <w:sz w:val="21"/>
                      <w:szCs w:val="21"/>
                      <w:highlight w:val="none"/>
                      <w:lang w:val="en-US" w:eastAsia="zh-CN" w:bidi="en-US"/>
                    </w:rPr>
                    <w:t>本项目住院楼地下一层设常用功率1000kW 柴发电机组 1 套，发电机燃料采用0#柴油</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 w:type="dxa"/>
                  <w:vMerge w:val="restart"/>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环保工程</w:t>
                  </w:r>
                </w:p>
              </w:tc>
              <w:tc>
                <w:tcPr>
                  <w:tcW w:w="14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危险</w:t>
                  </w:r>
                  <w:r>
                    <w:rPr>
                      <w:rFonts w:hint="default" w:ascii="Times New Roman" w:hAnsi="Times New Roman" w:eastAsia="宋体" w:cs="Times New Roman"/>
                      <w:color w:val="auto"/>
                      <w:sz w:val="21"/>
                      <w:szCs w:val="21"/>
                      <w:vertAlign w:val="baseline"/>
                      <w:lang w:val="en-US" w:eastAsia="zh-CN"/>
                    </w:rPr>
                    <w:t>废物暂存间</w:t>
                  </w:r>
                </w:p>
              </w:tc>
              <w:tc>
                <w:tcPr>
                  <w:tcW w:w="563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建筑面积127.13m</w:t>
                  </w:r>
                  <w:r>
                    <w:rPr>
                      <w:rFonts w:hint="default" w:ascii="Times New Roman" w:hAnsi="Times New Roman" w:eastAsia="宋体" w:cs="Times New Roman"/>
                      <w:color w:val="auto"/>
                      <w:sz w:val="21"/>
                      <w:szCs w:val="21"/>
                      <w:vertAlign w:val="superscript"/>
                      <w:lang w:val="en-US" w:eastAsia="zh-CN"/>
                    </w:rPr>
                    <w:t>2</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default" w:ascii="Times New Roman" w:hAnsi="Times New Roman" w:eastAsia="宋体" w:cs="Times New Roman"/>
                      <w:color w:val="auto"/>
                      <w:sz w:val="21"/>
                      <w:szCs w:val="21"/>
                      <w:vertAlign w:val="baseline"/>
                      <w:lang w:val="en-US" w:eastAsia="zh-CN"/>
                    </w:rPr>
                    <w:t>地上1层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废气防治</w:t>
                  </w:r>
                </w:p>
              </w:tc>
              <w:tc>
                <w:tcPr>
                  <w:tcW w:w="563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煎药废气：项目煎药过程通过采取将煎药设备布置于独立煎药间、使用密闭煎药设备并且在煎药设备上方设置集气罩，将收集的废气引至活性炭进行净化处理</w:t>
                  </w:r>
                  <w:r>
                    <w:rPr>
                      <w:rFonts w:hint="eastAsia" w:ascii="Times New Roman" w:hAnsi="Times New Roman" w:eastAsia="宋体" w:cs="Times New Roman"/>
                      <w:color w:val="auto"/>
                      <w:sz w:val="21"/>
                      <w:szCs w:val="21"/>
                      <w:vertAlign w:val="baseline"/>
                      <w:lang w:val="en-US" w:eastAsia="zh-CN"/>
                    </w:rPr>
                    <w:t>。</w:t>
                  </w: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中药制剂废气：磨粉</w:t>
                  </w:r>
                  <w:r>
                    <w:rPr>
                      <w:rFonts w:hint="eastAsia" w:cs="Times New Roman"/>
                      <w:color w:val="auto"/>
                      <w:sz w:val="21"/>
                      <w:szCs w:val="21"/>
                      <w:vertAlign w:val="baseline"/>
                      <w:lang w:val="en-US" w:eastAsia="zh-CN"/>
                    </w:rPr>
                    <w:t>设备自带</w:t>
                  </w:r>
                  <w:r>
                    <w:rPr>
                      <w:rFonts w:hint="eastAsia" w:ascii="Times New Roman" w:hAnsi="Times New Roman" w:eastAsia="宋体" w:cs="Times New Roman"/>
                      <w:color w:val="auto"/>
                      <w:sz w:val="21"/>
                      <w:szCs w:val="21"/>
                      <w:vertAlign w:val="baseline"/>
                      <w:lang w:val="en-US" w:eastAsia="zh-CN"/>
                    </w:rPr>
                    <w:t>布袋除尘器。</w:t>
                  </w: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污水站恶臭气体：对污水处理站恶臭气体采取污水治理设施置于地下密闭、喷洒除臭剂处理措施，并加强日常管理，对污泥及时清理，在污水站周边进行绿化。</w:t>
                  </w: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食堂油烟收集后经油烟净化器处理后由专用烟道引至楼顶排放；</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7" w:hRule="atLeast"/>
                <w:jc w:val="center"/>
              </w:trPr>
              <w:tc>
                <w:tcPr>
                  <w:tcW w:w="648"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废水防治</w:t>
                  </w:r>
                </w:p>
              </w:tc>
              <w:tc>
                <w:tcPr>
                  <w:tcW w:w="563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医院综合废水经污水处理站处理达标后排入市政管网，最终进入胡杨河市污水处理厂；污水处理站工艺为“化粪池+调节池+生物接触氧化池+沉淀+消毒”</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648"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噪声防治</w:t>
                  </w:r>
                </w:p>
              </w:tc>
              <w:tc>
                <w:tcPr>
                  <w:tcW w:w="5631" w:type="dxa"/>
                  <w:gridSpan w:val="2"/>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加强管理，设置安静、禁止高声喧哗等标志牌，采用低噪声设备，采取隔音、吸音措施</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p>
              </w:tc>
              <w:tc>
                <w:tcPr>
                  <w:tcW w:w="1466" w:type="dxa"/>
                  <w:vMerge w:val="restart"/>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固废防治</w:t>
                  </w:r>
                </w:p>
              </w:tc>
              <w:tc>
                <w:tcPr>
                  <w:tcW w:w="1267"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生活垃圾</w:t>
                  </w:r>
                </w:p>
              </w:tc>
              <w:tc>
                <w:tcPr>
                  <w:tcW w:w="4364"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生活垃圾定点堆放，定时运至</w:t>
                  </w:r>
                  <w:r>
                    <w:rPr>
                      <w:rFonts w:hint="eastAsia" w:ascii="Times New Roman" w:hAnsi="Times New Roman" w:eastAsia="宋体" w:cs="Times New Roman"/>
                      <w:color w:val="auto"/>
                      <w:sz w:val="21"/>
                      <w:szCs w:val="21"/>
                      <w:vertAlign w:val="baseline"/>
                      <w:lang w:val="en-US" w:eastAsia="zh-CN"/>
                    </w:rPr>
                    <w:t>130团5连生活垃圾填埋场</w:t>
                  </w:r>
                  <w:r>
                    <w:rPr>
                      <w:rFonts w:hint="eastAsia" w:eastAsia="宋体" w:cs="Times New Roman"/>
                      <w:color w:val="auto"/>
                      <w:sz w:val="21"/>
                      <w:szCs w:val="21"/>
                      <w:vertAlign w:val="baseline"/>
                      <w:lang w:val="en-US" w:eastAsia="zh-CN"/>
                    </w:rPr>
                    <w:t>。</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p>
              </w:tc>
              <w:tc>
                <w:tcPr>
                  <w:tcW w:w="1466"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p>
              </w:tc>
              <w:tc>
                <w:tcPr>
                  <w:tcW w:w="1267"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医疗废物</w:t>
                  </w:r>
                </w:p>
              </w:tc>
              <w:tc>
                <w:tcPr>
                  <w:tcW w:w="4364"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医疗废物分类收集暂存于</w:t>
                  </w:r>
                  <w:r>
                    <w:rPr>
                      <w:rFonts w:hint="eastAsia" w:cs="Times New Roman"/>
                      <w:color w:val="auto"/>
                      <w:sz w:val="21"/>
                      <w:szCs w:val="21"/>
                      <w:vertAlign w:val="baseline"/>
                      <w:lang w:val="en-US" w:eastAsia="zh-CN"/>
                    </w:rPr>
                    <w:t>危险</w:t>
                  </w:r>
                  <w:r>
                    <w:rPr>
                      <w:rFonts w:hint="default" w:ascii="Times New Roman" w:hAnsi="Times New Roman" w:eastAsia="宋体" w:cs="Times New Roman"/>
                      <w:color w:val="auto"/>
                      <w:sz w:val="21"/>
                      <w:szCs w:val="21"/>
                      <w:vertAlign w:val="baseline"/>
                      <w:lang w:val="en-US" w:eastAsia="zh-CN"/>
                    </w:rPr>
                    <w:t>废物暂存间，统一交由有资质单位</w:t>
                  </w:r>
                  <w:r>
                    <w:rPr>
                      <w:rFonts w:hint="eastAsia" w:cs="Times New Roman"/>
                      <w:color w:val="auto"/>
                      <w:sz w:val="21"/>
                      <w:szCs w:val="21"/>
                      <w:vertAlign w:val="baseline"/>
                      <w:lang w:val="en-US" w:eastAsia="zh-CN"/>
                    </w:rPr>
                    <w:t>处置</w:t>
                  </w:r>
                  <w:r>
                    <w:rPr>
                      <w:rFonts w:hint="default" w:ascii="Times New Roman" w:hAnsi="Times New Roman" w:eastAsia="宋体" w:cs="Times New Roman"/>
                      <w:color w:val="auto"/>
                      <w:sz w:val="21"/>
                      <w:szCs w:val="21"/>
                      <w:vertAlign w:val="baseline"/>
                      <w:lang w:val="en-US" w:eastAsia="zh-CN"/>
                    </w:rPr>
                    <w:t>。</w:t>
                  </w: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污泥池浓缩后的污泥定期由业主委托具有资质的专业公司进行合法合规处置。</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8"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p>
              </w:tc>
              <w:tc>
                <w:tcPr>
                  <w:tcW w:w="1466" w:type="dxa"/>
                  <w:vMerge w:val="continue"/>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p>
              </w:tc>
              <w:tc>
                <w:tcPr>
                  <w:tcW w:w="1267"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一般固体废物</w:t>
                  </w:r>
                </w:p>
              </w:tc>
              <w:tc>
                <w:tcPr>
                  <w:tcW w:w="4364"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中药制剂产生的废包装物、除尘器收集的中药粉尘集中收集，定期交由环卫部门处置；</w:t>
                  </w:r>
                  <w:r>
                    <w:rPr>
                      <w:rFonts w:hint="eastAsia" w:cs="Times New Roman"/>
                      <w:color w:val="auto"/>
                      <w:sz w:val="21"/>
                      <w:szCs w:val="21"/>
                      <w:vertAlign w:val="baseline"/>
                      <w:lang w:val="en-US" w:eastAsia="zh-CN"/>
                    </w:rPr>
                    <w:t>废</w:t>
                  </w:r>
                  <w:r>
                    <w:rPr>
                      <w:rFonts w:hint="eastAsia" w:ascii="Times New Roman" w:hAnsi="Times New Roman" w:eastAsia="宋体" w:cs="Times New Roman"/>
                      <w:color w:val="auto"/>
                      <w:sz w:val="21"/>
                      <w:szCs w:val="21"/>
                      <w:vertAlign w:val="baseline"/>
                      <w:lang w:val="en-US" w:eastAsia="zh-CN"/>
                    </w:rPr>
                    <w:t>活性炭由</w:t>
                  </w:r>
                  <w:r>
                    <w:rPr>
                      <w:rFonts w:hint="eastAsia" w:cs="Times New Roman"/>
                      <w:color w:val="auto"/>
                      <w:sz w:val="21"/>
                      <w:szCs w:val="21"/>
                      <w:vertAlign w:val="baseline"/>
                      <w:lang w:val="en-US" w:eastAsia="zh-CN"/>
                    </w:rPr>
                    <w:t>厂家回收</w:t>
                  </w:r>
                  <w:r>
                    <w:rPr>
                      <w:rFonts w:hint="eastAsia" w:ascii="Times New Roman" w:hAnsi="Times New Roman" w:eastAsia="宋体" w:cs="Times New Roman"/>
                      <w:color w:val="auto"/>
                      <w:sz w:val="21"/>
                      <w:szCs w:val="21"/>
                      <w:vertAlign w:val="baseline"/>
                      <w:lang w:val="en-US" w:eastAsia="zh-CN"/>
                    </w:rPr>
                    <w:t>。</w:t>
                  </w:r>
                </w:p>
              </w:tc>
              <w:tc>
                <w:tcPr>
                  <w:tcW w:w="13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p>
              </w:tc>
            </w:tr>
          </w:tbl>
          <w:p>
            <w:pPr>
              <w:spacing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主要医疗设备</w:t>
            </w:r>
          </w:p>
          <w:p>
            <w:pPr>
              <w:numPr>
                <w:ilvl w:val="0"/>
                <w:numId w:val="0"/>
              </w:numPr>
              <w:adjustRightInd w:val="0"/>
              <w:snapToGrid w:val="0"/>
              <w:spacing w:line="360" w:lineRule="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spacing w:val="6"/>
                <w:sz w:val="23"/>
                <w:szCs w:val="23"/>
              </w:rPr>
              <w:t>项</w:t>
            </w:r>
            <w:r>
              <w:rPr>
                <w:rFonts w:hint="default" w:ascii="Times New Roman" w:hAnsi="Times New Roman" w:eastAsia="宋体" w:cs="Times New Roman"/>
                <w:spacing w:val="4"/>
                <w:sz w:val="23"/>
                <w:szCs w:val="23"/>
              </w:rPr>
              <w:t>目</w:t>
            </w:r>
            <w:r>
              <w:rPr>
                <w:rFonts w:hint="default" w:ascii="Times New Roman" w:hAnsi="Times New Roman" w:eastAsia="宋体" w:cs="Times New Roman"/>
                <w:spacing w:val="3"/>
                <w:sz w:val="23"/>
                <w:szCs w:val="23"/>
              </w:rPr>
              <w:t>主要医疗设备详见表</w:t>
            </w:r>
            <w:r>
              <w:rPr>
                <w:rFonts w:hint="default" w:ascii="Times New Roman" w:hAnsi="Times New Roman" w:eastAsia="宋体" w:cs="Times New Roman"/>
                <w:color w:val="auto"/>
                <w:sz w:val="24"/>
                <w:lang w:val="en-US" w:eastAsia="zh-CN"/>
              </w:rPr>
              <w:t>2-2</w:t>
            </w:r>
          </w:p>
          <w:p>
            <w:pPr>
              <w:adjustRightInd w:val="0"/>
              <w:snapToGrid w:val="0"/>
              <w:jc w:val="center"/>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rPr>
              <w:t>表2-</w:t>
            </w:r>
            <w:r>
              <w:rPr>
                <w:rFonts w:hint="default" w:ascii="Times New Roman" w:hAnsi="Times New Roman" w:eastAsia="宋体" w:cs="Times New Roman"/>
                <w:b/>
                <w:color w:val="auto"/>
                <w:sz w:val="24"/>
                <w:szCs w:val="24"/>
                <w:highlight w:val="none"/>
                <w:lang w:val="en-US" w:eastAsia="zh-CN"/>
              </w:rPr>
              <w:t>2</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项目</w:t>
            </w:r>
            <w:r>
              <w:rPr>
                <w:rFonts w:hint="default" w:ascii="Times New Roman" w:hAnsi="Times New Roman" w:eastAsia="宋体" w:cs="Times New Roman"/>
                <w:b/>
                <w:color w:val="auto"/>
                <w:sz w:val="24"/>
                <w:szCs w:val="24"/>
                <w:highlight w:val="none"/>
                <w:lang w:eastAsia="zh-CN"/>
              </w:rPr>
              <w:t>主要医疗设备</w:t>
            </w:r>
            <w:r>
              <w:rPr>
                <w:rFonts w:hint="default" w:ascii="Times New Roman" w:hAnsi="Times New Roman" w:eastAsia="宋体" w:cs="Times New Roman"/>
                <w:b/>
                <w:color w:val="auto"/>
                <w:sz w:val="24"/>
                <w:szCs w:val="24"/>
                <w:highlight w:val="none"/>
              </w:rPr>
              <w:t>一览表</w:t>
            </w:r>
          </w:p>
          <w:tbl>
            <w:tblPr>
              <w:tblStyle w:val="28"/>
              <w:tblpPr w:leftFromText="180" w:rightFromText="180" w:vertAnchor="text" w:horzAnchor="page" w:tblpX="131" w:tblpY="17"/>
              <w:tblOverlap w:val="never"/>
              <w:tblW w:w="8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3666"/>
              <w:gridCol w:w="2211"/>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设备名称</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型号</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全自动生化分析仪（生化、血球、血凝、发光、尿）</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迈瑞2000速新产业4000PlusBC-6800CS-2000URIT-1280</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CT</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Uct710</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3</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下肢步态训练及评估系统</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Remo</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骨关节镜</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IMAGE1S</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彩色多普勒超声系统</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PHILIPSEPIQ7</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6</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内窥镜及清洗消毒机</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奥林巴斯CV290</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7</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高压氧舱</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烟台豪特氧业YC2400J-X</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8</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中医脉象仪</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海恩达JKYL-1202-7C</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9</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中医舌象仪</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海恩达JKYL-1202-7C</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10</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穴位诊断仪</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海恩达JKYL-1202-7C</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11</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多导人体反射治疗系统</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SW6110B-480</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12</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中医治疗、康复、理疗设备</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13</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中医经络治疗仪</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14</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阿基米德悬吊</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广州AR11009</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15</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多功能艾灸仪</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16</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经络通治疗仪</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17</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中药治疗仪</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18</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中药离子导入仪</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19</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中药熏蒸治疗仪</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20</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神经智能治疗仪</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法国PHENIX</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21</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心脑血管治疗仪</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22</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中风治疗仪</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23</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多导人体反射治疗系统</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SW6110B-M480</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24</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眼动神经康复认知系统</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JZ-RZ-1020杭州</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25</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体外高频骨病治疗机</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GRL吉林</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26</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无轨迹等张肌力测试康复训练</w:t>
                  </w:r>
                </w:p>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系统</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上海EN-TreeM</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firstLine="210" w:firstLineChars="100"/>
                    <w:jc w:val="both"/>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27</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骨密度仪</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28</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冰冻切片机等病理设备</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莱卡CM1950</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29</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血液透析机</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进口费森尤斯5008S</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30</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麻醉机</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迈瑞EX55</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31</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麻醉监护仪</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迈瑞N12</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32</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血滤机</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德国贝朗</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33</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预真空高压灭菌器</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山东新华1500</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34</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动态心电分析仪（Holter）</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35</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卡式灭菌器</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36</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救护车</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37</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中医调剂设备</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38</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戥子</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39</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中药煎药设备</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40</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中药煎药包装机</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41</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碾药</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42</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粉碎装置</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43</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炒药机</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44</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搅拌机</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45</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混合机</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46</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中药制剂设备</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4</w:t>
                  </w:r>
                  <w:r>
                    <w:rPr>
                      <w:rFonts w:hint="eastAsia" w:cs="Times New Roman"/>
                      <w:color w:val="auto"/>
                      <w:sz w:val="21"/>
                      <w:szCs w:val="21"/>
                      <w:vertAlign w:val="baseline"/>
                      <w:lang w:val="en-US" w:eastAsia="zh-CN"/>
                    </w:rPr>
                    <w:t>7</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粉碎装置</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48</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水处理设备</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49</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干燥设备</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5</w:t>
                  </w:r>
                  <w:r>
                    <w:rPr>
                      <w:rFonts w:hint="eastAsia" w:cs="Times New Roman"/>
                      <w:color w:val="auto"/>
                      <w:sz w:val="21"/>
                      <w:szCs w:val="21"/>
                      <w:vertAlign w:val="baseline"/>
                      <w:lang w:val="en-US" w:eastAsia="zh-CN"/>
                    </w:rPr>
                    <w:t>0</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旋转筛药机</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51</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消毒设备</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52</w:t>
                  </w:r>
                </w:p>
              </w:tc>
              <w:tc>
                <w:tcPr>
                  <w:tcW w:w="3666"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中医雾化吸入设备</w:t>
                  </w:r>
                </w:p>
              </w:tc>
              <w:tc>
                <w:tcPr>
                  <w:tcW w:w="2211"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w:t>
                  </w:r>
                </w:p>
              </w:tc>
              <w:tc>
                <w:tcPr>
                  <w:tcW w:w="2212" w:type="dxa"/>
                  <w:noWrap w:val="0"/>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r>
          </w:tbl>
          <w:p>
            <w:pPr>
              <w:numPr>
                <w:ilvl w:val="0"/>
                <w:numId w:val="0"/>
              </w:numPr>
              <w:adjustRightInd w:val="0"/>
              <w:snapToGrid w:val="0"/>
              <w:spacing w:line="360" w:lineRule="auto"/>
              <w:rPr>
                <w:rFonts w:hint="eastAsia" w:ascii="Times New Roman" w:hAnsi="Times New Roman" w:eastAsia="宋体" w:cs="Times New Roman"/>
                <w:b/>
                <w:bCs/>
                <w:color w:val="auto"/>
                <w:spacing w:val="10"/>
                <w:sz w:val="24"/>
                <w:lang w:val="en-US" w:eastAsia="zh-CN"/>
              </w:rPr>
            </w:pPr>
            <w:r>
              <w:rPr>
                <w:rFonts w:hint="eastAsia" w:ascii="Times New Roman" w:hAnsi="Times New Roman" w:eastAsia="宋体" w:cs="Times New Roman"/>
                <w:b/>
                <w:bCs/>
                <w:color w:val="auto"/>
                <w:spacing w:val="10"/>
                <w:sz w:val="24"/>
                <w:lang w:val="en-US" w:eastAsia="zh-CN"/>
              </w:rPr>
              <w:t>1.3生产规模</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中药制剂中心年生产中药制剂消耗中药50.5吨，均为院内处方药，为院内患者自用，不对外批量生产和销售。本项目生产中药制剂主要为中药煎熬、中药散剂。</w:t>
            </w:r>
          </w:p>
          <w:p>
            <w:pPr>
              <w:adjustRightInd w:val="0"/>
              <w:snapToGrid w:val="0"/>
              <w:jc w:val="center"/>
              <w:rPr>
                <w:rFonts w:hint="eastAsia"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eastAsia="zh-CN"/>
              </w:rPr>
              <w:t>表</w:t>
            </w:r>
            <w:r>
              <w:rPr>
                <w:rFonts w:hint="eastAsia" w:ascii="Times New Roman" w:hAnsi="Times New Roman" w:eastAsia="宋体" w:cs="Times New Roman"/>
                <w:b/>
                <w:color w:val="auto"/>
                <w:sz w:val="24"/>
                <w:szCs w:val="24"/>
                <w:highlight w:val="none"/>
                <w:lang w:val="en-US" w:eastAsia="zh-CN"/>
              </w:rPr>
              <w:t xml:space="preserve">2-3  </w:t>
            </w:r>
            <w:r>
              <w:rPr>
                <w:rFonts w:hint="eastAsia" w:ascii="Times New Roman" w:hAnsi="Times New Roman" w:eastAsia="宋体" w:cs="Times New Roman"/>
                <w:b/>
                <w:color w:val="auto"/>
                <w:sz w:val="24"/>
                <w:szCs w:val="24"/>
                <w:highlight w:val="none"/>
              </w:rPr>
              <w:t>项目生产规模及产品方案一览表</w:t>
            </w:r>
          </w:p>
          <w:tbl>
            <w:tblPr>
              <w:tblStyle w:val="27"/>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851"/>
              <w:gridCol w:w="1996"/>
              <w:gridCol w:w="1841"/>
              <w:gridCol w:w="1381"/>
              <w:gridCol w:w="1215"/>
              <w:gridCol w:w="1215"/>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87" w:hRule="atLeast"/>
                <w:jc w:val="center"/>
              </w:trPr>
              <w:tc>
                <w:tcPr>
                  <w:tcW w:w="851" w:type="dxa"/>
                  <w:noWrap w:val="0"/>
                  <w:vAlign w:val="center"/>
                </w:tcPr>
                <w:p>
                  <w:pPr>
                    <w:tabs>
                      <w:tab w:val="left" w:pos="3990"/>
                    </w:tabs>
                    <w:snapToGrid w:val="0"/>
                    <w:jc w:val="center"/>
                    <w:rPr>
                      <w:b/>
                      <w:color w:val="auto"/>
                      <w:szCs w:val="21"/>
                    </w:rPr>
                  </w:pPr>
                  <w:r>
                    <w:rPr>
                      <w:rFonts w:hint="eastAsia"/>
                      <w:b/>
                      <w:color w:val="auto"/>
                      <w:szCs w:val="21"/>
                    </w:rPr>
                    <w:t>序号</w:t>
                  </w:r>
                </w:p>
              </w:tc>
              <w:tc>
                <w:tcPr>
                  <w:tcW w:w="1996" w:type="dxa"/>
                  <w:noWrap w:val="0"/>
                  <w:vAlign w:val="center"/>
                </w:tcPr>
                <w:p>
                  <w:pPr>
                    <w:tabs>
                      <w:tab w:val="left" w:pos="3990"/>
                    </w:tabs>
                    <w:snapToGrid w:val="0"/>
                    <w:jc w:val="center"/>
                    <w:rPr>
                      <w:b/>
                      <w:color w:val="auto"/>
                      <w:szCs w:val="21"/>
                    </w:rPr>
                  </w:pPr>
                  <w:r>
                    <w:rPr>
                      <w:rFonts w:hint="eastAsia"/>
                      <w:b/>
                      <w:color w:val="auto"/>
                      <w:szCs w:val="21"/>
                    </w:rPr>
                    <w:t>产品名称</w:t>
                  </w:r>
                </w:p>
              </w:tc>
              <w:tc>
                <w:tcPr>
                  <w:tcW w:w="1841" w:type="dxa"/>
                  <w:noWrap w:val="0"/>
                  <w:vAlign w:val="center"/>
                </w:tcPr>
                <w:p>
                  <w:pPr>
                    <w:tabs>
                      <w:tab w:val="left" w:pos="3990"/>
                    </w:tabs>
                    <w:snapToGrid w:val="0"/>
                    <w:jc w:val="center"/>
                    <w:rPr>
                      <w:b/>
                      <w:color w:val="auto"/>
                      <w:szCs w:val="21"/>
                    </w:rPr>
                  </w:pPr>
                  <w:r>
                    <w:rPr>
                      <w:b/>
                      <w:color w:val="auto"/>
                      <w:szCs w:val="21"/>
                    </w:rPr>
                    <w:t>规格</w:t>
                  </w:r>
                </w:p>
              </w:tc>
              <w:tc>
                <w:tcPr>
                  <w:tcW w:w="1381" w:type="dxa"/>
                  <w:tcBorders>
                    <w:right w:val="single" w:color="auto" w:sz="4" w:space="0"/>
                  </w:tcBorders>
                  <w:noWrap w:val="0"/>
                  <w:vAlign w:val="center"/>
                </w:tcPr>
                <w:p>
                  <w:pPr>
                    <w:tabs>
                      <w:tab w:val="left" w:pos="3990"/>
                    </w:tabs>
                    <w:snapToGrid w:val="0"/>
                    <w:jc w:val="center"/>
                    <w:rPr>
                      <w:rFonts w:hint="eastAsia"/>
                      <w:b/>
                      <w:color w:val="auto"/>
                      <w:szCs w:val="21"/>
                    </w:rPr>
                  </w:pPr>
                  <w:r>
                    <w:rPr>
                      <w:rFonts w:hint="eastAsia"/>
                      <w:b/>
                      <w:color w:val="auto"/>
                      <w:szCs w:val="21"/>
                    </w:rPr>
                    <w:t>中药饮片</w:t>
                  </w:r>
                </w:p>
                <w:p>
                  <w:pPr>
                    <w:tabs>
                      <w:tab w:val="left" w:pos="3990"/>
                    </w:tabs>
                    <w:snapToGrid w:val="0"/>
                    <w:jc w:val="center"/>
                    <w:rPr>
                      <w:b/>
                      <w:color w:val="auto"/>
                      <w:szCs w:val="21"/>
                    </w:rPr>
                  </w:pPr>
                  <w:r>
                    <w:rPr>
                      <w:rFonts w:hint="eastAsia"/>
                      <w:b/>
                      <w:color w:val="auto"/>
                      <w:szCs w:val="21"/>
                    </w:rPr>
                    <w:t>用量</w:t>
                  </w:r>
                </w:p>
              </w:tc>
              <w:tc>
                <w:tcPr>
                  <w:tcW w:w="1215" w:type="dxa"/>
                  <w:noWrap w:val="0"/>
                  <w:vAlign w:val="top"/>
                </w:tcPr>
                <w:p>
                  <w:pPr>
                    <w:tabs>
                      <w:tab w:val="left" w:pos="3990"/>
                    </w:tabs>
                    <w:snapToGrid w:val="0"/>
                    <w:rPr>
                      <w:b/>
                      <w:color w:val="auto"/>
                      <w:szCs w:val="21"/>
                    </w:rPr>
                  </w:pPr>
                  <w:r>
                    <w:rPr>
                      <w:rFonts w:hint="eastAsia"/>
                      <w:b/>
                      <w:color w:val="auto"/>
                      <w:szCs w:val="21"/>
                    </w:rPr>
                    <w:t>产品产量</w:t>
                  </w:r>
                </w:p>
              </w:tc>
              <w:tc>
                <w:tcPr>
                  <w:tcW w:w="1215" w:type="dxa"/>
                  <w:noWrap w:val="0"/>
                  <w:vAlign w:val="center"/>
                </w:tcPr>
                <w:p>
                  <w:pPr>
                    <w:tabs>
                      <w:tab w:val="left" w:pos="3990"/>
                    </w:tabs>
                    <w:snapToGrid w:val="0"/>
                    <w:jc w:val="center"/>
                    <w:rPr>
                      <w:b/>
                      <w:color w:val="auto"/>
                      <w:szCs w:val="21"/>
                    </w:rPr>
                  </w:pPr>
                  <w:r>
                    <w:rPr>
                      <w:b/>
                      <w:color w:val="auto"/>
                      <w:szCs w:val="21"/>
                    </w:rPr>
                    <w:t>单位</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176" w:hRule="atLeast"/>
                <w:jc w:val="center"/>
              </w:trPr>
              <w:tc>
                <w:tcPr>
                  <w:tcW w:w="851" w:type="dxa"/>
                  <w:noWrap w:val="0"/>
                  <w:vAlign w:val="center"/>
                </w:tcPr>
                <w:p>
                  <w:pPr>
                    <w:tabs>
                      <w:tab w:val="left" w:pos="3990"/>
                    </w:tabs>
                    <w:snapToGrid w:val="0"/>
                    <w:jc w:val="center"/>
                    <w:rPr>
                      <w:color w:val="auto"/>
                      <w:szCs w:val="21"/>
                    </w:rPr>
                  </w:pPr>
                  <w:r>
                    <w:rPr>
                      <w:color w:val="auto"/>
                      <w:szCs w:val="21"/>
                    </w:rPr>
                    <w:t>1</w:t>
                  </w:r>
                </w:p>
              </w:tc>
              <w:tc>
                <w:tcPr>
                  <w:tcW w:w="1996" w:type="dxa"/>
                  <w:noWrap w:val="0"/>
                  <w:vAlign w:val="center"/>
                </w:tcPr>
                <w:p>
                  <w:pPr>
                    <w:tabs>
                      <w:tab w:val="left" w:pos="3990"/>
                    </w:tabs>
                    <w:snapToGrid w:val="0"/>
                    <w:jc w:val="center"/>
                    <w:rPr>
                      <w:color w:val="auto"/>
                      <w:szCs w:val="21"/>
                    </w:rPr>
                  </w:pPr>
                  <w:r>
                    <w:rPr>
                      <w:rFonts w:hint="eastAsia"/>
                      <w:color w:val="auto"/>
                      <w:szCs w:val="21"/>
                    </w:rPr>
                    <w:t>中药代煎</w:t>
                  </w:r>
                </w:p>
              </w:tc>
              <w:tc>
                <w:tcPr>
                  <w:tcW w:w="1841" w:type="dxa"/>
                  <w:noWrap w:val="0"/>
                  <w:vAlign w:val="center"/>
                </w:tcPr>
                <w:p>
                  <w:pPr>
                    <w:tabs>
                      <w:tab w:val="left" w:pos="3990"/>
                    </w:tabs>
                    <w:snapToGrid w:val="0"/>
                    <w:jc w:val="center"/>
                    <w:rPr>
                      <w:color w:val="auto"/>
                      <w:szCs w:val="21"/>
                    </w:rPr>
                  </w:pPr>
                  <w:r>
                    <w:rPr>
                      <w:rFonts w:hint="eastAsia"/>
                      <w:color w:val="auto"/>
                      <w:szCs w:val="21"/>
                    </w:rPr>
                    <w:t>处方700张/天</w:t>
                  </w:r>
                </w:p>
              </w:tc>
              <w:tc>
                <w:tcPr>
                  <w:tcW w:w="1381" w:type="dxa"/>
                  <w:tcBorders>
                    <w:right w:val="single" w:color="auto" w:sz="4" w:space="0"/>
                  </w:tcBorders>
                  <w:noWrap w:val="0"/>
                  <w:vAlign w:val="center"/>
                </w:tcPr>
                <w:p>
                  <w:pPr>
                    <w:tabs>
                      <w:tab w:val="left" w:pos="3990"/>
                    </w:tabs>
                    <w:snapToGrid w:val="0"/>
                    <w:jc w:val="center"/>
                    <w:rPr>
                      <w:color w:val="auto"/>
                      <w:szCs w:val="21"/>
                    </w:rPr>
                  </w:pPr>
                  <w:r>
                    <w:rPr>
                      <w:rFonts w:hint="eastAsia"/>
                      <w:color w:val="auto"/>
                      <w:szCs w:val="21"/>
                    </w:rPr>
                    <w:t>40</w:t>
                  </w:r>
                </w:p>
              </w:tc>
              <w:tc>
                <w:tcPr>
                  <w:tcW w:w="1215" w:type="dxa"/>
                  <w:noWrap w:val="0"/>
                  <w:vAlign w:val="top"/>
                </w:tcPr>
                <w:p>
                  <w:pPr>
                    <w:tabs>
                      <w:tab w:val="left" w:pos="3990"/>
                    </w:tabs>
                    <w:snapToGrid w:val="0"/>
                    <w:jc w:val="center"/>
                    <w:rPr>
                      <w:color w:val="auto"/>
                      <w:szCs w:val="21"/>
                    </w:rPr>
                  </w:pPr>
                  <w:r>
                    <w:rPr>
                      <w:rFonts w:hint="eastAsia"/>
                      <w:color w:val="auto"/>
                      <w:szCs w:val="21"/>
                    </w:rPr>
                    <w:t>80</w:t>
                  </w:r>
                </w:p>
              </w:tc>
              <w:tc>
                <w:tcPr>
                  <w:tcW w:w="1215" w:type="dxa"/>
                  <w:noWrap w:val="0"/>
                  <w:vAlign w:val="center"/>
                </w:tcPr>
                <w:p>
                  <w:pPr>
                    <w:tabs>
                      <w:tab w:val="left" w:pos="3990"/>
                    </w:tabs>
                    <w:snapToGrid w:val="0"/>
                    <w:jc w:val="center"/>
                    <w:rPr>
                      <w:color w:val="auto"/>
                      <w:szCs w:val="21"/>
                    </w:rPr>
                  </w:pPr>
                  <w:r>
                    <w:rPr>
                      <w:color w:val="auto"/>
                      <w:szCs w:val="21"/>
                    </w:rPr>
                    <w:t>t</w:t>
                  </w:r>
                  <w:r>
                    <w:rPr>
                      <w:rFonts w:hint="eastAsia"/>
                      <w:color w:val="auto"/>
                      <w:szCs w:val="21"/>
                    </w:rPr>
                    <w:t>/a</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220" w:hRule="atLeast"/>
                <w:jc w:val="center"/>
              </w:trPr>
              <w:tc>
                <w:tcPr>
                  <w:tcW w:w="851" w:type="dxa"/>
                  <w:noWrap w:val="0"/>
                  <w:vAlign w:val="center"/>
                </w:tcPr>
                <w:p>
                  <w:pPr>
                    <w:tabs>
                      <w:tab w:val="left" w:pos="3990"/>
                    </w:tabs>
                    <w:snapToGrid w:val="0"/>
                    <w:jc w:val="center"/>
                    <w:rPr>
                      <w:color w:val="auto"/>
                      <w:szCs w:val="21"/>
                    </w:rPr>
                  </w:pPr>
                  <w:r>
                    <w:rPr>
                      <w:rFonts w:hint="eastAsia"/>
                      <w:color w:val="auto"/>
                      <w:szCs w:val="21"/>
                    </w:rPr>
                    <w:t>2</w:t>
                  </w:r>
                </w:p>
              </w:tc>
              <w:tc>
                <w:tcPr>
                  <w:tcW w:w="1996" w:type="dxa"/>
                  <w:noWrap w:val="0"/>
                  <w:vAlign w:val="center"/>
                </w:tcPr>
                <w:p>
                  <w:pPr>
                    <w:tabs>
                      <w:tab w:val="left" w:pos="3990"/>
                    </w:tabs>
                    <w:snapToGrid w:val="0"/>
                    <w:jc w:val="center"/>
                    <w:rPr>
                      <w:rFonts w:hint="eastAsia"/>
                      <w:color w:val="auto"/>
                      <w:szCs w:val="21"/>
                    </w:rPr>
                  </w:pPr>
                  <w:r>
                    <w:rPr>
                      <w:rFonts w:hint="eastAsia"/>
                      <w:color w:val="auto"/>
                      <w:szCs w:val="21"/>
                    </w:rPr>
                    <w:t>中药散剂</w:t>
                  </w:r>
                </w:p>
              </w:tc>
              <w:tc>
                <w:tcPr>
                  <w:tcW w:w="1841" w:type="dxa"/>
                  <w:noWrap w:val="0"/>
                  <w:vAlign w:val="center"/>
                </w:tcPr>
                <w:p>
                  <w:pPr>
                    <w:tabs>
                      <w:tab w:val="left" w:pos="3990"/>
                    </w:tabs>
                    <w:snapToGrid w:val="0"/>
                    <w:jc w:val="center"/>
                    <w:rPr>
                      <w:color w:val="auto"/>
                      <w:szCs w:val="21"/>
                    </w:rPr>
                  </w:pPr>
                  <w:r>
                    <w:rPr>
                      <w:rFonts w:hint="eastAsia"/>
                      <w:color w:val="auto"/>
                      <w:szCs w:val="21"/>
                    </w:rPr>
                    <w:t>/</w:t>
                  </w:r>
                </w:p>
              </w:tc>
              <w:tc>
                <w:tcPr>
                  <w:tcW w:w="1381" w:type="dxa"/>
                  <w:tcBorders>
                    <w:right w:val="single" w:color="auto" w:sz="4" w:space="0"/>
                  </w:tcBorders>
                  <w:noWrap w:val="0"/>
                  <w:vAlign w:val="center"/>
                </w:tcPr>
                <w:p>
                  <w:pPr>
                    <w:tabs>
                      <w:tab w:val="left" w:pos="3990"/>
                    </w:tabs>
                    <w:snapToGrid w:val="0"/>
                    <w:jc w:val="center"/>
                    <w:rPr>
                      <w:color w:val="auto"/>
                      <w:szCs w:val="21"/>
                    </w:rPr>
                  </w:pPr>
                  <w:r>
                    <w:rPr>
                      <w:rFonts w:hint="eastAsia"/>
                      <w:color w:val="auto"/>
                      <w:szCs w:val="21"/>
                    </w:rPr>
                    <w:t>10.5</w:t>
                  </w:r>
                </w:p>
              </w:tc>
              <w:tc>
                <w:tcPr>
                  <w:tcW w:w="1215" w:type="dxa"/>
                  <w:noWrap w:val="0"/>
                  <w:vAlign w:val="top"/>
                </w:tcPr>
                <w:p>
                  <w:pPr>
                    <w:tabs>
                      <w:tab w:val="left" w:pos="3990"/>
                    </w:tabs>
                    <w:snapToGrid w:val="0"/>
                    <w:jc w:val="center"/>
                    <w:rPr>
                      <w:color w:val="auto"/>
                      <w:szCs w:val="21"/>
                    </w:rPr>
                  </w:pPr>
                  <w:r>
                    <w:rPr>
                      <w:rFonts w:hint="eastAsia"/>
                      <w:color w:val="auto"/>
                      <w:szCs w:val="21"/>
                    </w:rPr>
                    <w:t>10.5</w:t>
                  </w:r>
                </w:p>
              </w:tc>
              <w:tc>
                <w:tcPr>
                  <w:tcW w:w="1215" w:type="dxa"/>
                  <w:noWrap w:val="0"/>
                  <w:vAlign w:val="center"/>
                </w:tcPr>
                <w:p>
                  <w:pPr>
                    <w:tabs>
                      <w:tab w:val="left" w:pos="3990"/>
                    </w:tabs>
                    <w:snapToGrid w:val="0"/>
                    <w:jc w:val="center"/>
                    <w:rPr>
                      <w:color w:val="auto"/>
                      <w:szCs w:val="21"/>
                    </w:rPr>
                  </w:pPr>
                  <w:r>
                    <w:rPr>
                      <w:color w:val="auto"/>
                      <w:szCs w:val="21"/>
                    </w:rPr>
                    <w:t>t</w:t>
                  </w:r>
                  <w:r>
                    <w:rPr>
                      <w:rFonts w:hint="eastAsia"/>
                      <w:color w:val="auto"/>
                      <w:szCs w:val="21"/>
                    </w:rPr>
                    <w:t>/a</w:t>
                  </w:r>
                </w:p>
              </w:tc>
            </w:tr>
          </w:tbl>
          <w:p>
            <w:pPr>
              <w:numPr>
                <w:ilvl w:val="0"/>
                <w:numId w:val="0"/>
              </w:numPr>
              <w:adjustRightInd w:val="0"/>
              <w:snapToGrid w:val="0"/>
              <w:spacing w:line="360" w:lineRule="auto"/>
              <w:rPr>
                <w:rFonts w:hint="eastAsia"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bCs/>
                <w:color w:val="auto"/>
                <w:spacing w:val="10"/>
                <w:sz w:val="24"/>
                <w:lang w:val="en-US" w:eastAsia="zh-CN"/>
              </w:rPr>
              <w:t>1.</w:t>
            </w:r>
            <w:r>
              <w:rPr>
                <w:rFonts w:hint="eastAsia" w:cs="Times New Roman"/>
                <w:b/>
                <w:bCs/>
                <w:color w:val="auto"/>
                <w:spacing w:val="10"/>
                <w:sz w:val="24"/>
                <w:lang w:val="en-US" w:eastAsia="zh-CN"/>
              </w:rPr>
              <w:t>4医疗物资消耗情况</w:t>
            </w:r>
          </w:p>
          <w:p>
            <w:pPr>
              <w:adjustRightInd w:val="0"/>
              <w:snapToGrid w:val="0"/>
              <w:jc w:val="center"/>
              <w:rPr>
                <w:rFonts w:hint="eastAsia" w:ascii="Times New Roman" w:hAnsi="Times New Roman" w:eastAsia="宋体" w:cs="Times New Roman"/>
                <w:b/>
                <w:color w:val="auto"/>
                <w:sz w:val="24"/>
                <w:szCs w:val="24"/>
                <w:highlight w:val="none"/>
                <w:lang w:eastAsia="zh-CN"/>
              </w:rPr>
            </w:pPr>
            <w:r>
              <w:rPr>
                <w:rFonts w:hint="eastAsia" w:ascii="Times New Roman" w:hAnsi="Times New Roman" w:eastAsia="宋体" w:cs="Times New Roman"/>
                <w:b/>
                <w:color w:val="auto"/>
                <w:sz w:val="24"/>
                <w:szCs w:val="24"/>
                <w:highlight w:val="none"/>
                <w:lang w:eastAsia="zh-CN"/>
              </w:rPr>
              <w:t>表</w:t>
            </w:r>
            <w:r>
              <w:rPr>
                <w:rFonts w:hint="eastAsia" w:ascii="Times New Roman" w:hAnsi="Times New Roman" w:eastAsia="宋体" w:cs="Times New Roman"/>
                <w:b/>
                <w:color w:val="auto"/>
                <w:sz w:val="24"/>
                <w:szCs w:val="24"/>
                <w:highlight w:val="none"/>
                <w:lang w:val="en-US" w:eastAsia="zh-CN"/>
              </w:rPr>
              <w:t xml:space="preserve">2-4  </w:t>
            </w:r>
            <w:r>
              <w:rPr>
                <w:rFonts w:hint="eastAsia" w:ascii="Times New Roman" w:hAnsi="Times New Roman" w:eastAsia="宋体" w:cs="Times New Roman"/>
                <w:b/>
                <w:color w:val="auto"/>
                <w:sz w:val="24"/>
                <w:szCs w:val="24"/>
                <w:highlight w:val="none"/>
                <w:lang w:eastAsia="zh-CN"/>
              </w:rPr>
              <w:t>项目</w:t>
            </w:r>
            <w:r>
              <w:rPr>
                <w:rFonts w:hint="eastAsia" w:cs="Times New Roman"/>
                <w:b/>
                <w:color w:val="auto"/>
                <w:sz w:val="24"/>
                <w:szCs w:val="24"/>
                <w:highlight w:val="none"/>
                <w:lang w:val="en-US" w:eastAsia="zh-CN"/>
              </w:rPr>
              <w:t>医疗物资使用情况</w:t>
            </w:r>
            <w:r>
              <w:rPr>
                <w:rFonts w:hint="eastAsia" w:ascii="Times New Roman" w:hAnsi="Times New Roman" w:eastAsia="宋体" w:cs="Times New Roman"/>
                <w:b/>
                <w:color w:val="auto"/>
                <w:sz w:val="24"/>
                <w:szCs w:val="24"/>
                <w:highlight w:val="none"/>
                <w:lang w:eastAsia="zh-CN"/>
              </w:rPr>
              <w:t>一览表</w:t>
            </w:r>
          </w:p>
          <w:tbl>
            <w:tblPr>
              <w:tblStyle w:val="27"/>
              <w:tblW w:w="79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
              <w:gridCol w:w="1276"/>
              <w:gridCol w:w="747"/>
              <w:gridCol w:w="2688"/>
              <w:gridCol w:w="2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449" w:type="dxa"/>
                  <w:noWrap w:val="0"/>
                  <w:vAlign w:val="center"/>
                </w:tcPr>
                <w:p>
                  <w:pPr>
                    <w:tabs>
                      <w:tab w:val="left" w:pos="3990"/>
                    </w:tabs>
                    <w:snapToGrid w:val="0"/>
                    <w:jc w:val="center"/>
                    <w:rPr>
                      <w:rFonts w:hint="eastAsia"/>
                      <w:color w:val="auto"/>
                      <w:szCs w:val="21"/>
                    </w:rPr>
                  </w:pPr>
                  <w:r>
                    <w:rPr>
                      <w:rFonts w:hint="eastAsia"/>
                      <w:color w:val="auto"/>
                      <w:szCs w:val="21"/>
                    </w:rPr>
                    <w:t>序号</w:t>
                  </w:r>
                </w:p>
              </w:tc>
              <w:tc>
                <w:tcPr>
                  <w:tcW w:w="1276" w:type="dxa"/>
                  <w:noWrap w:val="0"/>
                  <w:vAlign w:val="center"/>
                </w:tcPr>
                <w:p>
                  <w:pPr>
                    <w:tabs>
                      <w:tab w:val="left" w:pos="3990"/>
                    </w:tabs>
                    <w:snapToGrid w:val="0"/>
                    <w:jc w:val="center"/>
                    <w:rPr>
                      <w:rFonts w:hint="eastAsia"/>
                      <w:color w:val="auto"/>
                      <w:szCs w:val="21"/>
                      <w:lang w:eastAsia="zh-CN"/>
                    </w:rPr>
                  </w:pPr>
                  <w:r>
                    <w:rPr>
                      <w:rFonts w:hint="eastAsia"/>
                      <w:color w:val="auto"/>
                      <w:szCs w:val="21"/>
                      <w:lang w:val="en-US" w:eastAsia="zh-CN"/>
                    </w:rPr>
                    <w:t>原辅材料</w:t>
                  </w:r>
                </w:p>
              </w:tc>
              <w:tc>
                <w:tcPr>
                  <w:tcW w:w="747" w:type="dxa"/>
                  <w:noWrap w:val="0"/>
                  <w:vAlign w:val="center"/>
                </w:tcPr>
                <w:p>
                  <w:pPr>
                    <w:tabs>
                      <w:tab w:val="left" w:pos="3990"/>
                    </w:tabs>
                    <w:snapToGrid w:val="0"/>
                    <w:jc w:val="center"/>
                    <w:rPr>
                      <w:rFonts w:hint="eastAsia"/>
                      <w:color w:val="auto"/>
                      <w:szCs w:val="21"/>
                    </w:rPr>
                  </w:pPr>
                  <w:r>
                    <w:rPr>
                      <w:rFonts w:hint="eastAsia"/>
                      <w:color w:val="auto"/>
                      <w:szCs w:val="21"/>
                    </w:rPr>
                    <w:t>年消用量</w:t>
                  </w:r>
                </w:p>
              </w:tc>
              <w:tc>
                <w:tcPr>
                  <w:tcW w:w="2688"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储存场所</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49"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1</w:t>
                  </w:r>
                </w:p>
              </w:tc>
              <w:tc>
                <w:tcPr>
                  <w:tcW w:w="1276"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一次性手套</w:t>
                  </w:r>
                </w:p>
              </w:tc>
              <w:tc>
                <w:tcPr>
                  <w:tcW w:w="74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若干</w:t>
                  </w:r>
                </w:p>
              </w:tc>
              <w:tc>
                <w:tcPr>
                  <w:tcW w:w="2688"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一次性用品室</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疆内购买，汽车运输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49"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2</w:t>
                  </w:r>
                </w:p>
              </w:tc>
              <w:tc>
                <w:tcPr>
                  <w:tcW w:w="1276"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一次性器械盒</w:t>
                  </w:r>
                </w:p>
              </w:tc>
              <w:tc>
                <w:tcPr>
                  <w:tcW w:w="74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若干</w:t>
                  </w:r>
                </w:p>
              </w:tc>
              <w:tc>
                <w:tcPr>
                  <w:tcW w:w="2688"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一次性用品室</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疆内购买，汽车运输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49"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3</w:t>
                  </w:r>
                </w:p>
              </w:tc>
              <w:tc>
                <w:tcPr>
                  <w:tcW w:w="1276"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一次性注射器</w:t>
                  </w:r>
                </w:p>
              </w:tc>
              <w:tc>
                <w:tcPr>
                  <w:tcW w:w="74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若干</w:t>
                  </w:r>
                </w:p>
              </w:tc>
              <w:tc>
                <w:tcPr>
                  <w:tcW w:w="2688"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一次性用品室</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疆内购买，汽车运输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49"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4</w:t>
                  </w:r>
                </w:p>
              </w:tc>
              <w:tc>
                <w:tcPr>
                  <w:tcW w:w="1276"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一次性输液器</w:t>
                  </w:r>
                </w:p>
              </w:tc>
              <w:tc>
                <w:tcPr>
                  <w:tcW w:w="74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若干</w:t>
                  </w:r>
                </w:p>
              </w:tc>
              <w:tc>
                <w:tcPr>
                  <w:tcW w:w="2688"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一次性用品室</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疆内购买，汽车运输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49"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5</w:t>
                  </w:r>
                </w:p>
              </w:tc>
              <w:tc>
                <w:tcPr>
                  <w:tcW w:w="1276"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纱布敷料等</w:t>
                  </w:r>
                </w:p>
              </w:tc>
              <w:tc>
                <w:tcPr>
                  <w:tcW w:w="747" w:type="dxa"/>
                  <w:noWrap w:val="0"/>
                  <w:vAlign w:val="center"/>
                </w:tcPr>
                <w:p>
                  <w:pPr>
                    <w:tabs>
                      <w:tab w:val="left" w:pos="3990"/>
                    </w:tabs>
                    <w:snapToGrid w:val="0"/>
                    <w:jc w:val="center"/>
                    <w:rPr>
                      <w:rFonts w:hint="eastAsia"/>
                      <w:color w:val="auto"/>
                      <w:szCs w:val="21"/>
                    </w:rPr>
                  </w:pPr>
                  <w:r>
                    <w:rPr>
                      <w:rFonts w:hint="eastAsia"/>
                      <w:color w:val="auto"/>
                      <w:szCs w:val="21"/>
                      <w:lang w:val="en-US" w:eastAsia="zh-CN"/>
                    </w:rPr>
                    <w:t>若干</w:t>
                  </w:r>
                </w:p>
              </w:tc>
              <w:tc>
                <w:tcPr>
                  <w:tcW w:w="2688"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敷料室</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疆内购买，汽车运输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49"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6</w:t>
                  </w:r>
                </w:p>
              </w:tc>
              <w:tc>
                <w:tcPr>
                  <w:tcW w:w="1276"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酒精（乙醇）</w:t>
                  </w:r>
                </w:p>
              </w:tc>
              <w:tc>
                <w:tcPr>
                  <w:tcW w:w="74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若干</w:t>
                  </w:r>
                </w:p>
              </w:tc>
              <w:tc>
                <w:tcPr>
                  <w:tcW w:w="2688" w:type="dxa"/>
                  <w:noWrap w:val="0"/>
                  <w:vAlign w:val="center"/>
                </w:tcPr>
                <w:p>
                  <w:pPr>
                    <w:tabs>
                      <w:tab w:val="left" w:pos="3990"/>
                    </w:tabs>
                    <w:snapToGrid w:val="0"/>
                    <w:jc w:val="center"/>
                    <w:rPr>
                      <w:rFonts w:hint="default"/>
                      <w:color w:val="auto"/>
                      <w:szCs w:val="21"/>
                      <w:lang w:val="en-US" w:eastAsia="zh-CN"/>
                    </w:rPr>
                  </w:pPr>
                  <w:r>
                    <w:rPr>
                      <w:rFonts w:hint="eastAsia"/>
                      <w:color w:val="auto"/>
                      <w:szCs w:val="21"/>
                      <w:lang w:val="en-US" w:eastAsia="zh-CN"/>
                    </w:rPr>
                    <w:t>科室储柜</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疆内购买，汽车运输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49"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7</w:t>
                  </w:r>
                </w:p>
              </w:tc>
              <w:tc>
                <w:tcPr>
                  <w:tcW w:w="1276"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84消毒片</w:t>
                  </w:r>
                </w:p>
              </w:tc>
              <w:tc>
                <w:tcPr>
                  <w:tcW w:w="74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若干</w:t>
                  </w:r>
                </w:p>
              </w:tc>
              <w:tc>
                <w:tcPr>
                  <w:tcW w:w="2688"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库房</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疆内购买，汽车运输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449" w:type="dxa"/>
                  <w:vMerge w:val="restart"/>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8</w:t>
                  </w:r>
                </w:p>
              </w:tc>
              <w:tc>
                <w:tcPr>
                  <w:tcW w:w="1276" w:type="dxa"/>
                  <w:vMerge w:val="restart"/>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碘伏</w:t>
                  </w:r>
                </w:p>
              </w:tc>
              <w:tc>
                <w:tcPr>
                  <w:tcW w:w="74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若干</w:t>
                  </w:r>
                </w:p>
              </w:tc>
              <w:tc>
                <w:tcPr>
                  <w:tcW w:w="2688"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消毒室</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500ml/瓶，疆内购买，汽车运输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49" w:type="dxa"/>
                  <w:vMerge w:val="continue"/>
                  <w:noWrap w:val="0"/>
                  <w:vAlign w:val="center"/>
                </w:tcPr>
                <w:p>
                  <w:pPr>
                    <w:tabs>
                      <w:tab w:val="left" w:pos="3990"/>
                    </w:tabs>
                    <w:snapToGrid w:val="0"/>
                    <w:jc w:val="center"/>
                    <w:rPr>
                      <w:rFonts w:hint="eastAsia"/>
                      <w:color w:val="auto"/>
                      <w:szCs w:val="21"/>
                    </w:rPr>
                  </w:pPr>
                </w:p>
              </w:tc>
              <w:tc>
                <w:tcPr>
                  <w:tcW w:w="1276" w:type="dxa"/>
                  <w:vMerge w:val="continue"/>
                  <w:noWrap w:val="0"/>
                  <w:vAlign w:val="center"/>
                </w:tcPr>
                <w:p>
                  <w:pPr>
                    <w:tabs>
                      <w:tab w:val="left" w:pos="3990"/>
                    </w:tabs>
                    <w:snapToGrid w:val="0"/>
                    <w:jc w:val="center"/>
                    <w:rPr>
                      <w:rFonts w:hint="eastAsia"/>
                      <w:color w:val="auto"/>
                      <w:szCs w:val="21"/>
                      <w:lang w:val="en-US" w:eastAsia="zh-CN"/>
                    </w:rPr>
                  </w:pPr>
                </w:p>
              </w:tc>
              <w:tc>
                <w:tcPr>
                  <w:tcW w:w="74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若干</w:t>
                  </w:r>
                </w:p>
              </w:tc>
              <w:tc>
                <w:tcPr>
                  <w:tcW w:w="2688"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消毒室</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60ml/瓶，疆内购买，汽车运输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49"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9</w:t>
                  </w:r>
                </w:p>
              </w:tc>
              <w:tc>
                <w:tcPr>
                  <w:tcW w:w="1276"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无菌医用手套</w:t>
                  </w:r>
                </w:p>
              </w:tc>
              <w:tc>
                <w:tcPr>
                  <w:tcW w:w="74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若干</w:t>
                  </w:r>
                </w:p>
              </w:tc>
              <w:tc>
                <w:tcPr>
                  <w:tcW w:w="2688"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一次性用品室</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疆内购买，汽车运输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449"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10</w:t>
                  </w:r>
                </w:p>
              </w:tc>
              <w:tc>
                <w:tcPr>
                  <w:tcW w:w="1276"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次氯酸钠</w:t>
                  </w:r>
                </w:p>
              </w:tc>
              <w:tc>
                <w:tcPr>
                  <w:tcW w:w="74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2.5t/a</w:t>
                  </w:r>
                </w:p>
              </w:tc>
              <w:tc>
                <w:tcPr>
                  <w:tcW w:w="2688"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库房</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浓度3%，疆内购买，汽车运输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449" w:type="dxa"/>
                  <w:noWrap w:val="0"/>
                  <w:vAlign w:val="center"/>
                </w:tcPr>
                <w:p>
                  <w:pPr>
                    <w:tabs>
                      <w:tab w:val="left" w:pos="3990"/>
                    </w:tabs>
                    <w:snapToGrid w:val="0"/>
                    <w:jc w:val="center"/>
                    <w:rPr>
                      <w:rFonts w:hint="default"/>
                      <w:color w:val="auto"/>
                      <w:szCs w:val="21"/>
                      <w:lang w:val="en-US" w:eastAsia="zh-CN"/>
                    </w:rPr>
                  </w:pPr>
                  <w:r>
                    <w:rPr>
                      <w:rFonts w:hint="eastAsia"/>
                      <w:color w:val="auto"/>
                      <w:szCs w:val="21"/>
                      <w:lang w:val="en-US" w:eastAsia="zh-CN"/>
                    </w:rPr>
                    <w:t>11</w:t>
                  </w:r>
                </w:p>
              </w:tc>
              <w:tc>
                <w:tcPr>
                  <w:tcW w:w="1276" w:type="dxa"/>
                  <w:noWrap w:val="0"/>
                  <w:vAlign w:val="center"/>
                </w:tcPr>
                <w:p>
                  <w:pPr>
                    <w:tabs>
                      <w:tab w:val="left" w:pos="3990"/>
                    </w:tabs>
                    <w:snapToGrid w:val="0"/>
                    <w:jc w:val="center"/>
                    <w:rPr>
                      <w:rFonts w:hint="default"/>
                      <w:color w:val="auto"/>
                      <w:szCs w:val="21"/>
                      <w:lang w:val="en-US" w:eastAsia="zh-CN"/>
                    </w:rPr>
                  </w:pPr>
                  <w:r>
                    <w:rPr>
                      <w:rFonts w:hint="eastAsia"/>
                      <w:color w:val="auto"/>
                      <w:szCs w:val="21"/>
                      <w:lang w:val="en-US" w:eastAsia="zh-CN"/>
                    </w:rPr>
                    <w:t>柴油</w:t>
                  </w:r>
                </w:p>
              </w:tc>
              <w:tc>
                <w:tcPr>
                  <w:tcW w:w="74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4.8t/a</w:t>
                  </w:r>
                </w:p>
              </w:tc>
              <w:tc>
                <w:tcPr>
                  <w:tcW w:w="2688"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由200L标准油桶储存，设置专门的储存场所，地面防渗处理。最大储存量400L。</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疆内购买、汽车运输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449"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12</w:t>
                  </w:r>
                </w:p>
              </w:tc>
              <w:tc>
                <w:tcPr>
                  <w:tcW w:w="1276"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5%葡萄糖注射液</w:t>
                  </w:r>
                </w:p>
              </w:tc>
              <w:tc>
                <w:tcPr>
                  <w:tcW w:w="74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若干</w:t>
                  </w:r>
                </w:p>
              </w:tc>
              <w:tc>
                <w:tcPr>
                  <w:tcW w:w="2688"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药剂科</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疆内购买，汽车运输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49"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13</w:t>
                  </w:r>
                </w:p>
              </w:tc>
              <w:tc>
                <w:tcPr>
                  <w:tcW w:w="1276"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双氧水消毒剂</w:t>
                  </w:r>
                </w:p>
              </w:tc>
              <w:tc>
                <w:tcPr>
                  <w:tcW w:w="74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若干</w:t>
                  </w:r>
                </w:p>
              </w:tc>
              <w:tc>
                <w:tcPr>
                  <w:tcW w:w="2688"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消毒室</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疆内购买，汽车运输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49"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14</w:t>
                  </w:r>
                </w:p>
              </w:tc>
              <w:tc>
                <w:tcPr>
                  <w:tcW w:w="1276"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血液分析稀释液</w:t>
                  </w:r>
                </w:p>
              </w:tc>
              <w:tc>
                <w:tcPr>
                  <w:tcW w:w="74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若干</w:t>
                  </w:r>
                </w:p>
              </w:tc>
              <w:tc>
                <w:tcPr>
                  <w:tcW w:w="2688"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药剂科</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疆内购买，汽车运输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49"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15</w:t>
                  </w:r>
                </w:p>
              </w:tc>
              <w:tc>
                <w:tcPr>
                  <w:tcW w:w="1276"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液氧</w:t>
                  </w:r>
                </w:p>
              </w:tc>
              <w:tc>
                <w:tcPr>
                  <w:tcW w:w="74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7000m</w:t>
                  </w:r>
                  <w:r>
                    <w:rPr>
                      <w:rFonts w:hint="eastAsia"/>
                      <w:color w:val="auto"/>
                      <w:szCs w:val="21"/>
                      <w:vertAlign w:val="superscript"/>
                      <w:lang w:val="en-US" w:eastAsia="zh-CN"/>
                    </w:rPr>
                    <w:t>3</w:t>
                  </w:r>
                  <w:r>
                    <w:rPr>
                      <w:rFonts w:hint="eastAsia"/>
                      <w:color w:val="auto"/>
                      <w:szCs w:val="21"/>
                      <w:lang w:val="en-US" w:eastAsia="zh-CN"/>
                    </w:rPr>
                    <w:t>/a</w:t>
                  </w:r>
                </w:p>
              </w:tc>
              <w:tc>
                <w:tcPr>
                  <w:tcW w:w="2688" w:type="dxa"/>
                  <w:noWrap w:val="0"/>
                  <w:vAlign w:val="center"/>
                </w:tcPr>
                <w:p>
                  <w:pPr>
                    <w:tabs>
                      <w:tab w:val="left" w:pos="3990"/>
                    </w:tabs>
                    <w:snapToGrid w:val="0"/>
                    <w:jc w:val="center"/>
                    <w:rPr>
                      <w:rFonts w:hint="default"/>
                      <w:color w:val="auto"/>
                      <w:szCs w:val="21"/>
                      <w:lang w:val="en-US" w:eastAsia="zh-CN"/>
                    </w:rPr>
                  </w:pPr>
                  <w:r>
                    <w:rPr>
                      <w:rFonts w:hint="eastAsia"/>
                      <w:color w:val="auto"/>
                      <w:szCs w:val="21"/>
                      <w:lang w:val="en-US" w:eastAsia="zh-CN"/>
                    </w:rPr>
                    <w:t>液氧储罐泵房</w:t>
                  </w:r>
                </w:p>
              </w:tc>
              <w:tc>
                <w:tcPr>
                  <w:tcW w:w="2837" w:type="dxa"/>
                  <w:noWrap w:val="0"/>
                  <w:vAlign w:val="center"/>
                </w:tcPr>
                <w:p>
                  <w:pPr>
                    <w:tabs>
                      <w:tab w:val="left" w:pos="3990"/>
                    </w:tabs>
                    <w:snapToGrid w:val="0"/>
                    <w:jc w:val="center"/>
                    <w:rPr>
                      <w:rFonts w:hint="eastAsia"/>
                      <w:color w:val="auto"/>
                      <w:szCs w:val="21"/>
                      <w:lang w:val="en-US" w:eastAsia="zh-CN"/>
                    </w:rPr>
                  </w:pPr>
                  <w:r>
                    <w:rPr>
                      <w:rFonts w:hint="eastAsia"/>
                      <w:color w:val="auto"/>
                      <w:szCs w:val="21"/>
                      <w:lang w:val="en-US" w:eastAsia="zh-CN"/>
                    </w:rPr>
                    <w:t>/</w:t>
                  </w:r>
                </w:p>
              </w:tc>
            </w:tr>
          </w:tbl>
          <w:p>
            <w:pPr>
              <w:numPr>
                <w:ilvl w:val="0"/>
                <w:numId w:val="0"/>
              </w:numPr>
              <w:adjustRightInd w:val="0"/>
              <w:snapToGrid w:val="0"/>
              <w:spacing w:line="360" w:lineRule="auto"/>
              <w:rPr>
                <w:rFonts w:hint="default" w:ascii="Times New Roman" w:hAnsi="Times New Roman" w:eastAsia="宋体" w:cs="Times New Roman"/>
                <w:color w:val="auto"/>
              </w:rPr>
            </w:pPr>
            <w:r>
              <w:rPr>
                <w:rFonts w:hint="default" w:ascii="Times New Roman" w:hAnsi="Times New Roman" w:eastAsia="宋体" w:cs="Times New Roman"/>
                <w:b/>
                <w:bCs/>
                <w:color w:val="auto"/>
                <w:spacing w:val="10"/>
                <w:sz w:val="24"/>
                <w:lang w:val="en-US" w:eastAsia="zh-CN"/>
              </w:rPr>
              <w:t>2、</w:t>
            </w:r>
            <w:r>
              <w:rPr>
                <w:rFonts w:hint="default" w:ascii="Times New Roman" w:hAnsi="Times New Roman" w:eastAsia="宋体" w:cs="Times New Roman"/>
                <w:b/>
                <w:bCs/>
                <w:color w:val="auto"/>
                <w:spacing w:val="10"/>
                <w:sz w:val="24"/>
              </w:rPr>
              <w:t>主要服务范围</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4"/>
                <w:lang w:val="en-US" w:eastAsia="zh-CN"/>
              </w:rPr>
              <w:t>新疆兵团奎屯中医院中医特色重点医院为一所集中医医疗、保健、康复、教学、科研为一体中的中医特色医院，设置床位282张，主要为胡杨河市及周边居民提供综合诊疗服务。</w:t>
            </w:r>
          </w:p>
          <w:p>
            <w:pPr>
              <w:adjustRightInd w:val="0"/>
              <w:snapToGrid w:val="0"/>
              <w:spacing w:line="360" w:lineRule="auto"/>
              <w:rPr>
                <w:rFonts w:hint="eastAsia" w:ascii="Times New Roman" w:hAnsi="Times New Roman" w:eastAsia="宋体" w:cs="Times New Roman"/>
                <w:b/>
                <w:bCs/>
                <w:color w:val="auto"/>
                <w:spacing w:val="10"/>
                <w:sz w:val="24"/>
                <w:lang w:eastAsia="zh-CN"/>
              </w:rPr>
            </w:pPr>
            <w:r>
              <w:rPr>
                <w:rFonts w:hint="default" w:ascii="Times New Roman" w:hAnsi="Times New Roman" w:eastAsia="宋体" w:cs="Times New Roman"/>
                <w:b/>
                <w:bCs/>
                <w:color w:val="auto"/>
                <w:spacing w:val="10"/>
                <w:sz w:val="24"/>
              </w:rPr>
              <w:t>3、劳动定员及工作制度</w:t>
            </w:r>
          </w:p>
          <w:p>
            <w:pPr>
              <w:adjustRightInd w:val="0"/>
              <w:snapToGrid w:val="0"/>
              <w:spacing w:line="360" w:lineRule="auto"/>
              <w:ind w:firstLine="520" w:firstLineChars="200"/>
              <w:rPr>
                <w:rFonts w:hint="default" w:ascii="Times New Roman" w:hAnsi="Times New Roman" w:eastAsia="宋体" w:cs="Times New Roman"/>
                <w:color w:val="auto"/>
                <w:spacing w:val="10"/>
                <w:sz w:val="24"/>
              </w:rPr>
            </w:pPr>
            <w:r>
              <w:rPr>
                <w:rFonts w:hint="default" w:ascii="Times New Roman" w:hAnsi="Times New Roman" w:eastAsia="宋体" w:cs="Times New Roman"/>
                <w:color w:val="auto"/>
                <w:spacing w:val="10"/>
                <w:sz w:val="24"/>
              </w:rPr>
              <w:t>医院劳动定员</w:t>
            </w:r>
            <w:r>
              <w:rPr>
                <w:rFonts w:hint="default" w:ascii="Times New Roman" w:hAnsi="Times New Roman" w:eastAsia="宋体" w:cs="Times New Roman"/>
                <w:color w:val="auto"/>
                <w:spacing w:val="10"/>
                <w:sz w:val="24"/>
                <w:lang w:val="en-US" w:eastAsia="zh-CN"/>
              </w:rPr>
              <w:t>152</w:t>
            </w:r>
            <w:r>
              <w:rPr>
                <w:rFonts w:hint="default" w:ascii="Times New Roman" w:hAnsi="Times New Roman" w:eastAsia="宋体" w:cs="Times New Roman"/>
                <w:color w:val="auto"/>
                <w:spacing w:val="10"/>
                <w:sz w:val="24"/>
              </w:rPr>
              <w:t>人，全年工作日为</w:t>
            </w:r>
            <w:r>
              <w:rPr>
                <w:rFonts w:hint="eastAsia" w:ascii="Times New Roman" w:hAnsi="Times New Roman" w:eastAsia="宋体" w:cs="Times New Roman"/>
                <w:color w:val="auto"/>
                <w:spacing w:val="10"/>
                <w:sz w:val="24"/>
                <w:lang w:val="en-US" w:eastAsia="zh-CN"/>
              </w:rPr>
              <w:t>365</w:t>
            </w:r>
            <w:r>
              <w:rPr>
                <w:rFonts w:hint="default" w:ascii="Times New Roman" w:hAnsi="Times New Roman" w:eastAsia="宋体" w:cs="Times New Roman"/>
                <w:color w:val="auto"/>
                <w:spacing w:val="10"/>
                <w:sz w:val="24"/>
              </w:rPr>
              <w:t>天。</w:t>
            </w:r>
          </w:p>
          <w:p>
            <w:pPr>
              <w:adjustRightInd w:val="0"/>
              <w:snapToGrid w:val="0"/>
              <w:spacing w:line="360" w:lineRule="auto"/>
              <w:rPr>
                <w:rFonts w:hint="eastAsia" w:ascii="Times New Roman" w:hAnsi="Times New Roman" w:eastAsia="宋体" w:cs="Times New Roman"/>
                <w:b/>
                <w:bCs/>
                <w:color w:val="auto"/>
                <w:spacing w:val="10"/>
                <w:sz w:val="24"/>
                <w:lang w:eastAsia="zh-CN"/>
              </w:rPr>
            </w:pPr>
            <w:r>
              <w:rPr>
                <w:rFonts w:hint="default" w:ascii="Times New Roman" w:hAnsi="Times New Roman" w:eastAsia="宋体" w:cs="Times New Roman"/>
                <w:b/>
                <w:bCs/>
                <w:color w:val="auto"/>
                <w:spacing w:val="10"/>
                <w:sz w:val="24"/>
              </w:rPr>
              <w:t>4、公用工程</w:t>
            </w:r>
          </w:p>
          <w:p>
            <w:pPr>
              <w:spacing w:line="440" w:lineRule="exact"/>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4.1供水</w:t>
            </w:r>
          </w:p>
          <w:p>
            <w:pPr>
              <w:adjustRightInd w:val="0"/>
              <w:snapToGrid w:val="0"/>
              <w:spacing w:line="360" w:lineRule="auto"/>
              <w:ind w:firstLine="520" w:firstLineChars="200"/>
              <w:rPr>
                <w:rFonts w:hint="default" w:ascii="Times New Roman" w:hAnsi="Times New Roman" w:eastAsia="宋体" w:cs="Times New Roman"/>
                <w:color w:val="auto"/>
                <w:spacing w:val="10"/>
                <w:sz w:val="24"/>
              </w:rPr>
            </w:pPr>
            <w:r>
              <w:rPr>
                <w:rFonts w:hint="default" w:ascii="Times New Roman" w:hAnsi="Times New Roman" w:eastAsia="宋体" w:cs="Times New Roman"/>
                <w:color w:val="auto"/>
                <w:spacing w:val="10"/>
                <w:sz w:val="24"/>
              </w:rPr>
              <w:t>（1）给水</w:t>
            </w:r>
          </w:p>
          <w:p>
            <w:pPr>
              <w:adjustRightInd w:val="0"/>
              <w:snapToGrid w:val="0"/>
              <w:spacing w:line="360" w:lineRule="auto"/>
              <w:ind w:firstLine="520" w:firstLineChars="200"/>
              <w:rPr>
                <w:rFonts w:hint="default" w:ascii="Times New Roman" w:hAnsi="Times New Roman" w:eastAsia="宋体" w:cs="Times New Roman"/>
                <w:color w:val="auto"/>
                <w:spacing w:val="10"/>
                <w:sz w:val="24"/>
              </w:rPr>
            </w:pPr>
            <w:r>
              <w:rPr>
                <w:rFonts w:hint="default" w:ascii="Times New Roman" w:hAnsi="Times New Roman" w:eastAsia="宋体" w:cs="Times New Roman"/>
                <w:color w:val="auto"/>
                <w:spacing w:val="10"/>
                <w:sz w:val="24"/>
              </w:rPr>
              <w:t>项目用水主要为医院职工、住院病人、门诊及住院诊疗产生的用水和绿化用水等。医院周边已铺设供水管网，用水来自DN</w:t>
            </w:r>
            <w:r>
              <w:rPr>
                <w:rFonts w:hint="default" w:ascii="Times New Roman" w:hAnsi="Times New Roman" w:eastAsia="宋体" w:cs="Times New Roman"/>
                <w:color w:val="auto"/>
                <w:spacing w:val="10"/>
                <w:sz w:val="24"/>
                <w:lang w:val="en-US" w:eastAsia="zh-CN"/>
              </w:rPr>
              <w:t>2</w:t>
            </w:r>
            <w:r>
              <w:rPr>
                <w:rFonts w:hint="default" w:ascii="Times New Roman" w:hAnsi="Times New Roman" w:eastAsia="宋体" w:cs="Times New Roman"/>
                <w:color w:val="auto"/>
                <w:spacing w:val="10"/>
                <w:sz w:val="24"/>
              </w:rPr>
              <w:t>00市政公用自来水输水主管网，本项目</w:t>
            </w:r>
            <w:r>
              <w:rPr>
                <w:rFonts w:hint="default" w:ascii="Times New Roman" w:hAnsi="Times New Roman" w:eastAsia="宋体" w:cs="Times New Roman"/>
                <w:color w:val="auto"/>
                <w:spacing w:val="10"/>
                <w:sz w:val="24"/>
                <w:lang w:eastAsia="zh-CN"/>
              </w:rPr>
              <w:t>从</w:t>
            </w:r>
            <w:r>
              <w:rPr>
                <w:rFonts w:hint="default" w:ascii="Times New Roman" w:hAnsi="Times New Roman" w:eastAsia="宋体" w:cs="Times New Roman"/>
                <w:color w:val="auto"/>
                <w:spacing w:val="10"/>
                <w:sz w:val="24"/>
              </w:rPr>
              <w:t>市政</w:t>
            </w:r>
            <w:r>
              <w:rPr>
                <w:rFonts w:hint="default" w:ascii="Times New Roman" w:hAnsi="Times New Roman" w:eastAsia="宋体" w:cs="Times New Roman"/>
                <w:color w:val="auto"/>
                <w:spacing w:val="10"/>
                <w:sz w:val="24"/>
                <w:lang w:eastAsia="zh-CN"/>
              </w:rPr>
              <w:t>给水管引出一根</w:t>
            </w:r>
            <w:r>
              <w:rPr>
                <w:rFonts w:hint="default" w:ascii="Times New Roman" w:hAnsi="Times New Roman" w:eastAsia="宋体" w:cs="Times New Roman"/>
                <w:color w:val="auto"/>
                <w:spacing w:val="10"/>
                <w:sz w:val="24"/>
                <w:lang w:val="en-US" w:eastAsia="zh-CN"/>
              </w:rPr>
              <w:t>De160给水管距离本项目20m</w:t>
            </w:r>
            <w:r>
              <w:rPr>
                <w:rFonts w:hint="default" w:ascii="Times New Roman" w:hAnsi="Times New Roman" w:eastAsia="宋体" w:cs="Times New Roman"/>
                <w:color w:val="auto"/>
                <w:spacing w:val="10"/>
                <w:sz w:val="24"/>
              </w:rPr>
              <w:t>。可满足项目区用水需求。</w:t>
            </w:r>
          </w:p>
          <w:p>
            <w:pPr>
              <w:adjustRightInd w:val="0"/>
              <w:snapToGrid w:val="0"/>
              <w:spacing w:line="360" w:lineRule="auto"/>
              <w:ind w:firstLine="520" w:firstLineChars="200"/>
              <w:rPr>
                <w:rFonts w:hint="eastAsia" w:ascii="Times New Roman" w:hAnsi="Times New Roman" w:eastAsia="宋体" w:cs="Times New Roman"/>
                <w:color w:val="auto"/>
                <w:spacing w:val="10"/>
                <w:sz w:val="24"/>
              </w:rPr>
            </w:pPr>
            <w:r>
              <w:rPr>
                <w:rFonts w:hint="eastAsia" w:ascii="Times New Roman" w:hAnsi="Times New Roman" w:eastAsia="宋体" w:cs="Times New Roman"/>
                <w:color w:val="auto"/>
                <w:spacing w:val="10"/>
                <w:sz w:val="24"/>
              </w:rPr>
              <w:t>项目使用成品中药饮片为原料，不涉及中药材清洗，无药材清洗用水。根据建设单位提供资料，中药代煎采用人工煎药的方式，每煎一副药需要用药量10倍的水量，则中药代煎用水1.09m</w:t>
            </w:r>
            <w:r>
              <w:rPr>
                <w:rFonts w:hint="eastAsia" w:ascii="Times New Roman" w:hAnsi="Times New Roman" w:eastAsia="宋体" w:cs="Times New Roman"/>
                <w:color w:val="auto"/>
                <w:spacing w:val="10"/>
                <w:sz w:val="24"/>
                <w:vertAlign w:val="superscript"/>
              </w:rPr>
              <w:t>3</w:t>
            </w:r>
            <w:r>
              <w:rPr>
                <w:rFonts w:hint="eastAsia" w:ascii="Times New Roman" w:hAnsi="Times New Roman" w:eastAsia="宋体" w:cs="Times New Roman"/>
                <w:color w:val="auto"/>
                <w:spacing w:val="10"/>
                <w:sz w:val="24"/>
              </w:rPr>
              <w:t>/d（400m</w:t>
            </w:r>
            <w:r>
              <w:rPr>
                <w:rFonts w:hint="eastAsia" w:ascii="Times New Roman" w:hAnsi="Times New Roman" w:eastAsia="宋体" w:cs="Times New Roman"/>
                <w:color w:val="auto"/>
                <w:spacing w:val="10"/>
                <w:sz w:val="24"/>
                <w:vertAlign w:val="superscript"/>
              </w:rPr>
              <w:t>3</w:t>
            </w:r>
            <w:r>
              <w:rPr>
                <w:rFonts w:hint="eastAsia" w:ascii="Times New Roman" w:hAnsi="Times New Roman" w:eastAsia="宋体" w:cs="Times New Roman"/>
                <w:color w:val="auto"/>
                <w:spacing w:val="10"/>
                <w:sz w:val="24"/>
              </w:rPr>
              <w:t>/a）</w:t>
            </w:r>
            <w:r>
              <w:rPr>
                <w:rFonts w:hint="eastAsia" w:ascii="Times New Roman" w:hAnsi="Times New Roman" w:eastAsia="宋体" w:cs="Times New Roman"/>
                <w:color w:val="auto"/>
                <w:spacing w:val="10"/>
                <w:sz w:val="24"/>
                <w:lang w:eastAsia="zh-CN"/>
              </w:rPr>
              <w:t>。</w:t>
            </w:r>
            <w:r>
              <w:rPr>
                <w:rFonts w:hint="eastAsia" w:ascii="Times New Roman" w:hAnsi="Times New Roman" w:eastAsia="宋体" w:cs="Times New Roman"/>
                <w:color w:val="auto"/>
                <w:spacing w:val="10"/>
                <w:sz w:val="24"/>
              </w:rPr>
              <w:t>中药散剂生产艺中不使用水。</w:t>
            </w:r>
          </w:p>
          <w:p>
            <w:pPr>
              <w:adjustRightInd w:val="0"/>
              <w:snapToGrid w:val="0"/>
              <w:spacing w:line="360" w:lineRule="auto"/>
              <w:ind w:firstLine="520" w:firstLineChars="200"/>
              <w:rPr>
                <w:rFonts w:hint="default" w:ascii="Times New Roman" w:hAnsi="Times New Roman" w:eastAsia="宋体" w:cs="Times New Roman"/>
                <w:color w:val="0070C0"/>
                <w:spacing w:val="10"/>
                <w:sz w:val="24"/>
              </w:rPr>
            </w:pPr>
            <w:r>
              <w:rPr>
                <w:rFonts w:hint="eastAsia" w:ascii="Times New Roman" w:hAnsi="Times New Roman" w:eastAsia="宋体" w:cs="Times New Roman"/>
                <w:color w:val="auto"/>
                <w:spacing w:val="10"/>
                <w:sz w:val="24"/>
              </w:rPr>
              <w:t>中药制剂中心采用人工煎药完成处方700张/天。根据清洗要求，每张处方需要清洗煎药锅及封包机用水4</w:t>
            </w:r>
            <w:r>
              <w:rPr>
                <w:rFonts w:hint="eastAsia" w:ascii="Times New Roman" w:hAnsi="Times New Roman" w:eastAsia="宋体" w:cs="Times New Roman"/>
                <w:color w:val="auto"/>
                <w:spacing w:val="10"/>
                <w:sz w:val="24"/>
                <w:lang w:val="en-US" w:eastAsia="zh-CN"/>
              </w:rPr>
              <w:t>.4</w:t>
            </w:r>
            <w:r>
              <w:rPr>
                <w:rFonts w:hint="eastAsia" w:ascii="Times New Roman" w:hAnsi="Times New Roman" w:eastAsia="宋体" w:cs="Times New Roman"/>
                <w:color w:val="auto"/>
                <w:spacing w:val="10"/>
                <w:sz w:val="24"/>
              </w:rPr>
              <w:t>L，即清洗用水3</w:t>
            </w:r>
            <w:r>
              <w:rPr>
                <w:rFonts w:hint="eastAsia" w:ascii="Times New Roman" w:hAnsi="Times New Roman" w:eastAsia="宋体" w:cs="Times New Roman"/>
                <w:color w:val="auto"/>
                <w:spacing w:val="10"/>
                <w:sz w:val="24"/>
                <w:lang w:val="en-US" w:eastAsia="zh-CN"/>
              </w:rPr>
              <w:t>.08</w:t>
            </w:r>
            <w:r>
              <w:rPr>
                <w:rFonts w:hint="eastAsia" w:ascii="Times New Roman" w:hAnsi="Times New Roman" w:eastAsia="宋体" w:cs="Times New Roman"/>
                <w:color w:val="auto"/>
                <w:spacing w:val="10"/>
                <w:sz w:val="24"/>
              </w:rPr>
              <w:t>m</w:t>
            </w:r>
            <w:r>
              <w:rPr>
                <w:rFonts w:hint="eastAsia" w:ascii="Times New Roman" w:hAnsi="Times New Roman" w:eastAsia="宋体" w:cs="Times New Roman"/>
                <w:color w:val="auto"/>
                <w:spacing w:val="10"/>
                <w:sz w:val="24"/>
                <w:vertAlign w:val="superscript"/>
              </w:rPr>
              <w:t>3</w:t>
            </w:r>
            <w:r>
              <w:rPr>
                <w:rFonts w:hint="eastAsia" w:ascii="Times New Roman" w:hAnsi="Times New Roman" w:eastAsia="宋体" w:cs="Times New Roman"/>
                <w:color w:val="auto"/>
                <w:spacing w:val="10"/>
                <w:sz w:val="24"/>
              </w:rPr>
              <w:t>/d（1</w:t>
            </w:r>
            <w:r>
              <w:rPr>
                <w:rFonts w:hint="eastAsia" w:ascii="Times New Roman" w:hAnsi="Times New Roman" w:eastAsia="宋体" w:cs="Times New Roman"/>
                <w:color w:val="auto"/>
                <w:spacing w:val="10"/>
                <w:sz w:val="24"/>
                <w:lang w:val="en-US" w:eastAsia="zh-CN"/>
              </w:rPr>
              <w:t>124.2</w:t>
            </w:r>
            <w:r>
              <w:rPr>
                <w:rFonts w:hint="eastAsia" w:ascii="Times New Roman" w:hAnsi="Times New Roman" w:eastAsia="宋体" w:cs="Times New Roman"/>
                <w:color w:val="auto"/>
                <w:spacing w:val="10"/>
                <w:sz w:val="24"/>
              </w:rPr>
              <w:t>m</w:t>
            </w:r>
            <w:r>
              <w:rPr>
                <w:rFonts w:hint="eastAsia" w:ascii="Times New Roman" w:hAnsi="Times New Roman" w:eastAsia="宋体" w:cs="Times New Roman"/>
                <w:color w:val="auto"/>
                <w:spacing w:val="10"/>
                <w:sz w:val="24"/>
                <w:vertAlign w:val="superscript"/>
              </w:rPr>
              <w:t>3</w:t>
            </w:r>
            <w:r>
              <w:rPr>
                <w:rFonts w:hint="eastAsia" w:ascii="Times New Roman" w:hAnsi="Times New Roman" w:eastAsia="宋体" w:cs="Times New Roman"/>
                <w:color w:val="auto"/>
                <w:spacing w:val="10"/>
                <w:sz w:val="24"/>
              </w:rPr>
              <w:t>/a）</w:t>
            </w:r>
            <w:r>
              <w:rPr>
                <w:rFonts w:hint="eastAsia" w:ascii="Times New Roman" w:hAnsi="Times New Roman" w:eastAsia="宋体" w:cs="Times New Roman"/>
                <w:color w:val="0070C0"/>
                <w:spacing w:val="10"/>
                <w:sz w:val="24"/>
              </w:rPr>
              <w:t>。</w:t>
            </w:r>
          </w:p>
          <w:p>
            <w:pPr>
              <w:pStyle w:val="131"/>
              <w:ind w:firstLine="480"/>
              <w:rPr>
                <w:rFonts w:hint="default" w:ascii="Times New Roman" w:hAnsi="Times New Roman" w:eastAsia="宋体" w:cs="Times New Roman"/>
                <w:color w:val="auto"/>
                <w:lang w:val="en-US" w:eastAsia="zh-CN"/>
              </w:rPr>
            </w:pPr>
            <w:bookmarkStart w:id="2" w:name="_Hlk71893849"/>
            <w:r>
              <w:rPr>
                <w:rFonts w:hint="default" w:ascii="Times New Roman" w:hAnsi="Times New Roman" w:eastAsia="宋体" w:cs="Times New Roman"/>
                <w:color w:val="auto"/>
              </w:rPr>
              <w:t>根据区域实际情况，绿化</w:t>
            </w:r>
            <w:r>
              <w:rPr>
                <w:rFonts w:hint="default" w:ascii="Times New Roman" w:hAnsi="Times New Roman" w:eastAsia="宋体" w:cs="Times New Roman"/>
                <w:color w:val="auto"/>
                <w:lang w:eastAsia="zh-CN"/>
              </w:rPr>
              <w:t>用水</w:t>
            </w:r>
            <w:r>
              <w:rPr>
                <w:rFonts w:hint="default" w:ascii="Times New Roman" w:hAnsi="Times New Roman" w:eastAsia="宋体" w:cs="Times New Roman"/>
                <w:color w:val="auto"/>
              </w:rPr>
              <w:t>按照</w:t>
            </w:r>
            <w:r>
              <w:rPr>
                <w:rFonts w:hint="default" w:ascii="Times New Roman" w:hAnsi="Times New Roman" w:eastAsia="宋体" w:cs="Times New Roman"/>
                <w:color w:val="auto"/>
                <w:lang w:val="en-US" w:eastAsia="zh-CN"/>
              </w:rPr>
              <w:t>10L</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vertAlign w:val="baseline"/>
                <w:lang w:val="en-US" w:eastAsia="zh-CN"/>
              </w:rPr>
              <w:t>.d</w:t>
            </w:r>
            <w:r>
              <w:rPr>
                <w:rFonts w:hint="default" w:ascii="Times New Roman" w:hAnsi="Times New Roman" w:eastAsia="宋体" w:cs="Times New Roman"/>
                <w:color w:val="auto"/>
              </w:rPr>
              <w:t>计</w:t>
            </w:r>
            <w:r>
              <w:rPr>
                <w:rFonts w:hint="default" w:ascii="Times New Roman" w:hAnsi="Times New Roman" w:eastAsia="宋体" w:cs="Times New Roman"/>
                <w:color w:val="auto"/>
                <w:lang w:eastAsia="zh-CN"/>
              </w:rPr>
              <w:t>算，年浇灌天数为</w:t>
            </w:r>
            <w:r>
              <w:rPr>
                <w:rFonts w:hint="default" w:ascii="Times New Roman" w:hAnsi="Times New Roman" w:eastAsia="宋体" w:cs="Times New Roman"/>
                <w:color w:val="auto"/>
                <w:lang w:val="en-US" w:eastAsia="zh-CN"/>
              </w:rPr>
              <w:t>90天。</w:t>
            </w:r>
          </w:p>
          <w:p>
            <w:pPr>
              <w:pStyle w:val="131"/>
              <w:ind w:firstLine="480"/>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rPr>
              <w:t>根据《新疆维吾尔自治区生活用水定额》核算项目用水量，核算过程考虑最大水量。</w:t>
            </w:r>
          </w:p>
          <w:p>
            <w:pPr>
              <w:adjustRightInd w:val="0"/>
              <w:snapToGrid w:val="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表2-</w:t>
            </w:r>
            <w:r>
              <w:rPr>
                <w:rFonts w:hint="eastAsia" w:cs="Times New Roman"/>
                <w:b/>
                <w:color w:val="auto"/>
                <w:sz w:val="24"/>
                <w:szCs w:val="24"/>
                <w:highlight w:val="none"/>
                <w:lang w:val="en-US" w:eastAsia="zh-CN"/>
              </w:rPr>
              <w:t>5</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项目用水量一览表</w:t>
            </w:r>
          </w:p>
          <w:tbl>
            <w:tblPr>
              <w:tblStyle w:val="27"/>
              <w:tblW w:w="0" w:type="auto"/>
              <w:tblInd w:w="1" w:type="dxa"/>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Layout w:type="fixed"/>
              <w:tblCellMar>
                <w:top w:w="0" w:type="dxa"/>
                <w:left w:w="108" w:type="dxa"/>
                <w:bottom w:w="0" w:type="dxa"/>
                <w:right w:w="108" w:type="dxa"/>
              </w:tblCellMar>
            </w:tblPr>
            <w:tblGrid>
              <w:gridCol w:w="585"/>
              <w:gridCol w:w="442"/>
              <w:gridCol w:w="1290"/>
              <w:gridCol w:w="1420"/>
              <w:gridCol w:w="2044"/>
              <w:gridCol w:w="1529"/>
              <w:gridCol w:w="152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454" w:hRule="atLeast"/>
              </w:trPr>
              <w:tc>
                <w:tcPr>
                  <w:tcW w:w="585" w:type="dxa"/>
                  <w:tcBorders>
                    <w:top w:val="single" w:color="auto" w:sz="2" w:space="0"/>
                    <w:left w:val="single" w:color="auto" w:sz="2"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序号</w:t>
                  </w:r>
                </w:p>
              </w:tc>
              <w:tc>
                <w:tcPr>
                  <w:tcW w:w="1732" w:type="dxa"/>
                  <w:gridSpan w:val="2"/>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用水类别</w:t>
                  </w:r>
                </w:p>
              </w:tc>
              <w:tc>
                <w:tcPr>
                  <w:tcW w:w="142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用水定额</w:t>
                  </w:r>
                </w:p>
              </w:tc>
              <w:tc>
                <w:tcPr>
                  <w:tcW w:w="2044"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用水规模</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用水量（m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/a）</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用水量（m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454" w:hRule="atLeast"/>
              </w:trPr>
              <w:tc>
                <w:tcPr>
                  <w:tcW w:w="585" w:type="dxa"/>
                  <w:vMerge w:val="restart"/>
                  <w:tcBorders>
                    <w:top w:val="single" w:color="auto" w:sz="2" w:space="0"/>
                    <w:left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442" w:type="dxa"/>
                  <w:vMerge w:val="restart"/>
                  <w:tcBorders>
                    <w:top w:val="single" w:color="auto" w:sz="2" w:space="0"/>
                    <w:left w:val="single" w:color="auto" w:sz="4"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医疗用水</w:t>
                  </w:r>
                </w:p>
              </w:tc>
              <w:tc>
                <w:tcPr>
                  <w:tcW w:w="129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住院</w:t>
                  </w:r>
                  <w:r>
                    <w:rPr>
                      <w:rFonts w:hint="default" w:ascii="Times New Roman" w:hAnsi="Times New Roman" w:eastAsia="宋体" w:cs="Times New Roman"/>
                      <w:color w:val="auto"/>
                      <w:lang w:eastAsia="zh-CN"/>
                    </w:rPr>
                    <w:t>部、康复中心</w:t>
                  </w:r>
                </w:p>
              </w:tc>
              <w:tc>
                <w:tcPr>
                  <w:tcW w:w="142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eastAsia" w:cs="Times New Roman"/>
                      <w:color w:val="auto"/>
                      <w:lang w:val="en-US" w:eastAsia="zh-CN"/>
                    </w:rPr>
                    <w:t>45</w:t>
                  </w:r>
                  <w:r>
                    <w:rPr>
                      <w:rFonts w:hint="default" w:ascii="Times New Roman" w:hAnsi="Times New Roman" w:eastAsia="宋体" w:cs="Times New Roman"/>
                      <w:color w:val="auto"/>
                    </w:rPr>
                    <w:t>L/床·d</w:t>
                  </w:r>
                </w:p>
              </w:tc>
              <w:tc>
                <w:tcPr>
                  <w:tcW w:w="2044"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82</w:t>
                  </w:r>
                  <w:r>
                    <w:rPr>
                      <w:rFonts w:hint="default" w:ascii="Times New Roman" w:hAnsi="Times New Roman" w:eastAsia="宋体" w:cs="Times New Roman"/>
                      <w:color w:val="auto"/>
                    </w:rPr>
                    <w:t>床</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4631.85</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12.69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454" w:hRule="atLeast"/>
              </w:trPr>
              <w:tc>
                <w:tcPr>
                  <w:tcW w:w="585" w:type="dxa"/>
                  <w:vMerge w:val="continue"/>
                  <w:tcBorders>
                    <w:left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p>
              </w:tc>
              <w:tc>
                <w:tcPr>
                  <w:tcW w:w="442" w:type="dxa"/>
                  <w:vMerge w:val="continue"/>
                  <w:tcBorders>
                    <w:left w:val="single" w:color="auto" w:sz="4"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p>
              </w:tc>
              <w:tc>
                <w:tcPr>
                  <w:tcW w:w="129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医技楼、门诊楼</w:t>
                  </w:r>
                </w:p>
              </w:tc>
              <w:tc>
                <w:tcPr>
                  <w:tcW w:w="142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eastAsia" w:cs="Times New Roman"/>
                      <w:color w:val="auto"/>
                      <w:lang w:val="en-US" w:eastAsia="zh-CN"/>
                    </w:rPr>
                    <w:t>25</w:t>
                  </w:r>
                  <w:r>
                    <w:rPr>
                      <w:rFonts w:hint="default" w:ascii="Times New Roman" w:hAnsi="Times New Roman" w:eastAsia="宋体" w:cs="Times New Roman"/>
                      <w:color w:val="auto"/>
                    </w:rPr>
                    <w:t>L/人·d</w:t>
                  </w:r>
                </w:p>
              </w:tc>
              <w:tc>
                <w:tcPr>
                  <w:tcW w:w="2044"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55人·次/d</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501.875</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1.375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454" w:hRule="atLeast"/>
              </w:trPr>
              <w:tc>
                <w:tcPr>
                  <w:tcW w:w="585" w:type="dxa"/>
                  <w:vMerge w:val="continue"/>
                  <w:tcBorders>
                    <w:left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p>
              </w:tc>
              <w:tc>
                <w:tcPr>
                  <w:tcW w:w="442" w:type="dxa"/>
                  <w:tcBorders>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煎药用水</w:t>
                  </w:r>
                </w:p>
              </w:tc>
              <w:tc>
                <w:tcPr>
                  <w:tcW w:w="129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中药制剂中心</w:t>
                  </w:r>
                </w:p>
              </w:tc>
              <w:tc>
                <w:tcPr>
                  <w:tcW w:w="142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eastAsia" w:cs="Times New Roman"/>
                      <w:color w:val="auto"/>
                      <w:lang w:val="en-US" w:eastAsia="zh-CN"/>
                    </w:rPr>
                  </w:pPr>
                  <w:r>
                    <w:rPr>
                      <w:rFonts w:hint="eastAsia" w:cs="Times New Roman"/>
                      <w:color w:val="auto"/>
                      <w:lang w:val="en-US" w:eastAsia="zh-CN"/>
                    </w:rPr>
                    <w:t>1.09</w:t>
                  </w:r>
                  <w:r>
                    <w:rPr>
                      <w:rFonts w:hint="default" w:ascii="Times New Roman" w:hAnsi="Times New Roman" w:eastAsia="宋体" w:cs="Times New Roman"/>
                      <w:color w:val="auto"/>
                    </w:rPr>
                    <w:t>·d</w:t>
                  </w:r>
                </w:p>
              </w:tc>
              <w:tc>
                <w:tcPr>
                  <w:tcW w:w="2044"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eastAsia" w:cs="Times New Roman"/>
                      <w:color w:val="auto"/>
                      <w:lang w:val="en-US" w:eastAsia="zh-CN"/>
                    </w:rPr>
                  </w:pPr>
                  <w:r>
                    <w:rPr>
                      <w:rFonts w:hint="eastAsia" w:cs="Times New Roman"/>
                      <w:color w:val="auto"/>
                      <w:lang w:val="en-US" w:eastAsia="zh-CN"/>
                    </w:rPr>
                    <w:t>1.09</w:t>
                  </w:r>
                  <w:r>
                    <w:rPr>
                      <w:rFonts w:hint="default" w:ascii="Times New Roman" w:hAnsi="Times New Roman" w:eastAsia="宋体" w:cs="Times New Roman"/>
                      <w:color w:val="auto"/>
                    </w:rPr>
                    <w:t>/d</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eastAsia" w:cs="Times New Roman"/>
                      <w:color w:val="auto"/>
                      <w:lang w:val="en-US" w:eastAsia="zh-CN"/>
                    </w:rPr>
                  </w:pPr>
                  <w:r>
                    <w:rPr>
                      <w:rFonts w:hint="eastAsia" w:cs="Times New Roman"/>
                      <w:color w:val="auto"/>
                      <w:lang w:val="en-US" w:eastAsia="zh-CN"/>
                    </w:rPr>
                    <w:t>400</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eastAsia" w:cs="Times New Roman"/>
                      <w:color w:val="auto"/>
                      <w:lang w:val="en-US" w:eastAsia="zh-CN"/>
                    </w:rPr>
                  </w:pPr>
                  <w:r>
                    <w:rPr>
                      <w:rFonts w:hint="eastAsia" w:cs="Times New Roman"/>
                      <w:color w:val="auto"/>
                      <w:lang w:val="en-US" w:eastAsia="zh-CN"/>
                    </w:rPr>
                    <w:t>1.09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454" w:hRule="atLeast"/>
              </w:trPr>
              <w:tc>
                <w:tcPr>
                  <w:tcW w:w="585" w:type="dxa"/>
                  <w:vMerge w:val="continue"/>
                  <w:tcBorders>
                    <w:left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p>
              </w:tc>
              <w:tc>
                <w:tcPr>
                  <w:tcW w:w="442" w:type="dxa"/>
                  <w:tcBorders>
                    <w:left w:val="single" w:color="auto" w:sz="4" w:space="0"/>
                    <w:bottom w:val="single" w:color="auto" w:sz="2" w:space="0"/>
                    <w:right w:val="single" w:color="auto" w:sz="4" w:space="0"/>
                  </w:tcBorders>
                  <w:noWrap w:val="0"/>
                  <w:vAlign w:val="center"/>
                </w:tcPr>
                <w:p>
                  <w:pPr>
                    <w:autoSpaceDE w:val="0"/>
                    <w:autoSpaceDN w:val="0"/>
                    <w:jc w:val="center"/>
                    <w:rPr>
                      <w:rFonts w:hint="eastAsia" w:ascii="Times New Roman" w:hAnsi="Times New Roman" w:eastAsia="宋体" w:cs="Times New Roman"/>
                      <w:color w:val="auto"/>
                      <w:lang w:val="en-US" w:eastAsia="zh-CN"/>
                    </w:rPr>
                  </w:pPr>
                  <w:r>
                    <w:rPr>
                      <w:rFonts w:hint="eastAsia" w:cs="Times New Roman"/>
                      <w:color w:val="auto"/>
                      <w:lang w:val="en-US" w:eastAsia="zh-CN"/>
                    </w:rPr>
                    <w:t>清洗用水</w:t>
                  </w:r>
                </w:p>
              </w:tc>
              <w:tc>
                <w:tcPr>
                  <w:tcW w:w="129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清洗设备</w:t>
                  </w:r>
                </w:p>
              </w:tc>
              <w:tc>
                <w:tcPr>
                  <w:tcW w:w="142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3.08m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/d</w:t>
                  </w:r>
                </w:p>
              </w:tc>
              <w:tc>
                <w:tcPr>
                  <w:tcW w:w="2044"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3.08m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/d</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1124.2</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554" w:hRule="atLeast"/>
              </w:trPr>
              <w:tc>
                <w:tcPr>
                  <w:tcW w:w="585" w:type="dxa"/>
                  <w:vMerge w:val="continue"/>
                  <w:tcBorders>
                    <w:left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p>
              </w:tc>
              <w:tc>
                <w:tcPr>
                  <w:tcW w:w="442" w:type="dxa"/>
                  <w:vMerge w:val="restart"/>
                  <w:tcBorders>
                    <w:top w:val="single" w:color="auto" w:sz="2" w:space="0"/>
                    <w:left w:val="single" w:color="auto" w:sz="4"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生活用水</w:t>
                  </w:r>
                </w:p>
              </w:tc>
              <w:tc>
                <w:tcPr>
                  <w:tcW w:w="129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医院职工</w:t>
                  </w:r>
                </w:p>
              </w:tc>
              <w:tc>
                <w:tcPr>
                  <w:tcW w:w="142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00L/人·d</w:t>
                  </w:r>
                </w:p>
              </w:tc>
              <w:tc>
                <w:tcPr>
                  <w:tcW w:w="2044"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152人</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5548</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430" w:hRule="atLeast"/>
              </w:trPr>
              <w:tc>
                <w:tcPr>
                  <w:tcW w:w="585" w:type="dxa"/>
                  <w:vMerge w:val="continue"/>
                  <w:tcBorders>
                    <w:left w:val="single" w:color="auto" w:sz="2"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p>
              </w:tc>
              <w:tc>
                <w:tcPr>
                  <w:tcW w:w="442" w:type="dxa"/>
                  <w:vMerge w:val="continue"/>
                  <w:tcBorders>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p>
              </w:tc>
              <w:tc>
                <w:tcPr>
                  <w:tcW w:w="129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eastAsia" w:ascii="Times New Roman" w:hAnsi="Times New Roman" w:eastAsia="宋体" w:cs="Times New Roman"/>
                      <w:color w:val="auto"/>
                      <w:lang w:eastAsia="zh-CN"/>
                    </w:rPr>
                  </w:pPr>
                  <w:r>
                    <w:rPr>
                      <w:rFonts w:hint="eastAsia" w:cs="Times New Roman"/>
                      <w:color w:val="auto"/>
                      <w:lang w:eastAsia="zh-CN"/>
                    </w:rPr>
                    <w:t>陪护人员</w:t>
                  </w:r>
                </w:p>
              </w:tc>
              <w:tc>
                <w:tcPr>
                  <w:tcW w:w="142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20</w:t>
                  </w:r>
                  <w:r>
                    <w:rPr>
                      <w:rFonts w:hint="default" w:ascii="Times New Roman" w:hAnsi="Times New Roman" w:eastAsia="宋体" w:cs="Times New Roman"/>
                      <w:color w:val="auto"/>
                      <w:lang w:val="en-US" w:eastAsia="zh-CN"/>
                    </w:rPr>
                    <w:t>L/床·d</w:t>
                  </w:r>
                </w:p>
              </w:tc>
              <w:tc>
                <w:tcPr>
                  <w:tcW w:w="2044"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282人</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2058.6</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5.64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454" w:hRule="atLeast"/>
              </w:trPr>
              <w:tc>
                <w:tcPr>
                  <w:tcW w:w="585" w:type="dxa"/>
                  <w:tcBorders>
                    <w:top w:val="single" w:color="auto" w:sz="2" w:space="0"/>
                    <w:left w:val="single" w:color="auto" w:sz="2"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442"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餐厨用水</w:t>
                  </w:r>
                </w:p>
              </w:tc>
              <w:tc>
                <w:tcPr>
                  <w:tcW w:w="129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就餐人员</w:t>
                  </w:r>
                </w:p>
              </w:tc>
              <w:tc>
                <w:tcPr>
                  <w:tcW w:w="142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10L/人·d</w:t>
                  </w:r>
                </w:p>
              </w:tc>
              <w:tc>
                <w:tcPr>
                  <w:tcW w:w="2044"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eastAsia" w:ascii="Times New Roman" w:hAnsi="Times New Roman" w:eastAsia="宋体" w:cs="Times New Roman"/>
                      <w:color w:val="auto"/>
                      <w:lang w:val="en-US" w:eastAsia="zh-CN"/>
                    </w:rPr>
                    <w:t>720</w:t>
                  </w:r>
                  <w:r>
                    <w:rPr>
                      <w:rFonts w:hint="default" w:ascii="Times New Roman" w:hAnsi="Times New Roman" w:eastAsia="宋体" w:cs="Times New Roman"/>
                      <w:color w:val="auto"/>
                      <w:highlight w:val="none"/>
                    </w:rPr>
                    <w:t>人</w:t>
                  </w:r>
                  <w:r>
                    <w:rPr>
                      <w:rFonts w:hint="default" w:ascii="Times New Roman" w:hAnsi="Times New Roman" w:eastAsia="宋体" w:cs="Times New Roman"/>
                      <w:color w:val="auto"/>
                    </w:rPr>
                    <w:t>·次/d</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2628</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454" w:hRule="atLeast"/>
              </w:trPr>
              <w:tc>
                <w:tcPr>
                  <w:tcW w:w="585" w:type="dxa"/>
                  <w:tcBorders>
                    <w:top w:val="single" w:color="auto" w:sz="2" w:space="0"/>
                    <w:left w:val="single" w:color="auto" w:sz="2"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3</w:t>
                  </w:r>
                </w:p>
              </w:tc>
              <w:tc>
                <w:tcPr>
                  <w:tcW w:w="1732" w:type="dxa"/>
                  <w:gridSpan w:val="2"/>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绿化用水</w:t>
                  </w:r>
                </w:p>
              </w:tc>
              <w:tc>
                <w:tcPr>
                  <w:tcW w:w="1420"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rPr>
                    <w:t>L/d</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2</w:t>
                  </w:r>
                </w:p>
              </w:tc>
              <w:tc>
                <w:tcPr>
                  <w:tcW w:w="2044" w:type="dxa"/>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11461</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2</w:t>
                  </w:r>
                  <w:r>
                    <w:rPr>
                      <w:rFonts w:hint="default" w:ascii="Times New Roman" w:hAnsi="Times New Roman" w:eastAsia="宋体" w:cs="Times New Roman"/>
                      <w:color w:val="auto"/>
                    </w:rPr>
                    <w:t>约（1</w:t>
                  </w:r>
                  <w:r>
                    <w:rPr>
                      <w:rFonts w:hint="default" w:ascii="Times New Roman" w:hAnsi="Times New Roman" w:eastAsia="宋体" w:cs="Times New Roman"/>
                      <w:color w:val="auto"/>
                      <w:lang w:val="en-US" w:eastAsia="zh-CN"/>
                    </w:rPr>
                    <w:t>7.19</w:t>
                  </w:r>
                  <w:r>
                    <w:rPr>
                      <w:rFonts w:hint="default" w:ascii="Times New Roman" w:hAnsi="Times New Roman" w:eastAsia="宋体" w:cs="Times New Roman"/>
                      <w:color w:val="auto"/>
                    </w:rPr>
                    <w:t>亩）</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10314.9</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114.61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4" w:space="0"/>
                </w:tblBorders>
                <w:tblCellMar>
                  <w:top w:w="0" w:type="dxa"/>
                  <w:left w:w="108" w:type="dxa"/>
                  <w:bottom w:w="0" w:type="dxa"/>
                  <w:right w:w="108" w:type="dxa"/>
                </w:tblCellMar>
              </w:tblPrEx>
              <w:trPr>
                <w:trHeight w:val="454" w:hRule="atLeast"/>
              </w:trPr>
              <w:tc>
                <w:tcPr>
                  <w:tcW w:w="585" w:type="dxa"/>
                  <w:tcBorders>
                    <w:top w:val="single" w:color="auto" w:sz="2" w:space="0"/>
                    <w:left w:val="single" w:color="auto" w:sz="2"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p>
              </w:tc>
              <w:tc>
                <w:tcPr>
                  <w:tcW w:w="5196" w:type="dxa"/>
                  <w:gridSpan w:val="4"/>
                  <w:tcBorders>
                    <w:top w:val="single" w:color="auto" w:sz="2" w:space="0"/>
                    <w:left w:val="single" w:color="auto" w:sz="4" w:space="0"/>
                    <w:bottom w:val="single" w:color="auto" w:sz="2" w:space="0"/>
                    <w:right w:val="single" w:color="auto" w:sz="4" w:space="0"/>
                  </w:tcBorders>
                  <w:noWrap w:val="0"/>
                  <w:vAlign w:val="center"/>
                </w:tcPr>
                <w:p>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合计</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27207.425</w:t>
                  </w:r>
                </w:p>
              </w:tc>
              <w:tc>
                <w:tcPr>
                  <w:tcW w:w="1529" w:type="dxa"/>
                  <w:tcBorders>
                    <w:top w:val="single" w:color="auto" w:sz="2" w:space="0"/>
                    <w:left w:val="single" w:color="auto" w:sz="4" w:space="0"/>
                    <w:bottom w:val="single" w:color="auto" w:sz="2" w:space="0"/>
                    <w:right w:val="single" w:color="auto" w:sz="2" w:space="0"/>
                  </w:tcBorders>
                  <w:noWrap w:val="0"/>
                  <w:vAlign w:val="center"/>
                </w:tcPr>
                <w:p>
                  <w:pPr>
                    <w:autoSpaceDE w:val="0"/>
                    <w:autoSpaceDN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160.885</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4.2排水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eastAsia="zh-CN" w:bidi="en-US"/>
              </w:rPr>
            </w:pPr>
            <w:r>
              <w:rPr>
                <w:rFonts w:hint="default" w:ascii="Times New Roman" w:hAnsi="Times New Roman" w:eastAsia="宋体" w:cs="Times New Roman"/>
                <w:color w:val="auto"/>
                <w:kern w:val="0"/>
                <w:sz w:val="24"/>
                <w:lang w:bidi="en-US"/>
              </w:rPr>
              <w:t>①</w:t>
            </w:r>
            <w:r>
              <w:rPr>
                <w:rFonts w:hint="default" w:ascii="Times New Roman" w:hAnsi="Times New Roman" w:eastAsia="宋体" w:cs="Times New Roman"/>
                <w:color w:val="auto"/>
                <w:kern w:val="0"/>
                <w:sz w:val="24"/>
                <w:lang w:eastAsia="zh-CN" w:bidi="en-US"/>
              </w:rPr>
              <w:t>医疗</w:t>
            </w:r>
            <w:r>
              <w:rPr>
                <w:rFonts w:hint="eastAsia" w:cs="Times New Roman"/>
                <w:color w:val="auto"/>
                <w:kern w:val="0"/>
                <w:sz w:val="24"/>
                <w:lang w:val="en-US" w:eastAsia="zh-CN" w:bidi="en-US"/>
              </w:rPr>
              <w:t>废水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kern w:val="0"/>
                <w:sz w:val="24"/>
                <w:lang w:bidi="en-US"/>
              </w:rPr>
            </w:pPr>
            <w:r>
              <w:rPr>
                <w:rFonts w:hint="default" w:ascii="Times New Roman" w:hAnsi="Times New Roman" w:eastAsia="宋体" w:cs="Times New Roman"/>
                <w:kern w:val="0"/>
                <w:sz w:val="24"/>
                <w:lang w:bidi="en-US"/>
              </w:rPr>
              <w:t>本项目医疗废水包括门诊</w:t>
            </w:r>
            <w:r>
              <w:rPr>
                <w:rFonts w:hint="eastAsia" w:ascii="Times New Roman" w:hAnsi="Times New Roman" w:eastAsia="宋体" w:cs="Times New Roman"/>
                <w:kern w:val="0"/>
                <w:sz w:val="24"/>
                <w:lang w:eastAsia="zh-CN" w:bidi="en-US"/>
              </w:rPr>
              <w:t>、</w:t>
            </w:r>
            <w:r>
              <w:rPr>
                <w:rFonts w:hint="default" w:ascii="Times New Roman" w:hAnsi="Times New Roman" w:eastAsia="宋体" w:cs="Times New Roman"/>
                <w:kern w:val="0"/>
                <w:sz w:val="24"/>
                <w:lang w:bidi="en-US"/>
              </w:rPr>
              <w:t>住院诊疗产生的检测、医疗废水</w:t>
            </w:r>
            <w:r>
              <w:rPr>
                <w:rFonts w:hint="eastAsia" w:ascii="Times New Roman" w:hAnsi="Times New Roman" w:eastAsia="宋体" w:cs="Times New Roman"/>
                <w:kern w:val="0"/>
                <w:sz w:val="24"/>
                <w:lang w:val="en-US" w:eastAsia="zh-CN" w:bidi="en-US"/>
              </w:rPr>
              <w:t>以及中药制剂</w:t>
            </w:r>
            <w:r>
              <w:rPr>
                <w:rFonts w:hint="default" w:ascii="Times New Roman" w:hAnsi="Times New Roman" w:eastAsia="宋体" w:cs="Times New Roman"/>
                <w:kern w:val="0"/>
                <w:sz w:val="24"/>
                <w:lang w:bidi="en-US"/>
              </w:rPr>
              <w:t>等，</w:t>
            </w:r>
            <w:r>
              <w:rPr>
                <w:rFonts w:hint="eastAsia" w:ascii="Times New Roman" w:hAnsi="Times New Roman" w:eastAsia="宋体" w:cs="Times New Roman"/>
                <w:kern w:val="0"/>
                <w:sz w:val="24"/>
                <w:lang w:val="en-US" w:eastAsia="zh-CN" w:bidi="en-US"/>
              </w:rPr>
              <w:t>用水量</w:t>
            </w:r>
            <w:r>
              <w:rPr>
                <w:rFonts w:hint="eastAsia" w:cs="Times New Roman"/>
                <w:kern w:val="0"/>
                <w:sz w:val="24"/>
                <w:lang w:val="en-US" w:eastAsia="zh-CN" w:bidi="en-US"/>
              </w:rPr>
              <w:t>为14.065</w:t>
            </w:r>
            <w:r>
              <w:rPr>
                <w:rFonts w:hint="default" w:ascii="Times New Roman" w:hAnsi="Times New Roman" w:eastAsia="宋体" w:cs="Times New Roman"/>
                <w:sz w:val="24"/>
              </w:rPr>
              <w:t>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/d。</w:t>
            </w:r>
            <w:r>
              <w:rPr>
                <w:rFonts w:hint="eastAsia" w:cs="Times New Roman"/>
                <w:sz w:val="24"/>
                <w:lang w:val="en-US" w:eastAsia="zh-CN"/>
              </w:rPr>
              <w:t>医疗废水产生</w:t>
            </w:r>
            <w:r>
              <w:rPr>
                <w:rFonts w:hint="default" w:ascii="Times New Roman" w:hAnsi="Times New Roman" w:eastAsia="宋体" w:cs="Times New Roman"/>
                <w:sz w:val="24"/>
              </w:rPr>
              <w:t>量按</w:t>
            </w:r>
            <w:r>
              <w:rPr>
                <w:rFonts w:hint="eastAsia" w:cs="Times New Roman"/>
                <w:sz w:val="24"/>
                <w:lang w:val="en-US" w:eastAsia="zh-CN"/>
              </w:rPr>
              <w:t>用水</w:t>
            </w:r>
            <w:r>
              <w:rPr>
                <w:rFonts w:hint="default" w:ascii="Times New Roman" w:hAnsi="Times New Roman" w:eastAsia="宋体" w:cs="Times New Roman"/>
                <w:sz w:val="24"/>
              </w:rPr>
              <w:t>量的80%计，</w:t>
            </w:r>
            <w:r>
              <w:rPr>
                <w:rFonts w:hint="eastAsia" w:cs="Times New Roman"/>
                <w:kern w:val="0"/>
                <w:sz w:val="24"/>
                <w:lang w:val="en-US" w:eastAsia="zh-CN" w:bidi="en-US"/>
              </w:rPr>
              <w:t>产生</w:t>
            </w:r>
            <w:r>
              <w:rPr>
                <w:rFonts w:hint="default" w:ascii="Times New Roman" w:hAnsi="Times New Roman" w:eastAsia="宋体" w:cs="Times New Roman"/>
                <w:kern w:val="0"/>
                <w:sz w:val="24"/>
                <w:lang w:bidi="en-US"/>
              </w:rPr>
              <w:t>量</w:t>
            </w:r>
            <w:r>
              <w:rPr>
                <w:rFonts w:hint="eastAsia" w:cs="Times New Roman"/>
                <w:kern w:val="0"/>
                <w:sz w:val="24"/>
                <w:lang w:val="en-US" w:eastAsia="zh-CN" w:bidi="en-US"/>
              </w:rPr>
              <w:t>为11.252</w:t>
            </w:r>
            <w:r>
              <w:rPr>
                <w:rFonts w:hint="default" w:ascii="Times New Roman" w:hAnsi="Times New Roman" w:eastAsia="宋体" w:cs="Times New Roman"/>
                <w:sz w:val="24"/>
              </w:rPr>
              <w:t>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/d，</w:t>
            </w:r>
            <w:r>
              <w:rPr>
                <w:rFonts w:hint="eastAsia" w:cs="Times New Roman"/>
                <w:sz w:val="24"/>
                <w:lang w:val="en-US" w:eastAsia="zh-CN"/>
              </w:rPr>
              <w:t>4106.98</w:t>
            </w:r>
            <w:r>
              <w:rPr>
                <w:rFonts w:hint="default" w:ascii="Times New Roman" w:hAnsi="Times New Roman" w:eastAsia="宋体" w:cs="Times New Roman"/>
                <w:sz w:val="24"/>
              </w:rPr>
              <w:t>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/a。污水</w:t>
            </w:r>
            <w:r>
              <w:rPr>
                <w:rFonts w:hint="default" w:ascii="Times New Roman" w:hAnsi="Times New Roman" w:eastAsia="宋体" w:cs="Times New Roman"/>
                <w:kern w:val="0"/>
                <w:sz w:val="24"/>
                <w:lang w:bidi="en-US"/>
              </w:rPr>
              <w:t>经医院污水处理站</w:t>
            </w:r>
            <w:r>
              <w:rPr>
                <w:rFonts w:hint="default" w:ascii="Times New Roman" w:hAnsi="Times New Roman" w:eastAsia="宋体" w:cs="Times New Roman"/>
                <w:kern w:val="0"/>
                <w:sz w:val="24"/>
                <w:highlight w:val="none"/>
                <w:lang w:bidi="en-US"/>
              </w:rPr>
              <w:t>处理</w:t>
            </w:r>
            <w:r>
              <w:rPr>
                <w:rFonts w:hint="eastAsia" w:ascii="Times New Roman" w:hAnsi="Times New Roman" w:eastAsia="宋体" w:cs="Times New Roman"/>
                <w:kern w:val="0"/>
                <w:sz w:val="24"/>
                <w:highlight w:val="none"/>
                <w:lang w:eastAsia="zh-CN" w:bidi="en-US"/>
              </w:rPr>
              <w:t>达标</w:t>
            </w:r>
            <w:r>
              <w:rPr>
                <w:rFonts w:hint="default" w:ascii="Times New Roman" w:hAnsi="Times New Roman" w:eastAsia="宋体" w:cs="Times New Roman"/>
                <w:kern w:val="0"/>
                <w:sz w:val="24"/>
                <w:highlight w:val="none"/>
                <w:lang w:bidi="en-US"/>
              </w:rPr>
              <w:t>后</w:t>
            </w:r>
            <w:r>
              <w:rPr>
                <w:rFonts w:hint="default" w:ascii="Times New Roman" w:hAnsi="Times New Roman" w:eastAsia="宋体" w:cs="Times New Roman"/>
                <w:kern w:val="0"/>
                <w:sz w:val="24"/>
                <w:lang w:bidi="en-US"/>
              </w:rPr>
              <w:t>，排入市政管网。</w:t>
            </w:r>
          </w:p>
          <w:p>
            <w:pPr>
              <w:pStyle w:val="12"/>
              <w:ind w:firstLine="480" w:firstLineChars="200"/>
              <w:rPr>
                <w:rFonts w:hint="eastAsia" w:cs="Times New Roman"/>
                <w:kern w:val="0"/>
                <w:sz w:val="24"/>
                <w:lang w:val="en-US" w:eastAsia="zh-CN" w:bidi="en-US"/>
              </w:rPr>
            </w:pPr>
            <w:r>
              <w:rPr>
                <w:rFonts w:hint="eastAsia" w:cs="Times New Roman"/>
                <w:kern w:val="0"/>
                <w:sz w:val="24"/>
                <w:lang w:val="en-US" w:eastAsia="zh-CN" w:bidi="en-US"/>
              </w:rPr>
              <w:t>②煎药用水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rPr>
            </w:pPr>
            <w:r>
              <w:rPr>
                <w:rFonts w:hint="eastAsia" w:ascii="Times New Roman" w:hAnsi="Times New Roman" w:eastAsia="宋体" w:cs="Times New Roman"/>
                <w:kern w:val="0"/>
                <w:sz w:val="24"/>
                <w:lang w:val="en-US" w:eastAsia="zh-CN" w:bidi="en-US"/>
              </w:rPr>
              <w:t>用水量</w:t>
            </w:r>
            <w:r>
              <w:rPr>
                <w:rFonts w:hint="eastAsia" w:cs="Times New Roman"/>
                <w:kern w:val="0"/>
                <w:sz w:val="24"/>
                <w:lang w:val="en-US" w:eastAsia="zh-CN" w:bidi="en-US"/>
              </w:rPr>
              <w:t>为1.09</w:t>
            </w:r>
            <w:r>
              <w:rPr>
                <w:rFonts w:hint="default" w:ascii="Times New Roman" w:hAnsi="Times New Roman" w:eastAsia="宋体" w:cs="Times New Roman"/>
                <w:sz w:val="24"/>
              </w:rPr>
              <w:t>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/d。</w:t>
            </w:r>
            <w:r>
              <w:rPr>
                <w:rFonts w:hint="eastAsia" w:cs="Times New Roman"/>
                <w:sz w:val="24"/>
                <w:lang w:val="en-US" w:eastAsia="zh-CN"/>
              </w:rPr>
              <w:t>医疗废水产生</w:t>
            </w:r>
            <w:r>
              <w:rPr>
                <w:rFonts w:hint="default" w:ascii="Times New Roman" w:hAnsi="Times New Roman" w:eastAsia="宋体" w:cs="Times New Roman"/>
                <w:sz w:val="24"/>
              </w:rPr>
              <w:t>量按</w:t>
            </w:r>
            <w:r>
              <w:rPr>
                <w:rFonts w:hint="eastAsia" w:cs="Times New Roman"/>
                <w:sz w:val="24"/>
                <w:lang w:val="en-US" w:eastAsia="zh-CN"/>
              </w:rPr>
              <w:t>用水</w:t>
            </w:r>
            <w:r>
              <w:rPr>
                <w:rFonts w:hint="default" w:ascii="Times New Roman" w:hAnsi="Times New Roman" w:eastAsia="宋体" w:cs="Times New Roman"/>
                <w:sz w:val="24"/>
              </w:rPr>
              <w:t>量的80%计，</w:t>
            </w:r>
            <w:r>
              <w:rPr>
                <w:rFonts w:hint="eastAsia" w:cs="Times New Roman"/>
                <w:kern w:val="0"/>
                <w:sz w:val="24"/>
                <w:lang w:val="en-US" w:eastAsia="zh-CN" w:bidi="en-US"/>
              </w:rPr>
              <w:t>产生</w:t>
            </w:r>
            <w:r>
              <w:rPr>
                <w:rFonts w:hint="default" w:ascii="Times New Roman" w:hAnsi="Times New Roman" w:eastAsia="宋体" w:cs="Times New Roman"/>
                <w:kern w:val="0"/>
                <w:sz w:val="24"/>
                <w:lang w:bidi="en-US"/>
              </w:rPr>
              <w:t>量</w:t>
            </w:r>
            <w:r>
              <w:rPr>
                <w:rFonts w:hint="eastAsia" w:cs="Times New Roman"/>
                <w:kern w:val="0"/>
                <w:sz w:val="24"/>
                <w:lang w:val="en-US" w:eastAsia="zh-CN" w:bidi="en-US"/>
              </w:rPr>
              <w:t>为0.872</w:t>
            </w:r>
            <w:r>
              <w:rPr>
                <w:rFonts w:hint="default" w:ascii="Times New Roman" w:hAnsi="Times New Roman" w:eastAsia="宋体" w:cs="Times New Roman"/>
                <w:sz w:val="24"/>
              </w:rPr>
              <w:t>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/d，</w:t>
            </w:r>
            <w:r>
              <w:rPr>
                <w:rFonts w:hint="eastAsia" w:cs="Times New Roman"/>
                <w:sz w:val="24"/>
                <w:lang w:val="en-US" w:eastAsia="zh-CN"/>
              </w:rPr>
              <w:t>318.28</w:t>
            </w:r>
            <w:r>
              <w:rPr>
                <w:rFonts w:hint="default" w:ascii="Times New Roman" w:hAnsi="Times New Roman" w:eastAsia="宋体" w:cs="Times New Roman"/>
                <w:sz w:val="24"/>
              </w:rPr>
              <w:t>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/a。污水</w:t>
            </w:r>
            <w:r>
              <w:rPr>
                <w:rFonts w:hint="default" w:ascii="Times New Roman" w:hAnsi="Times New Roman" w:eastAsia="宋体" w:cs="Times New Roman"/>
                <w:kern w:val="0"/>
                <w:sz w:val="24"/>
                <w:lang w:bidi="en-US"/>
              </w:rPr>
              <w:t>经医院污水处理站</w:t>
            </w:r>
            <w:r>
              <w:rPr>
                <w:rFonts w:hint="default" w:ascii="Times New Roman" w:hAnsi="Times New Roman" w:eastAsia="宋体" w:cs="Times New Roman"/>
                <w:kern w:val="0"/>
                <w:sz w:val="24"/>
                <w:highlight w:val="none"/>
                <w:lang w:bidi="en-US"/>
              </w:rPr>
              <w:t>处理</w:t>
            </w:r>
            <w:r>
              <w:rPr>
                <w:rFonts w:hint="eastAsia" w:ascii="Times New Roman" w:hAnsi="Times New Roman" w:eastAsia="宋体" w:cs="Times New Roman"/>
                <w:kern w:val="0"/>
                <w:sz w:val="24"/>
                <w:highlight w:val="none"/>
                <w:lang w:eastAsia="zh-CN" w:bidi="en-US"/>
              </w:rPr>
              <w:t>达标</w:t>
            </w:r>
            <w:r>
              <w:rPr>
                <w:rFonts w:hint="default" w:ascii="Times New Roman" w:hAnsi="Times New Roman" w:eastAsia="宋体" w:cs="Times New Roman"/>
                <w:kern w:val="0"/>
                <w:sz w:val="24"/>
                <w:highlight w:val="none"/>
                <w:lang w:bidi="en-US"/>
              </w:rPr>
              <w:t>后</w:t>
            </w:r>
            <w:r>
              <w:rPr>
                <w:rFonts w:hint="default" w:ascii="Times New Roman" w:hAnsi="Times New Roman" w:eastAsia="宋体" w:cs="Times New Roman"/>
                <w:kern w:val="0"/>
                <w:sz w:val="24"/>
                <w:lang w:bidi="en-US"/>
              </w:rPr>
              <w:t>，排入市政管网。</w:t>
            </w:r>
          </w:p>
          <w:p>
            <w:pPr>
              <w:pStyle w:val="12"/>
              <w:ind w:firstLine="480" w:firstLineChars="200"/>
              <w:rPr>
                <w:rFonts w:hint="eastAsia" w:cs="Times New Roman"/>
                <w:kern w:val="0"/>
                <w:sz w:val="24"/>
                <w:lang w:val="en-US" w:eastAsia="zh-CN" w:bidi="en-US"/>
              </w:rPr>
            </w:pPr>
            <w:r>
              <w:rPr>
                <w:rFonts w:hint="eastAsia" w:cs="Times New Roman"/>
                <w:kern w:val="0"/>
                <w:sz w:val="24"/>
                <w:lang w:val="en-US" w:eastAsia="zh-CN" w:bidi="en-US"/>
              </w:rPr>
              <w:t>③清洗用水</w:t>
            </w:r>
          </w:p>
          <w:p>
            <w:pPr>
              <w:pStyle w:val="1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kern w:val="0"/>
                <w:sz w:val="24"/>
                <w:szCs w:val="24"/>
                <w:lang w:val="en-US" w:eastAsia="zh-CN" w:bidi="en-US"/>
              </w:rPr>
            </w:pPr>
            <w:r>
              <w:rPr>
                <w:rFonts w:hint="eastAsia" w:ascii="Times New Roman" w:hAnsi="Times New Roman" w:eastAsia="宋体" w:cs="Times New Roman"/>
                <w:kern w:val="0"/>
                <w:sz w:val="24"/>
                <w:lang w:val="en-US" w:eastAsia="zh-CN" w:bidi="en-US"/>
              </w:rPr>
              <w:t>煎药设备清洗</w:t>
            </w:r>
            <w:r>
              <w:rPr>
                <w:rFonts w:hint="eastAsia" w:ascii="Times New Roman" w:hAnsi="Times New Roman" w:eastAsia="宋体" w:cs="Times New Roman"/>
                <w:color w:val="auto"/>
                <w:spacing w:val="10"/>
                <w:sz w:val="24"/>
              </w:rPr>
              <w:t>用水3</w:t>
            </w:r>
            <w:r>
              <w:rPr>
                <w:rFonts w:hint="eastAsia" w:ascii="Times New Roman" w:hAnsi="Times New Roman" w:eastAsia="宋体" w:cs="Times New Roman"/>
                <w:color w:val="auto"/>
                <w:spacing w:val="10"/>
                <w:sz w:val="24"/>
                <w:lang w:val="en-US" w:eastAsia="zh-CN"/>
              </w:rPr>
              <w:t>.08</w:t>
            </w:r>
            <w:r>
              <w:rPr>
                <w:rFonts w:hint="eastAsia" w:ascii="Times New Roman" w:hAnsi="Times New Roman" w:eastAsia="宋体" w:cs="Times New Roman"/>
                <w:color w:val="auto"/>
                <w:spacing w:val="10"/>
                <w:sz w:val="24"/>
              </w:rPr>
              <w:t>m</w:t>
            </w:r>
            <w:r>
              <w:rPr>
                <w:rFonts w:hint="eastAsia" w:ascii="Times New Roman" w:hAnsi="Times New Roman" w:eastAsia="宋体" w:cs="Times New Roman"/>
                <w:color w:val="auto"/>
                <w:spacing w:val="10"/>
                <w:sz w:val="24"/>
                <w:vertAlign w:val="superscript"/>
              </w:rPr>
              <w:t>3</w:t>
            </w:r>
            <w:r>
              <w:rPr>
                <w:rFonts w:hint="eastAsia" w:ascii="Times New Roman" w:hAnsi="Times New Roman" w:eastAsia="宋体" w:cs="Times New Roman"/>
                <w:color w:val="auto"/>
                <w:spacing w:val="10"/>
                <w:sz w:val="24"/>
              </w:rPr>
              <w:t>/d（1</w:t>
            </w:r>
            <w:r>
              <w:rPr>
                <w:rFonts w:hint="eastAsia" w:ascii="Times New Roman" w:hAnsi="Times New Roman" w:eastAsia="宋体" w:cs="Times New Roman"/>
                <w:color w:val="auto"/>
                <w:spacing w:val="10"/>
                <w:sz w:val="24"/>
                <w:lang w:val="en-US" w:eastAsia="zh-CN"/>
              </w:rPr>
              <w:t>124.2</w:t>
            </w:r>
            <w:r>
              <w:rPr>
                <w:rFonts w:hint="eastAsia" w:ascii="Times New Roman" w:hAnsi="Times New Roman" w:eastAsia="宋体" w:cs="Times New Roman"/>
                <w:color w:val="auto"/>
                <w:spacing w:val="10"/>
                <w:sz w:val="24"/>
              </w:rPr>
              <w:t>m</w:t>
            </w:r>
            <w:r>
              <w:rPr>
                <w:rFonts w:hint="eastAsia" w:ascii="Times New Roman" w:hAnsi="Times New Roman" w:eastAsia="宋体" w:cs="Times New Roman"/>
                <w:color w:val="auto"/>
                <w:spacing w:val="10"/>
                <w:sz w:val="24"/>
                <w:vertAlign w:val="superscript"/>
              </w:rPr>
              <w:t>3</w:t>
            </w:r>
            <w:r>
              <w:rPr>
                <w:rFonts w:hint="eastAsia" w:ascii="Times New Roman" w:hAnsi="Times New Roman" w:eastAsia="宋体" w:cs="Times New Roman"/>
                <w:color w:val="auto"/>
                <w:spacing w:val="10"/>
                <w:sz w:val="24"/>
              </w:rPr>
              <w:t>/a）</w:t>
            </w:r>
            <w:r>
              <w:rPr>
                <w:rFonts w:hint="eastAsia" w:ascii="Times New Roman" w:hAnsi="Times New Roman" w:eastAsia="宋体" w:cs="Times New Roman"/>
                <w:color w:val="auto"/>
                <w:spacing w:val="10"/>
                <w:sz w:val="24"/>
                <w:lang w:eastAsia="zh-CN"/>
              </w:rPr>
              <w:t>，</w:t>
            </w:r>
            <w:r>
              <w:rPr>
                <w:rFonts w:hint="eastAsia" w:ascii="Times New Roman" w:hAnsi="Times New Roman" w:eastAsia="宋体" w:cs="Times New Roman"/>
                <w:kern w:val="0"/>
                <w:sz w:val="24"/>
                <w:szCs w:val="24"/>
                <w:lang w:val="en-US" w:eastAsia="zh-CN" w:bidi="en-US"/>
              </w:rPr>
              <w:t>清洗废水产生量</w:t>
            </w:r>
            <w:r>
              <w:rPr>
                <w:rFonts w:hint="default" w:ascii="Times New Roman" w:hAnsi="Times New Roman" w:eastAsia="宋体" w:cs="Times New Roman"/>
                <w:kern w:val="0"/>
                <w:sz w:val="24"/>
                <w:szCs w:val="24"/>
                <w:lang w:val="en-US" w:eastAsia="zh-CN" w:bidi="en-US"/>
              </w:rPr>
              <w:t>按</w:t>
            </w:r>
            <w:r>
              <w:rPr>
                <w:rFonts w:hint="eastAsia" w:ascii="Times New Roman" w:hAnsi="Times New Roman" w:eastAsia="宋体" w:cs="Times New Roman"/>
                <w:kern w:val="0"/>
                <w:sz w:val="24"/>
                <w:szCs w:val="24"/>
                <w:lang w:val="en-US" w:eastAsia="zh-CN" w:bidi="en-US"/>
              </w:rPr>
              <w:t>用水</w:t>
            </w:r>
            <w:r>
              <w:rPr>
                <w:rFonts w:hint="default" w:ascii="Times New Roman" w:hAnsi="Times New Roman" w:eastAsia="宋体" w:cs="Times New Roman"/>
                <w:kern w:val="0"/>
                <w:sz w:val="24"/>
                <w:szCs w:val="24"/>
                <w:lang w:val="en-US" w:eastAsia="zh-CN" w:bidi="en-US"/>
              </w:rPr>
              <w:t>量的80%计，</w:t>
            </w:r>
            <w:r>
              <w:rPr>
                <w:rFonts w:hint="eastAsia" w:ascii="Times New Roman" w:hAnsi="Times New Roman" w:eastAsia="宋体" w:cs="Times New Roman"/>
                <w:kern w:val="0"/>
                <w:sz w:val="24"/>
                <w:szCs w:val="24"/>
                <w:lang w:val="en-US" w:eastAsia="zh-CN" w:bidi="en-US"/>
              </w:rPr>
              <w:t>产生量为2.464</w:t>
            </w:r>
            <w:r>
              <w:rPr>
                <w:rFonts w:hint="default" w:ascii="Times New Roman" w:hAnsi="Times New Roman" w:eastAsia="宋体" w:cs="Times New Roman"/>
                <w:kern w:val="0"/>
                <w:sz w:val="24"/>
                <w:szCs w:val="24"/>
                <w:lang w:val="en-US" w:eastAsia="zh-CN" w:bidi="en-US"/>
              </w:rPr>
              <w:t>m</w:t>
            </w:r>
            <w:r>
              <w:rPr>
                <w:rFonts w:hint="default" w:ascii="Times New Roman" w:hAnsi="Times New Roman" w:eastAsia="宋体" w:cs="Times New Roman"/>
                <w:kern w:val="0"/>
                <w:sz w:val="24"/>
                <w:szCs w:val="24"/>
                <w:vertAlign w:val="superscript"/>
                <w:lang w:val="en-US" w:eastAsia="zh-CN" w:bidi="en-US"/>
              </w:rPr>
              <w:t>3</w:t>
            </w:r>
            <w:r>
              <w:rPr>
                <w:rFonts w:hint="default" w:ascii="Times New Roman" w:hAnsi="Times New Roman" w:eastAsia="宋体" w:cs="Times New Roman"/>
                <w:kern w:val="0"/>
                <w:sz w:val="24"/>
                <w:szCs w:val="24"/>
                <w:lang w:val="en-US" w:eastAsia="zh-CN" w:bidi="en-US"/>
              </w:rPr>
              <w:t>/d，</w:t>
            </w:r>
            <w:r>
              <w:rPr>
                <w:rFonts w:hint="eastAsia" w:ascii="Times New Roman" w:hAnsi="Times New Roman" w:eastAsia="宋体" w:cs="Times New Roman"/>
                <w:kern w:val="0"/>
                <w:sz w:val="24"/>
                <w:szCs w:val="24"/>
                <w:lang w:val="en-US" w:eastAsia="zh-CN" w:bidi="en-US"/>
              </w:rPr>
              <w:t>899.36</w:t>
            </w:r>
            <w:r>
              <w:rPr>
                <w:rFonts w:hint="default" w:ascii="Times New Roman" w:hAnsi="Times New Roman" w:eastAsia="宋体" w:cs="Times New Roman"/>
                <w:kern w:val="0"/>
                <w:sz w:val="24"/>
                <w:szCs w:val="24"/>
                <w:lang w:val="en-US" w:eastAsia="zh-CN" w:bidi="en-US"/>
              </w:rPr>
              <w:t>m</w:t>
            </w:r>
            <w:r>
              <w:rPr>
                <w:rFonts w:hint="default" w:ascii="Times New Roman" w:hAnsi="Times New Roman" w:eastAsia="宋体" w:cs="Times New Roman"/>
                <w:kern w:val="0"/>
                <w:sz w:val="24"/>
                <w:szCs w:val="24"/>
                <w:vertAlign w:val="superscript"/>
                <w:lang w:val="en-US" w:eastAsia="zh-CN" w:bidi="en-US"/>
              </w:rPr>
              <w:t>3</w:t>
            </w:r>
            <w:r>
              <w:rPr>
                <w:rFonts w:hint="default" w:ascii="Times New Roman" w:hAnsi="Times New Roman" w:eastAsia="宋体" w:cs="Times New Roman"/>
                <w:kern w:val="0"/>
                <w:sz w:val="24"/>
                <w:szCs w:val="24"/>
                <w:lang w:val="en-US" w:eastAsia="zh-CN" w:bidi="en-US"/>
              </w:rPr>
              <w:t>/a，</w:t>
            </w:r>
            <w:r>
              <w:rPr>
                <w:rFonts w:hint="eastAsia" w:cs="Times New Roman"/>
                <w:kern w:val="0"/>
                <w:sz w:val="24"/>
                <w:szCs w:val="24"/>
                <w:lang w:val="en-US" w:eastAsia="zh-CN" w:bidi="en-US"/>
              </w:rPr>
              <w:t>经医院污水处理站处理达标后，</w:t>
            </w:r>
            <w:r>
              <w:rPr>
                <w:rFonts w:hint="default" w:ascii="Times New Roman" w:hAnsi="Times New Roman" w:eastAsia="宋体" w:cs="Times New Roman"/>
                <w:kern w:val="0"/>
                <w:sz w:val="24"/>
                <w:szCs w:val="24"/>
                <w:lang w:val="en-US" w:eastAsia="zh-CN" w:bidi="en-US"/>
              </w:rPr>
              <w:t>排入市政管网。</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bidi="en-US"/>
              </w:rPr>
            </w:pPr>
            <w:r>
              <w:rPr>
                <w:rFonts w:hint="eastAsia" w:cs="Times New Roman"/>
                <w:color w:val="auto"/>
                <w:kern w:val="0"/>
                <w:sz w:val="24"/>
                <w:lang w:val="en-US" w:eastAsia="zh-CN" w:bidi="en-US"/>
              </w:rPr>
              <w:t>④</w:t>
            </w:r>
            <w:r>
              <w:rPr>
                <w:rFonts w:hint="default" w:ascii="Times New Roman" w:hAnsi="Times New Roman" w:eastAsia="宋体" w:cs="Times New Roman"/>
                <w:color w:val="auto"/>
                <w:kern w:val="0"/>
                <w:sz w:val="24"/>
                <w:lang w:bidi="en-US"/>
              </w:rPr>
              <w:t>生活污水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lang w:bidi="en-US"/>
              </w:rPr>
              <w:t>项目生活污水</w:t>
            </w:r>
            <w:r>
              <w:rPr>
                <w:rFonts w:hint="eastAsia" w:cs="Times New Roman"/>
                <w:color w:val="auto"/>
                <w:sz w:val="24"/>
                <w:highlight w:val="none"/>
                <w:lang w:val="en-US" w:eastAsia="zh-CN"/>
              </w:rPr>
              <w:t>产生</w:t>
            </w:r>
            <w:r>
              <w:rPr>
                <w:rFonts w:hint="default" w:ascii="Times New Roman" w:hAnsi="Times New Roman" w:eastAsia="宋体" w:cs="Times New Roman"/>
                <w:color w:val="auto"/>
                <w:sz w:val="24"/>
                <w:highlight w:val="none"/>
              </w:rPr>
              <w:t>量按</w:t>
            </w:r>
            <w:r>
              <w:rPr>
                <w:rFonts w:hint="eastAsia" w:cs="Times New Roman"/>
                <w:color w:val="auto"/>
                <w:sz w:val="24"/>
                <w:highlight w:val="none"/>
                <w:lang w:val="en-US" w:eastAsia="zh-CN"/>
              </w:rPr>
              <w:t>用水</w:t>
            </w:r>
            <w:r>
              <w:rPr>
                <w:rFonts w:hint="default" w:ascii="Times New Roman" w:hAnsi="Times New Roman" w:eastAsia="宋体" w:cs="Times New Roman"/>
                <w:color w:val="auto"/>
                <w:sz w:val="24"/>
                <w:highlight w:val="none"/>
              </w:rPr>
              <w:t>量的</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0%计，</w:t>
            </w:r>
            <w:r>
              <w:rPr>
                <w:rFonts w:hint="eastAsia" w:cs="Times New Roman"/>
                <w:color w:val="auto"/>
                <w:kern w:val="0"/>
                <w:sz w:val="24"/>
                <w:highlight w:val="none"/>
                <w:lang w:val="en-US" w:eastAsia="zh-CN" w:bidi="en-US"/>
              </w:rPr>
              <w:t>产生</w:t>
            </w:r>
            <w:r>
              <w:rPr>
                <w:rFonts w:hint="default" w:ascii="Times New Roman" w:hAnsi="Times New Roman" w:eastAsia="宋体" w:cs="Times New Roman"/>
                <w:color w:val="auto"/>
                <w:kern w:val="0"/>
                <w:sz w:val="24"/>
                <w:highlight w:val="none"/>
                <w:lang w:bidi="en-US"/>
              </w:rPr>
              <w:t>量</w:t>
            </w:r>
            <w:r>
              <w:rPr>
                <w:rFonts w:hint="eastAsia" w:cs="Times New Roman"/>
                <w:color w:val="auto"/>
                <w:kern w:val="0"/>
                <w:sz w:val="24"/>
                <w:highlight w:val="none"/>
                <w:lang w:val="en-US" w:eastAsia="zh-CN" w:bidi="en-US"/>
              </w:rPr>
              <w:t>为16.672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eastAsia" w:cs="Times New Roman"/>
                <w:color w:val="auto"/>
                <w:sz w:val="24"/>
                <w:highlight w:val="none"/>
                <w:lang w:val="en-US" w:eastAsia="zh-CN"/>
              </w:rPr>
              <w:t>6085.28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污水</w:t>
            </w:r>
            <w:r>
              <w:rPr>
                <w:rFonts w:hint="eastAsia" w:ascii="Times New Roman" w:hAnsi="Times New Roman" w:eastAsia="宋体" w:cs="Times New Roman"/>
                <w:color w:val="auto"/>
                <w:sz w:val="24"/>
                <w:highlight w:val="none"/>
                <w:lang w:val="en-US" w:eastAsia="zh-CN"/>
              </w:rPr>
              <w:t>经医院污水处理站处理达标后，</w:t>
            </w:r>
            <w:r>
              <w:rPr>
                <w:rFonts w:hint="default" w:ascii="Times New Roman" w:hAnsi="Times New Roman" w:eastAsia="宋体" w:cs="Times New Roman"/>
                <w:color w:val="auto"/>
                <w:sz w:val="24"/>
                <w:highlight w:val="none"/>
              </w:rPr>
              <w:t>排入市政管网。</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bidi="en-US"/>
              </w:rPr>
            </w:pPr>
            <w:r>
              <w:rPr>
                <w:rFonts w:hint="eastAsia" w:cs="Times New Roman"/>
                <w:color w:val="auto"/>
                <w:kern w:val="0"/>
                <w:sz w:val="24"/>
                <w:lang w:val="en-US" w:eastAsia="zh-CN" w:bidi="en-US"/>
              </w:rPr>
              <w:t>⑤</w:t>
            </w:r>
            <w:r>
              <w:rPr>
                <w:rFonts w:hint="eastAsia" w:ascii="Times New Roman" w:hAnsi="Times New Roman" w:eastAsia="宋体" w:cs="Times New Roman"/>
                <w:color w:val="auto"/>
                <w:kern w:val="0"/>
                <w:sz w:val="24"/>
                <w:lang w:eastAsia="zh-CN" w:bidi="en-US"/>
              </w:rPr>
              <w:t>食堂</w:t>
            </w:r>
            <w:r>
              <w:rPr>
                <w:rFonts w:hint="default" w:ascii="Times New Roman" w:hAnsi="Times New Roman" w:eastAsia="宋体" w:cs="Times New Roman"/>
                <w:color w:val="auto"/>
                <w:kern w:val="0"/>
                <w:sz w:val="24"/>
                <w:lang w:bidi="en-US"/>
              </w:rPr>
              <w:t>废水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lang w:bidi="en-US"/>
              </w:rPr>
              <w:t>项目餐厨废水</w:t>
            </w:r>
            <w:r>
              <w:rPr>
                <w:rFonts w:hint="eastAsia" w:cs="Times New Roman"/>
                <w:color w:val="auto"/>
                <w:kern w:val="0"/>
                <w:sz w:val="24"/>
                <w:lang w:val="en-US" w:eastAsia="zh-CN" w:bidi="en-US"/>
              </w:rPr>
              <w:t>产生</w:t>
            </w:r>
            <w:r>
              <w:rPr>
                <w:rFonts w:hint="default" w:ascii="Times New Roman" w:hAnsi="Times New Roman" w:eastAsia="宋体" w:cs="Times New Roman"/>
                <w:color w:val="auto"/>
                <w:kern w:val="0"/>
                <w:sz w:val="24"/>
                <w:lang w:bidi="en-US"/>
              </w:rPr>
              <w:t>量按</w:t>
            </w:r>
            <w:r>
              <w:rPr>
                <w:rFonts w:hint="eastAsia" w:cs="Times New Roman"/>
                <w:color w:val="auto"/>
                <w:kern w:val="0"/>
                <w:sz w:val="24"/>
                <w:lang w:val="en-US" w:eastAsia="zh-CN" w:bidi="en-US"/>
              </w:rPr>
              <w:t>用水</w:t>
            </w:r>
            <w:r>
              <w:rPr>
                <w:rFonts w:hint="default" w:ascii="Times New Roman" w:hAnsi="Times New Roman" w:eastAsia="宋体" w:cs="Times New Roman"/>
                <w:color w:val="auto"/>
                <w:kern w:val="0"/>
                <w:sz w:val="24"/>
                <w:lang w:bidi="en-US"/>
              </w:rPr>
              <w:t>量的80%计，</w:t>
            </w:r>
            <w:r>
              <w:rPr>
                <w:rFonts w:hint="eastAsia" w:cs="Times New Roman"/>
                <w:color w:val="auto"/>
                <w:kern w:val="0"/>
                <w:sz w:val="24"/>
                <w:lang w:val="en-US" w:eastAsia="zh-CN" w:bidi="en-US"/>
              </w:rPr>
              <w:t>产生</w:t>
            </w:r>
            <w:r>
              <w:rPr>
                <w:rFonts w:hint="default" w:ascii="Times New Roman" w:hAnsi="Times New Roman" w:eastAsia="宋体" w:cs="Times New Roman"/>
                <w:color w:val="auto"/>
                <w:kern w:val="0"/>
                <w:sz w:val="24"/>
                <w:lang w:bidi="en-US"/>
              </w:rPr>
              <w:t>量</w:t>
            </w:r>
            <w:r>
              <w:rPr>
                <w:rFonts w:hint="eastAsia" w:cs="Times New Roman"/>
                <w:color w:val="auto"/>
                <w:kern w:val="0"/>
                <w:sz w:val="24"/>
                <w:lang w:val="en-US" w:eastAsia="zh-CN" w:bidi="en-US"/>
              </w:rPr>
              <w:t>为</w:t>
            </w:r>
            <w:r>
              <w:rPr>
                <w:rFonts w:hint="eastAsia" w:ascii="Times New Roman" w:hAnsi="Times New Roman" w:eastAsia="宋体" w:cs="Times New Roman"/>
                <w:color w:val="auto"/>
                <w:kern w:val="0"/>
                <w:sz w:val="24"/>
                <w:lang w:val="en-US" w:eastAsia="zh-CN" w:bidi="en-US"/>
              </w:rPr>
              <w:t>5.76</w:t>
            </w:r>
            <w:r>
              <w:rPr>
                <w:rFonts w:hint="default" w:ascii="Times New Roman" w:hAnsi="Times New Roman" w:eastAsia="宋体" w:cs="Times New Roman"/>
                <w:color w:val="auto"/>
                <w:kern w:val="0"/>
                <w:sz w:val="24"/>
                <w:lang w:bidi="en-US"/>
              </w:rPr>
              <w:t>m</w:t>
            </w:r>
            <w:r>
              <w:rPr>
                <w:rFonts w:hint="default" w:ascii="Times New Roman" w:hAnsi="Times New Roman" w:eastAsia="宋体" w:cs="Times New Roman"/>
                <w:color w:val="auto"/>
                <w:kern w:val="0"/>
                <w:sz w:val="24"/>
                <w:vertAlign w:val="superscript"/>
                <w:lang w:bidi="en-US"/>
              </w:rPr>
              <w:t>3</w:t>
            </w:r>
            <w:r>
              <w:rPr>
                <w:rFonts w:hint="default" w:ascii="Times New Roman" w:hAnsi="Times New Roman" w:eastAsia="宋体" w:cs="Times New Roman"/>
                <w:color w:val="auto"/>
                <w:kern w:val="0"/>
                <w:sz w:val="24"/>
                <w:lang w:bidi="en-US"/>
              </w:rPr>
              <w:t>/d，</w:t>
            </w:r>
            <w:r>
              <w:rPr>
                <w:rFonts w:hint="eastAsia" w:ascii="Times New Roman" w:hAnsi="Times New Roman" w:eastAsia="宋体" w:cs="Times New Roman"/>
                <w:color w:val="auto"/>
                <w:kern w:val="0"/>
                <w:sz w:val="24"/>
                <w:lang w:val="en-US" w:eastAsia="zh-CN" w:bidi="en-US"/>
              </w:rPr>
              <w:t>2102.4</w:t>
            </w:r>
            <w:r>
              <w:rPr>
                <w:rFonts w:hint="default" w:ascii="Times New Roman" w:hAnsi="Times New Roman" w:eastAsia="宋体" w:cs="Times New Roman"/>
                <w:color w:val="auto"/>
                <w:kern w:val="0"/>
                <w:sz w:val="24"/>
                <w:lang w:bidi="en-US"/>
              </w:rPr>
              <w:t>m</w:t>
            </w:r>
            <w:r>
              <w:rPr>
                <w:rFonts w:hint="default" w:ascii="Times New Roman" w:hAnsi="Times New Roman" w:eastAsia="宋体" w:cs="Times New Roman"/>
                <w:color w:val="auto"/>
                <w:kern w:val="0"/>
                <w:sz w:val="24"/>
                <w:vertAlign w:val="superscript"/>
                <w:lang w:bidi="en-US"/>
              </w:rPr>
              <w:t>3</w:t>
            </w:r>
            <w:r>
              <w:rPr>
                <w:rFonts w:hint="default" w:ascii="Times New Roman" w:hAnsi="Times New Roman" w:eastAsia="宋体" w:cs="Times New Roman"/>
                <w:color w:val="auto"/>
                <w:kern w:val="0"/>
                <w:sz w:val="24"/>
                <w:lang w:bidi="en-US"/>
              </w:rPr>
              <w:t>/a。</w:t>
            </w:r>
            <w:r>
              <w:rPr>
                <w:rFonts w:hint="default" w:ascii="Times New Roman" w:hAnsi="Times New Roman" w:eastAsia="宋体" w:cs="Times New Roman"/>
                <w:color w:val="auto"/>
                <w:sz w:val="24"/>
                <w:highlight w:val="none"/>
                <w:lang w:val="en-US" w:eastAsia="zh-CN"/>
              </w:rPr>
              <w:t>废水</w:t>
            </w:r>
            <w:r>
              <w:rPr>
                <w:rFonts w:hint="eastAsia" w:ascii="Times New Roman" w:hAnsi="Times New Roman" w:eastAsia="宋体" w:cs="Times New Roman"/>
                <w:color w:val="auto"/>
                <w:sz w:val="24"/>
                <w:highlight w:val="none"/>
                <w:lang w:val="en-US" w:eastAsia="zh-CN"/>
              </w:rPr>
              <w:t>经医院污水处理站处理达标后，</w:t>
            </w:r>
            <w:r>
              <w:rPr>
                <w:rFonts w:hint="default" w:ascii="Times New Roman" w:hAnsi="Times New Roman" w:eastAsia="宋体" w:cs="Times New Roman"/>
                <w:color w:val="auto"/>
                <w:sz w:val="24"/>
                <w:highlight w:val="none"/>
                <w:lang w:val="en-US" w:eastAsia="zh-CN"/>
              </w:rPr>
              <w:t>排入市政管网。</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bidi="en-US"/>
              </w:rPr>
            </w:pPr>
            <w:r>
              <w:rPr>
                <w:rFonts w:hint="eastAsia" w:cs="Times New Roman"/>
                <w:color w:val="auto"/>
                <w:kern w:val="0"/>
                <w:sz w:val="24"/>
                <w:lang w:val="en-US" w:eastAsia="zh-CN" w:bidi="en-US"/>
              </w:rPr>
              <w:t>⑥</w:t>
            </w:r>
            <w:r>
              <w:rPr>
                <w:rFonts w:hint="default" w:ascii="Times New Roman" w:hAnsi="Times New Roman" w:eastAsia="宋体" w:cs="Times New Roman"/>
                <w:color w:val="auto"/>
                <w:kern w:val="0"/>
                <w:sz w:val="24"/>
                <w:lang w:bidi="en-US"/>
              </w:rPr>
              <w:t>绿化用水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bidi="en-US"/>
              </w:rPr>
            </w:pPr>
            <w:r>
              <w:rPr>
                <w:rFonts w:hint="default" w:ascii="Times New Roman" w:hAnsi="Times New Roman" w:eastAsia="宋体" w:cs="Times New Roman"/>
                <w:color w:val="auto"/>
                <w:kern w:val="0"/>
                <w:sz w:val="24"/>
                <w:lang w:bidi="en-US"/>
              </w:rPr>
              <w:t>绿化用水量</w:t>
            </w:r>
            <w:r>
              <w:rPr>
                <w:rFonts w:hint="default" w:ascii="Times New Roman" w:hAnsi="Times New Roman" w:eastAsia="宋体" w:cs="Times New Roman"/>
                <w:color w:val="auto"/>
                <w:kern w:val="0"/>
                <w:sz w:val="24"/>
                <w:lang w:val="en-US" w:eastAsia="zh-CN" w:bidi="en-US"/>
              </w:rPr>
              <w:t>10314.9</w:t>
            </w:r>
            <w:r>
              <w:rPr>
                <w:rFonts w:hint="default" w:ascii="Times New Roman" w:hAnsi="Times New Roman" w:eastAsia="宋体" w:cs="Times New Roman"/>
                <w:color w:val="auto"/>
                <w:kern w:val="0"/>
                <w:sz w:val="24"/>
                <w:lang w:bidi="en-US"/>
              </w:rPr>
              <w:t>m</w:t>
            </w:r>
            <w:r>
              <w:rPr>
                <w:rFonts w:hint="default" w:ascii="Times New Roman" w:hAnsi="Times New Roman" w:eastAsia="宋体" w:cs="Times New Roman"/>
                <w:color w:val="auto"/>
                <w:kern w:val="0"/>
                <w:sz w:val="24"/>
                <w:vertAlign w:val="superscript"/>
                <w:lang w:bidi="en-US"/>
              </w:rPr>
              <w:t>3</w:t>
            </w:r>
            <w:r>
              <w:rPr>
                <w:rFonts w:hint="default" w:ascii="Times New Roman" w:hAnsi="Times New Roman" w:eastAsia="宋体" w:cs="Times New Roman"/>
                <w:color w:val="auto"/>
                <w:kern w:val="0"/>
                <w:sz w:val="24"/>
                <w:lang w:bidi="en-US"/>
              </w:rPr>
              <w:t>/a</w:t>
            </w:r>
            <w:r>
              <w:rPr>
                <w:rFonts w:hint="eastAsia" w:ascii="Times New Roman" w:hAnsi="Times New Roman" w:eastAsia="宋体" w:cs="Times New Roman"/>
                <w:color w:val="auto"/>
                <w:kern w:val="0"/>
                <w:sz w:val="24"/>
                <w:lang w:eastAsia="zh-CN" w:bidi="en-US"/>
              </w:rPr>
              <w:t>，</w:t>
            </w:r>
            <w:r>
              <w:rPr>
                <w:rFonts w:hint="default" w:ascii="Times New Roman" w:hAnsi="Times New Roman" w:eastAsia="宋体" w:cs="Times New Roman"/>
                <w:color w:val="auto"/>
                <w:kern w:val="0"/>
                <w:sz w:val="24"/>
                <w:lang w:bidi="en-US"/>
              </w:rPr>
              <w:t>全部消耗，不排放。</w:t>
            </w:r>
          </w:p>
          <w:bookmarkEnd w:id="2"/>
          <w:p>
            <w:pPr>
              <w:pStyle w:val="17"/>
              <w:ind w:firstLine="480" w:firstLineChars="200"/>
              <w:rPr>
                <w:rFonts w:hint="eastAsia" w:ascii="Times New Roman" w:hAnsi="Times New Roman" w:cs="Times New Roman"/>
                <w:sz w:val="24"/>
                <w:lang w:eastAsia="zh-CN"/>
              </w:rPr>
            </w:pPr>
            <w:r>
              <w:rPr>
                <w:rFonts w:hint="eastAsia" w:ascii="Times New Roman" w:hAnsi="Times New Roman" w:cs="Times New Roman"/>
                <w:sz w:val="24"/>
                <w:lang w:eastAsia="zh-CN"/>
              </w:rPr>
              <w:t>项目水平衡图</w:t>
            </w:r>
          </w:p>
          <w:p>
            <w:pPr>
              <w:rPr>
                <w:rFonts w:hint="eastAsia" w:ascii="Times New Roman" w:hAnsi="Times New Roman" w:cs="Times New Roman"/>
                <w:sz w:val="24"/>
                <w:lang w:eastAsia="zh-CN"/>
              </w:rPr>
            </w:pPr>
          </w:p>
          <w:p>
            <w:pPr>
              <w:rPr>
                <w:rFonts w:hint="eastAsia" w:ascii="Times New Roman" w:hAnsi="Times New Roman" w:cs="Times New Roman"/>
                <w:sz w:val="24"/>
                <w:lang w:eastAsia="zh-CN"/>
              </w:rPr>
            </w:pPr>
          </w:p>
          <w:p>
            <w:pPr>
              <w:rPr>
                <w:rFonts w:hint="eastAsia" w:ascii="Times New Roman" w:hAnsi="Times New Roman" w:cs="Times New Roman"/>
                <w:sz w:val="24"/>
                <w:lang w:eastAsia="zh-CN"/>
              </w:rPr>
            </w:pPr>
          </w:p>
          <w:p>
            <w:pPr>
              <w:rPr>
                <w:rFonts w:hint="eastAsia" w:ascii="Times New Roman" w:hAnsi="Times New Roman" w:cs="Times New Roman"/>
                <w:sz w:val="24"/>
                <w:lang w:eastAsia="zh-CN"/>
              </w:rPr>
            </w:pPr>
          </w:p>
          <w:p>
            <w:pPr>
              <w:rPr>
                <w:rFonts w:hint="eastAsia" w:ascii="Times New Roman" w:hAnsi="Times New Roman" w:cs="Times New Roman"/>
                <w:sz w:val="24"/>
                <w:lang w:eastAsia="zh-CN"/>
              </w:rPr>
            </w:pPr>
          </w:p>
          <w:p>
            <w:pPr>
              <w:rPr>
                <w:rFonts w:hint="eastAsia" w:ascii="Times New Roman" w:hAnsi="Times New Roman" w:cs="Times New Roman"/>
                <w:sz w:val="24"/>
                <w:lang w:eastAsia="zh-CN"/>
              </w:rPr>
            </w:pPr>
          </w:p>
          <w:p>
            <w:pPr>
              <w:rPr>
                <w:rFonts w:hint="eastAsia" w:ascii="Times New Roman" w:hAnsi="Times New Roman" w:cs="Times New Roman"/>
                <w:sz w:val="24"/>
                <w:lang w:eastAsia="zh-CN"/>
              </w:rPr>
            </w:pPr>
          </w:p>
          <w:p>
            <w:pPr>
              <w:rPr>
                <w:rFonts w:hint="eastAsia" w:ascii="Times New Roman" w:hAnsi="Times New Roman" w:cs="Times New Roman"/>
                <w:sz w:val="24"/>
                <w:lang w:eastAsia="zh-CN"/>
              </w:rPr>
            </w:pPr>
          </w:p>
          <w:p>
            <w:pPr>
              <w:rPr>
                <w:rFonts w:hint="eastAsia" w:ascii="Times New Roman" w:hAnsi="Times New Roman" w:cs="Times New Roman"/>
                <w:sz w:val="24"/>
                <w:lang w:eastAsia="zh-CN"/>
              </w:rPr>
            </w:pPr>
          </w:p>
          <w:p>
            <w:pPr>
              <w:rPr>
                <w:rFonts w:hint="eastAsia" w:ascii="Times New Roman" w:hAnsi="Times New Roman" w:cs="Times New Roman"/>
                <w:sz w:val="24"/>
                <w:lang w:eastAsia="zh-CN"/>
              </w:rPr>
            </w:pPr>
          </w:p>
          <w:p>
            <w:pPr>
              <w:rPr>
                <w:rFonts w:hint="eastAsia" w:ascii="Times New Roman" w:hAnsi="Times New Roman" w:cs="Times New Roman"/>
                <w:sz w:val="24"/>
                <w:lang w:eastAsia="zh-CN"/>
              </w:rPr>
            </w:pPr>
          </w:p>
          <w:p>
            <w:pPr>
              <w:rPr>
                <w:rFonts w:hint="eastAsia" w:ascii="Times New Roman" w:hAnsi="Times New Roman" w:cs="Times New Roman"/>
                <w:sz w:val="24"/>
                <w:lang w:eastAsia="zh-CN"/>
              </w:rPr>
            </w:pPr>
          </w:p>
          <w:p>
            <w:pPr>
              <w:rPr>
                <w:rFonts w:hint="eastAsia" w:ascii="Times New Roman" w:hAnsi="Times New Roman" w:cs="Times New Roman"/>
                <w:sz w:val="24"/>
                <w:lang w:eastAsia="zh-CN"/>
              </w:rPr>
            </w:pPr>
            <w:r>
              <w:rPr>
                <w:rFonts w:hint="default" w:ascii="Times New Roman" w:hAnsi="Times New Roman" w:eastAsia="宋体" w:cs="Times New Roman"/>
                <w:sz w:val="24"/>
              </w:rPr>
              <mc:AlternateContent>
                <mc:Choice Requires="wps">
                  <w:drawing>
                    <wp:anchor distT="0" distB="0" distL="114300" distR="114300" simplePos="0" relativeHeight="251723776" behindDoc="0" locked="0" layoutInCell="1" allowOverlap="1">
                      <wp:simplePos x="0" y="0"/>
                      <wp:positionH relativeFrom="column">
                        <wp:posOffset>2800985</wp:posOffset>
                      </wp:positionH>
                      <wp:positionV relativeFrom="paragraph">
                        <wp:posOffset>31750</wp:posOffset>
                      </wp:positionV>
                      <wp:extent cx="1165860" cy="249555"/>
                      <wp:effectExtent l="0" t="0" r="0" b="0"/>
                      <wp:wrapNone/>
                      <wp:docPr id="91" name="文本框 205"/>
                      <wp:cNvGraphicFramePr/>
                      <a:graphic xmlns:a="http://schemas.openxmlformats.org/drawingml/2006/main">
                        <a:graphicData uri="http://schemas.microsoft.com/office/word/2010/wordprocessingShape">
                          <wps:wsp>
                            <wps:cNvSpPr txBox="1"/>
                            <wps:spPr>
                              <a:xfrm>
                                <a:off x="0" y="0"/>
                                <a:ext cx="1165860" cy="249555"/>
                              </a:xfrm>
                              <a:prstGeom prst="rect">
                                <a:avLst/>
                              </a:prstGeom>
                              <a:noFill/>
                              <a:ln>
                                <a:noFill/>
                              </a:ln>
                            </wps:spPr>
                            <wps:txbx>
                              <w:txbxContent>
                                <w:p>
                                  <w:pPr>
                                    <w:jc w:val="left"/>
                                    <w:rPr>
                                      <w:rFonts w:hint="default" w:eastAsia="宋体"/>
                                      <w:lang w:val="en-US" w:eastAsia="zh-CN"/>
                                    </w:rPr>
                                  </w:pPr>
                                  <w:r>
                                    <w:rPr>
                                      <w:rFonts w:hint="eastAsia"/>
                                      <w:lang w:val="en-US" w:eastAsia="zh-CN"/>
                                    </w:rPr>
                                    <w:t>损耗1026.745</w:t>
                                  </w:r>
                                </w:p>
                              </w:txbxContent>
                            </wps:txbx>
                            <wps:bodyPr upright="1"/>
                          </wps:wsp>
                        </a:graphicData>
                      </a:graphic>
                    </wp:anchor>
                  </w:drawing>
                </mc:Choice>
                <mc:Fallback>
                  <w:pict>
                    <v:shape id="文本框 205" o:spid="_x0000_s1026" o:spt="202" type="#_x0000_t202" style="position:absolute;left:0pt;margin-left:220.55pt;margin-top:2.5pt;height:19.65pt;width:91.8pt;z-index:251723776;mso-width-relative:page;mso-height-relative:page;" filled="f" stroked="f" coordsize="21600,21600" o:gfxdata="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UbDFdUA&#10;AAAIAQAADwAAAAAAAAABACAAAAAiAAAAZHJzL2Rvd25yZXYueG1sUEsBAhQAFAAAAAgAh07iQJz0&#10;SEewAQAAUQMAAA4AAAAAAAAAAQAgAAAAJAEAAGRycy9lMm9Eb2MueG1sUEsFBgAAAAAGAAYAWQEA&#10;AEYFAAAAAA==&#10;">
                      <v:fill on="f" focussize="0,0"/>
                      <v:stroke on="f"/>
                      <v:imagedata o:title=""/>
                      <o:lock v:ext="edit" aspectratio="f"/>
                      <v:textbox>
                        <w:txbxContent>
                          <w:p>
                            <w:pPr>
                              <w:jc w:val="left"/>
                              <w:rPr>
                                <w:rFonts w:hint="default" w:eastAsia="宋体"/>
                                <w:lang w:val="en-US" w:eastAsia="zh-CN"/>
                              </w:rPr>
                            </w:pPr>
                            <w:r>
                              <w:rPr>
                                <w:rFonts w:hint="eastAsia"/>
                                <w:lang w:val="en-US" w:eastAsia="zh-CN"/>
                              </w:rPr>
                              <w:t>损耗1026.745</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39136" behindDoc="0" locked="0" layoutInCell="1" allowOverlap="1">
                      <wp:simplePos x="0" y="0"/>
                      <wp:positionH relativeFrom="column">
                        <wp:posOffset>2919730</wp:posOffset>
                      </wp:positionH>
                      <wp:positionV relativeFrom="paragraph">
                        <wp:posOffset>844550</wp:posOffset>
                      </wp:positionV>
                      <wp:extent cx="1165860" cy="249555"/>
                      <wp:effectExtent l="0" t="0" r="0" b="0"/>
                      <wp:wrapNone/>
                      <wp:docPr id="106" name="文本框 222"/>
                      <wp:cNvGraphicFramePr/>
                      <a:graphic xmlns:a="http://schemas.openxmlformats.org/drawingml/2006/main">
                        <a:graphicData uri="http://schemas.microsoft.com/office/word/2010/wordprocessingShape">
                          <wps:wsp>
                            <wps:cNvSpPr txBox="1"/>
                            <wps:spPr>
                              <a:xfrm>
                                <a:off x="0" y="0"/>
                                <a:ext cx="1165860" cy="249555"/>
                              </a:xfrm>
                              <a:prstGeom prst="rect">
                                <a:avLst/>
                              </a:prstGeom>
                              <a:noFill/>
                              <a:ln>
                                <a:noFill/>
                              </a:ln>
                            </wps:spPr>
                            <wps:txbx>
                              <w:txbxContent>
                                <w:p>
                                  <w:pPr>
                                    <w:jc w:val="left"/>
                                    <w:rPr>
                                      <w:rFonts w:hint="default" w:eastAsia="宋体"/>
                                      <w:lang w:val="en-US" w:eastAsia="zh-CN"/>
                                    </w:rPr>
                                  </w:pPr>
                                  <w:r>
                                    <w:rPr>
                                      <w:rFonts w:hint="eastAsia"/>
                                      <w:lang w:val="en-US" w:eastAsia="zh-CN"/>
                                    </w:rPr>
                                    <w:t>损耗81.72</w:t>
                                  </w:r>
                                </w:p>
                              </w:txbxContent>
                            </wps:txbx>
                            <wps:bodyPr upright="1"/>
                          </wps:wsp>
                        </a:graphicData>
                      </a:graphic>
                    </wp:anchor>
                  </w:drawing>
                </mc:Choice>
                <mc:Fallback>
                  <w:pict>
                    <v:shape id="文本框 222" o:spid="_x0000_s1026" o:spt="202" type="#_x0000_t202" style="position:absolute;left:0pt;margin-left:229.9pt;margin-top:66.5pt;height:19.65pt;width:91.8pt;z-index:251739136;mso-width-relative:page;mso-height-relative:page;" filled="f" stroked="f" coordsize="21600,21600" o:gfxdata="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4RLMi&#10;2AAAAAsBAAAPAAAAAAAAAAEAIAAAACIAAABkcnMvZG93bnJldi54bWxQSwECFAAUAAAACACHTuJA&#10;M2z5Zq8BAABSAwAADgAAAAAAAAABACAAAAAnAQAAZHJzL2Uyb0RvYy54bWxQSwUGAAAAAAYABgBZ&#10;AQAASAUAAAAA&#10;">
                      <v:fill on="f" focussize="0,0"/>
                      <v:stroke on="f"/>
                      <v:imagedata o:title=""/>
                      <o:lock v:ext="edit" aspectratio="f"/>
                      <v:textbox>
                        <w:txbxContent>
                          <w:p>
                            <w:pPr>
                              <w:jc w:val="left"/>
                              <w:rPr>
                                <w:rFonts w:hint="default" w:eastAsia="宋体"/>
                                <w:lang w:val="en-US" w:eastAsia="zh-CN"/>
                              </w:rPr>
                            </w:pPr>
                            <w:r>
                              <w:rPr>
                                <w:rFonts w:hint="eastAsia"/>
                                <w:lang w:val="en-US" w:eastAsia="zh-CN"/>
                              </w:rPr>
                              <w:t>损耗81.72</w:t>
                            </w:r>
                          </w:p>
                        </w:txbxContent>
                      </v:textbox>
                    </v:shap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738112" behindDoc="0" locked="0" layoutInCell="1" allowOverlap="1">
                      <wp:simplePos x="0" y="0"/>
                      <wp:positionH relativeFrom="column">
                        <wp:posOffset>2366645</wp:posOffset>
                      </wp:positionH>
                      <wp:positionV relativeFrom="paragraph">
                        <wp:posOffset>140335</wp:posOffset>
                      </wp:positionV>
                      <wp:extent cx="415290" cy="293370"/>
                      <wp:effectExtent l="2540" t="0" r="1270" b="11430"/>
                      <wp:wrapNone/>
                      <wp:docPr id="105" name="直线 221"/>
                      <wp:cNvGraphicFramePr/>
                      <a:graphic xmlns:a="http://schemas.openxmlformats.org/drawingml/2006/main">
                        <a:graphicData uri="http://schemas.microsoft.com/office/word/2010/wordprocessingShape">
                          <wps:wsp>
                            <wps:cNvCnPr/>
                            <wps:spPr>
                              <a:xfrm flipV="1">
                                <a:off x="0" y="0"/>
                                <a:ext cx="415290" cy="2933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21" o:spid="_x0000_s1026" o:spt="20" style="position:absolute;left:0pt;flip:y;margin-left:186.35pt;margin-top:11.05pt;height:23.1pt;width:32.7pt;z-index:251738112;mso-width-relative:page;mso-height-relative:page;" filled="f" stroked="t" coordsize="21600,21600" o:gfxdata="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Dh5M2QAAAAkBAAAPAAAAAAAAAAEAIAAAACIAAABkcnMvZG93bnJl&#10;di54bWxQSwECFAAUAAAACACHTuJAA3Cfl/wBAADuAwAADgAAAAAAAAABACAAAAAoAQAAZHJzL2Uy&#10;b0RvYy54bWxQSwUGAAAAAAYABgBZAQAAlgUAAAAA&#10;">
                      <v:fill on="f" focussize="0,0"/>
                      <v:stroke color="#000000" joinstyle="round" endarrow="open"/>
                      <v:imagedata o:title=""/>
                      <o:lock v:ext="edit" aspectratio="f"/>
                    </v:line>
                  </w:pict>
                </mc:Fallback>
              </mc:AlternateContent>
            </w:r>
          </w:p>
          <w:p>
            <w:pPr>
              <w:pStyle w:val="42"/>
              <w:rPr>
                <w:rFonts w:hint="eastAsia"/>
                <w:lang w:eastAsia="zh-CN"/>
              </w:rPr>
            </w:pPr>
            <w:r>
              <w:rPr>
                <w:rFonts w:hint="default" w:ascii="Times New Roman" w:hAnsi="Times New Roman" w:eastAsia="宋体" w:cs="Times New Roman"/>
                <w:sz w:val="24"/>
              </w:rPr>
              <mc:AlternateContent>
                <mc:Choice Requires="wps">
                  <w:drawing>
                    <wp:anchor distT="0" distB="0" distL="114300" distR="114300" simplePos="0" relativeHeight="251742208" behindDoc="0" locked="0" layoutInCell="1" allowOverlap="1">
                      <wp:simplePos x="0" y="0"/>
                      <wp:positionH relativeFrom="column">
                        <wp:posOffset>3432175</wp:posOffset>
                      </wp:positionH>
                      <wp:positionV relativeFrom="paragraph">
                        <wp:posOffset>123190</wp:posOffset>
                      </wp:positionV>
                      <wp:extent cx="741045" cy="249555"/>
                      <wp:effectExtent l="0" t="0" r="0" b="0"/>
                      <wp:wrapNone/>
                      <wp:docPr id="109" name="文本框 225"/>
                      <wp:cNvGraphicFramePr/>
                      <a:graphic xmlns:a="http://schemas.openxmlformats.org/drawingml/2006/main">
                        <a:graphicData uri="http://schemas.microsoft.com/office/word/2010/wordprocessingShape">
                          <wps:wsp>
                            <wps:cNvSpPr txBox="1"/>
                            <wps:spPr>
                              <a:xfrm>
                                <a:off x="0" y="0"/>
                                <a:ext cx="741045" cy="249555"/>
                              </a:xfrm>
                              <a:prstGeom prst="rect">
                                <a:avLst/>
                              </a:prstGeom>
                              <a:noFill/>
                              <a:ln>
                                <a:noFill/>
                              </a:ln>
                            </wps:spPr>
                            <wps:txbx>
                              <w:txbxContent>
                                <w:p>
                                  <w:pPr>
                                    <w:rPr>
                                      <w:rFonts w:hint="default"/>
                                      <w:lang w:val="en-US" w:eastAsia="zh-CN"/>
                                    </w:rPr>
                                  </w:pPr>
                                  <w:r>
                                    <w:rPr>
                                      <w:rFonts w:hint="eastAsia" w:cs="Times New Roman"/>
                                      <w:sz w:val="21"/>
                                      <w:szCs w:val="21"/>
                                      <w:lang w:val="en-US" w:eastAsia="zh-CN"/>
                                    </w:rPr>
                                    <w:t>4106.98</w:t>
                                  </w:r>
                                </w:p>
                              </w:txbxContent>
                            </wps:txbx>
                            <wps:bodyPr upright="1"/>
                          </wps:wsp>
                        </a:graphicData>
                      </a:graphic>
                    </wp:anchor>
                  </w:drawing>
                </mc:Choice>
                <mc:Fallback>
                  <w:pict>
                    <v:shape id="文本框 225" o:spid="_x0000_s1026" o:spt="202" type="#_x0000_t202" style="position:absolute;left:0pt;margin-left:270.25pt;margin-top:9.7pt;height:19.65pt;width:58.35pt;z-index:251742208;mso-width-relative:page;mso-height-relative:page;" filled="f" stroked="f" coordsize="21600,21600" o:gfxdata="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P9XsbW&#10;AAAACQEAAA8AAAAAAAAAAQAgAAAAIgAAAGRycy9kb3ducmV2LnhtbFBLAQIUABQAAAAIAIdO4kAa&#10;LaVFsAEAAFEDAAAOAAAAAAAAAAEAIAAAACUBAABkcnMvZTJvRG9jLnhtbFBLBQYAAAAABgAGAFkB&#10;AABHBQAAAAA=&#10;">
                      <v:fill on="f" focussize="0,0"/>
                      <v:stroke on="f"/>
                      <v:imagedata o:title=""/>
                      <o:lock v:ext="edit" aspectratio="f"/>
                      <v:textbox>
                        <w:txbxContent>
                          <w:p>
                            <w:pPr>
                              <w:rPr>
                                <w:rFonts w:hint="default"/>
                                <w:lang w:val="en-US" w:eastAsia="zh-CN"/>
                              </w:rPr>
                            </w:pPr>
                            <w:r>
                              <w:rPr>
                                <w:rFonts w:hint="eastAsia" w:cs="Times New Roman"/>
                                <w:sz w:val="21"/>
                                <w:szCs w:val="21"/>
                                <w:lang w:val="en-US" w:eastAsia="zh-CN"/>
                              </w:rPr>
                              <w:t>4106.98</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41184" behindDoc="0" locked="0" layoutInCell="1" allowOverlap="1">
                      <wp:simplePos x="0" y="0"/>
                      <wp:positionH relativeFrom="column">
                        <wp:posOffset>1225550</wp:posOffset>
                      </wp:positionH>
                      <wp:positionV relativeFrom="paragraph">
                        <wp:posOffset>51435</wp:posOffset>
                      </wp:positionV>
                      <wp:extent cx="717550" cy="249555"/>
                      <wp:effectExtent l="0" t="0" r="0" b="0"/>
                      <wp:wrapNone/>
                      <wp:docPr id="108" name="文本框 224"/>
                      <wp:cNvGraphicFramePr/>
                      <a:graphic xmlns:a="http://schemas.openxmlformats.org/drawingml/2006/main">
                        <a:graphicData uri="http://schemas.microsoft.com/office/word/2010/wordprocessingShape">
                          <wps:wsp>
                            <wps:cNvSpPr txBox="1"/>
                            <wps:spPr>
                              <a:xfrm>
                                <a:off x="0" y="0"/>
                                <a:ext cx="717550" cy="249555"/>
                              </a:xfrm>
                              <a:prstGeom prst="rect">
                                <a:avLst/>
                              </a:prstGeom>
                              <a:noFill/>
                              <a:ln>
                                <a:noFill/>
                              </a:ln>
                            </wps:spPr>
                            <wps:txbx>
                              <w:txbxContent>
                                <w:p>
                                  <w:pPr>
                                    <w:rPr>
                                      <w:rFonts w:hint="default" w:eastAsia="宋体"/>
                                      <w:lang w:val="en-US" w:eastAsia="zh-CN"/>
                                    </w:rPr>
                                  </w:pPr>
                                  <w:r>
                                    <w:rPr>
                                      <w:rFonts w:hint="eastAsia"/>
                                      <w:lang w:val="en-US" w:eastAsia="zh-CN"/>
                                    </w:rPr>
                                    <w:t>5133.725</w:t>
                                  </w:r>
                                </w:p>
                              </w:txbxContent>
                            </wps:txbx>
                            <wps:bodyPr upright="1"/>
                          </wps:wsp>
                        </a:graphicData>
                      </a:graphic>
                    </wp:anchor>
                  </w:drawing>
                </mc:Choice>
                <mc:Fallback>
                  <w:pict>
                    <v:shape id="文本框 224" o:spid="_x0000_s1026" o:spt="202" type="#_x0000_t202" style="position:absolute;left:0pt;margin-left:96.5pt;margin-top:4.05pt;height:19.65pt;width:56.5pt;z-index:251741184;mso-width-relative:page;mso-height-relative:page;" filled="f" stroked="f" coordsize="21600,21600" o:gfxdata="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p+FZnVAAAA&#10;CAEAAA8AAAAAAAAAAQAgAAAAIgAAAGRycy9kb3ducmV2LnhtbFBLAQIUABQAAAAIAIdO4kDrHlWZ&#10;rgEAAFEDAAAOAAAAAAAAAAEAIAAAACQBAABkcnMvZTJvRG9jLnhtbFBLBQYAAAAABgAGAFkBAABE&#10;BQAAAAA=&#10;">
                      <v:fill on="f" focussize="0,0"/>
                      <v:stroke on="f"/>
                      <v:imagedata o:title=""/>
                      <o:lock v:ext="edit" aspectratio="f"/>
                      <v:textbox>
                        <w:txbxContent>
                          <w:p>
                            <w:pPr>
                              <w:rPr>
                                <w:rFonts w:hint="default" w:eastAsia="宋体"/>
                                <w:lang w:val="en-US" w:eastAsia="zh-CN"/>
                              </w:rPr>
                            </w:pPr>
                            <w:r>
                              <w:rPr>
                                <w:rFonts w:hint="eastAsia"/>
                                <w:lang w:val="en-US" w:eastAsia="zh-CN"/>
                              </w:rPr>
                              <w:t>5133.725</w:t>
                            </w:r>
                          </w:p>
                        </w:txbxContent>
                      </v:textbox>
                    </v:shape>
                  </w:pict>
                </mc:Fallback>
              </mc:AlternateContent>
            </w:r>
          </w:p>
          <w:p>
            <w:pPr>
              <w:pStyle w:val="13"/>
              <w:rPr>
                <w:rFonts w:hint="eastAsia" w:ascii="Times New Roman" w:hAnsi="Times New Roman" w:cs="Times New Roman"/>
                <w:sz w:val="24"/>
                <w:lang w:eastAsia="zh-CN"/>
              </w:rPr>
            </w:pPr>
            <w:r>
              <w:rPr>
                <w:rFonts w:hint="default" w:ascii="Times New Roman" w:hAnsi="Times New Roman" w:eastAsia="宋体" w:cs="Times New Roman"/>
                <w:sz w:val="24"/>
              </w:rPr>
              <mc:AlternateContent>
                <mc:Choice Requires="wps">
                  <w:drawing>
                    <wp:anchor distT="0" distB="0" distL="114300" distR="114300" simplePos="0" relativeHeight="251726848" behindDoc="0" locked="0" layoutInCell="1" allowOverlap="1">
                      <wp:simplePos x="0" y="0"/>
                      <wp:positionH relativeFrom="column">
                        <wp:posOffset>4286885</wp:posOffset>
                      </wp:positionH>
                      <wp:positionV relativeFrom="paragraph">
                        <wp:posOffset>174625</wp:posOffset>
                      </wp:positionV>
                      <wp:extent cx="5080" cy="1651000"/>
                      <wp:effectExtent l="4445" t="0" r="9525" b="6350"/>
                      <wp:wrapNone/>
                      <wp:docPr id="94" name="直线 208"/>
                      <wp:cNvGraphicFramePr/>
                      <a:graphic xmlns:a="http://schemas.openxmlformats.org/drawingml/2006/main">
                        <a:graphicData uri="http://schemas.microsoft.com/office/word/2010/wordprocessingShape">
                          <wps:wsp>
                            <wps:cNvCnPr/>
                            <wps:spPr>
                              <a:xfrm>
                                <a:off x="0" y="0"/>
                                <a:ext cx="5080" cy="165100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208" o:spid="_x0000_s1026" o:spt="20" style="position:absolute;left:0pt;margin-left:337.55pt;margin-top:13.75pt;height:130pt;width:0.4pt;z-index:251726848;mso-width-relative:page;mso-height-relative:page;" filled="f" stroked="t" coordsize="21600,21600" o:gfxdata="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1PL3vXAAAACgEAAA8AAAAAAAAAAQAgAAAAIgAAAGRycy9kb3ducmV2LnhtbFBLAQIUABQAAAAI&#10;AIdO4kA2gUHE7gEAAOEDAAAOAAAAAAAAAAEAIAAAACYBAABkcnMvZTJvRG9jLnhtbFBLBQYAAAAA&#10;BgAGAFkBAACGBQAAAAA=&#10;">
                      <v:fill on="f" focussize="0,0"/>
                      <v:stroke color="#000000" joinstyle="round"/>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40160" behindDoc="0" locked="0" layoutInCell="1" allowOverlap="1">
                      <wp:simplePos x="0" y="0"/>
                      <wp:positionH relativeFrom="column">
                        <wp:posOffset>2867025</wp:posOffset>
                      </wp:positionH>
                      <wp:positionV relativeFrom="paragraph">
                        <wp:posOffset>161290</wp:posOffset>
                      </wp:positionV>
                      <wp:extent cx="1449070" cy="8255"/>
                      <wp:effectExtent l="0" t="48895" r="17780" b="57150"/>
                      <wp:wrapNone/>
                      <wp:docPr id="107" name="直线 223"/>
                      <wp:cNvGraphicFramePr/>
                      <a:graphic xmlns:a="http://schemas.openxmlformats.org/drawingml/2006/main">
                        <a:graphicData uri="http://schemas.microsoft.com/office/word/2010/wordprocessingShape">
                          <wps:wsp>
                            <wps:cNvCnPr/>
                            <wps:spPr>
                              <a:xfrm flipV="1">
                                <a:off x="0" y="0"/>
                                <a:ext cx="1449070" cy="82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23" o:spid="_x0000_s1026" o:spt="20" style="position:absolute;left:0pt;flip:y;margin-left:225.75pt;margin-top:12.7pt;height:0.65pt;width:114.1pt;z-index:251740160;mso-width-relative:page;mso-height-relative:page;" filled="f" stroked="t" coordsize="21600,21600" o:gfxdata="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qIw9NkAAAAJAQAADwAAAAAAAAABACAAAAAiAAAAZHJzL2Rvd25yZXYu&#10;eG1sUEsBAhQAFAAAAAgAh07iQEv+W/f6AQAA7QMAAA4AAAAAAAAAAQAgAAAAKAEAAGRycy9lMm9E&#10;b2MueG1sUEsFBgAAAAAGAAYAWQEAAJQFAAAAAA==&#10;">
                      <v:fill on="f" focussize="0,0"/>
                      <v:stroke color="#000000" joinstyle="round" endarrow="open"/>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37088" behindDoc="0" locked="0" layoutInCell="1" allowOverlap="1">
                      <wp:simplePos x="0" y="0"/>
                      <wp:positionH relativeFrom="column">
                        <wp:posOffset>1942465</wp:posOffset>
                      </wp:positionH>
                      <wp:positionV relativeFrom="paragraph">
                        <wp:posOffset>11430</wp:posOffset>
                      </wp:positionV>
                      <wp:extent cx="918210" cy="295275"/>
                      <wp:effectExtent l="4445" t="4445" r="10795" b="5080"/>
                      <wp:wrapNone/>
                      <wp:docPr id="104" name="矩形 220"/>
                      <wp:cNvGraphicFramePr/>
                      <a:graphic xmlns:a="http://schemas.openxmlformats.org/drawingml/2006/main">
                        <a:graphicData uri="http://schemas.microsoft.com/office/word/2010/wordprocessingShape">
                          <wps:wsp>
                            <wps:cNvSpPr/>
                            <wps:spPr>
                              <a:xfrm>
                                <a:off x="0" y="0"/>
                                <a:ext cx="91821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eastAsia="zh-CN"/>
                                    </w:rPr>
                                    <w:t>医疗用水</w:t>
                                  </w:r>
                                </w:p>
                              </w:txbxContent>
                            </wps:txbx>
                            <wps:bodyPr upright="1"/>
                          </wps:wsp>
                        </a:graphicData>
                      </a:graphic>
                    </wp:anchor>
                  </w:drawing>
                </mc:Choice>
                <mc:Fallback>
                  <w:pict>
                    <v:rect id="矩形 220" o:spid="_x0000_s1026" o:spt="1" style="position:absolute;left:0pt;margin-left:152.95pt;margin-top:0.9pt;height:23.25pt;width:72.3pt;z-index:251737088;mso-width-relative:page;mso-height-relative:page;" fillcolor="#FFFFFF" filled="t" stroked="t" coordsize="21600,21600" o:gfxdata="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FdfrPWAAAACAEAAA8AAAAAAAAAAQAgAAAAIgAAAGRycy9kb3du&#10;cmV2LnhtbFBLAQIUABQAAAAIAIdO4kDYAJOiAQIAACwEAAAOAAAAAAAAAAEAIAAAACUBAABkcnMv&#10;ZTJvRG9jLnhtbFBLBQYAAAAABgAGAFkBAACYBQAAAAA=&#10;">
                      <v:fill on="t" focussize="0,0"/>
                      <v:stroke color="#000000" joinstyle="miter"/>
                      <v:imagedata o:title=""/>
                      <o:lock v:ext="edit" aspectratio="f"/>
                      <v:textbox>
                        <w:txbxContent>
                          <w:p>
                            <w:pPr>
                              <w:jc w:val="center"/>
                              <w:rPr>
                                <w:rFonts w:hint="default" w:eastAsia="宋体"/>
                                <w:lang w:val="en-US" w:eastAsia="zh-CN"/>
                              </w:rPr>
                            </w:pPr>
                            <w:r>
                              <w:rPr>
                                <w:rFonts w:hint="eastAsia"/>
                                <w:lang w:eastAsia="zh-CN"/>
                              </w:rPr>
                              <w:t>医疗用水</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36064" behindDoc="0" locked="0" layoutInCell="1" allowOverlap="1">
                      <wp:simplePos x="0" y="0"/>
                      <wp:positionH relativeFrom="column">
                        <wp:posOffset>1276350</wp:posOffset>
                      </wp:positionH>
                      <wp:positionV relativeFrom="paragraph">
                        <wp:posOffset>147320</wp:posOffset>
                      </wp:positionV>
                      <wp:extent cx="654050" cy="635"/>
                      <wp:effectExtent l="0" t="48895" r="12700" b="64770"/>
                      <wp:wrapNone/>
                      <wp:docPr id="103" name="直线 219"/>
                      <wp:cNvGraphicFramePr/>
                      <a:graphic xmlns:a="http://schemas.openxmlformats.org/drawingml/2006/main">
                        <a:graphicData uri="http://schemas.microsoft.com/office/word/2010/wordprocessingShape">
                          <wps:wsp>
                            <wps:cNvCnPr/>
                            <wps:spPr>
                              <a:xfrm flipV="1">
                                <a:off x="0" y="0"/>
                                <a:ext cx="6540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19" o:spid="_x0000_s1026" o:spt="20" style="position:absolute;left:0pt;flip:y;margin-left:100.5pt;margin-top:11.6pt;height:0.05pt;width:51.5pt;z-index:251736064;mso-width-relative:page;mso-height-relative:page;" filled="f" stroked="t" coordsize="21600,21600" o:gfxdata="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WIDzZ1wAAAAkBAAAPAAAAAAAAAAEAIAAAACIAAABkcnMvZG93bnJldi54bWxQ&#10;SwECFAAUAAAACACHTuJAi1aI2vgBAADrAwAADgAAAAAAAAABACAAAAAmAQAAZHJzL2Uyb0RvYy54&#10;bWxQSwUGAAAAAAYABgBZAQAAkAUAAAAA&#10;">
                      <v:fill on="f" focussize="0,0"/>
                      <v:stroke color="#000000" joinstyle="round" endarrow="open"/>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2336" behindDoc="0" locked="0" layoutInCell="1" allowOverlap="1">
                      <wp:simplePos x="0" y="0"/>
                      <wp:positionH relativeFrom="column">
                        <wp:posOffset>1288415</wp:posOffset>
                      </wp:positionH>
                      <wp:positionV relativeFrom="paragraph">
                        <wp:posOffset>132715</wp:posOffset>
                      </wp:positionV>
                      <wp:extent cx="12065" cy="3270885"/>
                      <wp:effectExtent l="4445" t="0" r="21590" b="5715"/>
                      <wp:wrapNone/>
                      <wp:docPr id="3" name="直线 73"/>
                      <wp:cNvGraphicFramePr/>
                      <a:graphic xmlns:a="http://schemas.openxmlformats.org/drawingml/2006/main">
                        <a:graphicData uri="http://schemas.microsoft.com/office/word/2010/wordprocessingShape">
                          <wps:wsp>
                            <wps:cNvCnPr/>
                            <wps:spPr>
                              <a:xfrm>
                                <a:off x="0" y="0"/>
                                <a:ext cx="12065" cy="32708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3" o:spid="_x0000_s1026" o:spt="20" style="position:absolute;left:0pt;margin-left:101.45pt;margin-top:10.45pt;height:257.55pt;width:0.95pt;z-index:251662336;mso-width-relative:page;mso-height-relative:page;" filled="f" stroked="t" coordsize="21600,21600" o:gfxdata="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5&#10;dGfY1wAAAAoBAAAPAAAAAAAAAAEAIAAAACIAAABkcnMvZG93bnJldi54bWxQSwECFAAUAAAACACH&#10;TuJAfW8X2OwBAADgAwAADgAAAAAAAAABACAAAAAmAQAAZHJzL2Uyb0RvYy54bWxQSwUGAAAAAAYA&#10;BgBZAQAAhAUAAAAA&#10;">
                      <v:fill on="f" focussize="0,0"/>
                      <v:stroke color="#000000" joinstyle="round"/>
                      <v:imagedata o:title=""/>
                      <o:lock v:ext="edit" aspectratio="f"/>
                    </v:lin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722752" behindDoc="0" locked="0" layoutInCell="1" allowOverlap="1">
                      <wp:simplePos x="0" y="0"/>
                      <wp:positionH relativeFrom="column">
                        <wp:posOffset>2315845</wp:posOffset>
                      </wp:positionH>
                      <wp:positionV relativeFrom="paragraph">
                        <wp:posOffset>403225</wp:posOffset>
                      </wp:positionV>
                      <wp:extent cx="415290" cy="293370"/>
                      <wp:effectExtent l="2540" t="0" r="1270" b="11430"/>
                      <wp:wrapNone/>
                      <wp:docPr id="90" name="直线 204"/>
                      <wp:cNvGraphicFramePr/>
                      <a:graphic xmlns:a="http://schemas.openxmlformats.org/drawingml/2006/main">
                        <a:graphicData uri="http://schemas.microsoft.com/office/word/2010/wordprocessingShape">
                          <wps:wsp>
                            <wps:cNvCnPr/>
                            <wps:spPr>
                              <a:xfrm flipV="1">
                                <a:off x="0" y="0"/>
                                <a:ext cx="415290" cy="2933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04" o:spid="_x0000_s1026" o:spt="20" style="position:absolute;left:0pt;flip:y;margin-left:182.35pt;margin-top:31.75pt;height:23.1pt;width:32.7pt;z-index:251722752;mso-width-relative:page;mso-height-relative:page;" filled="f" stroked="t" coordsize="21600,21600" o:gfxdata="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H6f1K2QAAAAoBAAAPAAAAAAAAAAEAIAAAACIAAABkcnMvZG93bnJl&#10;di54bWxQSwECFAAUAAAACACHTuJAZOVQnPwBAADtAwAADgAAAAAAAAABACAAAAAoAQAAZHJzL2Uy&#10;b0RvYy54bWxQSwUGAAAAAAYABgBZAQAAlgUAAAAA&#10;">
                      <v:fill on="f" focussize="0,0"/>
                      <v:stroke color="#000000" joinstyle="round" endarrow="open"/>
                      <v:imagedata o:title=""/>
                      <o:lock v:ext="edit" aspectratio="f"/>
                    </v:line>
                  </w:pict>
                </mc:Fallback>
              </mc:AlternateContent>
            </w:r>
          </w:p>
          <w:p>
            <w:pPr>
              <w:pStyle w:val="13"/>
              <w:rPr>
                <w:rFonts w:hint="eastAsia" w:ascii="Times New Roman" w:hAnsi="Times New Roman" w:cs="Times New Roman"/>
                <w:sz w:val="24"/>
                <w:lang w:eastAsia="zh-CN"/>
              </w:rPr>
            </w:pPr>
            <w:r>
              <w:rPr>
                <w:rFonts w:hint="default" w:ascii="Times New Roman" w:hAnsi="Times New Roman" w:eastAsia="宋体" w:cs="Times New Roman"/>
                <w:sz w:val="24"/>
              </w:rPr>
              <mc:AlternateContent>
                <mc:Choice Requires="wps">
                  <w:drawing>
                    <wp:anchor distT="0" distB="0" distL="114300" distR="114300" simplePos="0" relativeHeight="251721728" behindDoc="0" locked="0" layoutInCell="1" allowOverlap="1">
                      <wp:simplePos x="0" y="0"/>
                      <wp:positionH relativeFrom="column">
                        <wp:posOffset>1403350</wp:posOffset>
                      </wp:positionH>
                      <wp:positionV relativeFrom="paragraph">
                        <wp:posOffset>148590</wp:posOffset>
                      </wp:positionV>
                      <wp:extent cx="717550" cy="249555"/>
                      <wp:effectExtent l="0" t="0" r="0" b="0"/>
                      <wp:wrapNone/>
                      <wp:docPr id="89" name="文本框 203"/>
                      <wp:cNvGraphicFramePr/>
                      <a:graphic xmlns:a="http://schemas.openxmlformats.org/drawingml/2006/main">
                        <a:graphicData uri="http://schemas.microsoft.com/office/word/2010/wordprocessingShape">
                          <wps:wsp>
                            <wps:cNvSpPr txBox="1"/>
                            <wps:spPr>
                              <a:xfrm>
                                <a:off x="0" y="0"/>
                                <a:ext cx="717550" cy="249555"/>
                              </a:xfrm>
                              <a:prstGeom prst="rect">
                                <a:avLst/>
                              </a:prstGeom>
                              <a:noFill/>
                              <a:ln>
                                <a:noFill/>
                              </a:ln>
                            </wps:spPr>
                            <wps:txbx>
                              <w:txbxContent>
                                <w:p>
                                  <w:pPr>
                                    <w:rPr>
                                      <w:rFonts w:hint="default" w:eastAsia="宋体"/>
                                      <w:lang w:val="en-US" w:eastAsia="zh-CN"/>
                                    </w:rPr>
                                  </w:pPr>
                                  <w:r>
                                    <w:rPr>
                                      <w:rFonts w:hint="eastAsia"/>
                                      <w:lang w:val="en-US" w:eastAsia="zh-CN"/>
                                    </w:rPr>
                                    <w:t>400</w:t>
                                  </w:r>
                                </w:p>
                              </w:txbxContent>
                            </wps:txbx>
                            <wps:bodyPr upright="1"/>
                          </wps:wsp>
                        </a:graphicData>
                      </a:graphic>
                    </wp:anchor>
                  </w:drawing>
                </mc:Choice>
                <mc:Fallback>
                  <w:pict>
                    <v:shape id="文本框 203" o:spid="_x0000_s1026" o:spt="202" type="#_x0000_t202" style="position:absolute;left:0pt;margin-left:110.5pt;margin-top:11.7pt;height:19.65pt;width:56.5pt;z-index:251721728;mso-width-relative:page;mso-height-relative:page;" filled="f" stroked="f" coordsize="21600,21600" o:gfxdata="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tMCh3X&#10;AAAACQEAAA8AAAAAAAAAAQAgAAAAIgAAAGRycy9kb3ducmV2LnhtbFBLAQIUABQAAAAIAIdO4kCF&#10;SchqrwEAAFADAAAOAAAAAAAAAAEAIAAAACYBAABkcnMvZTJvRG9jLnhtbFBLBQYAAAAABgAGAFkB&#10;AABHBQAAAAA=&#10;">
                      <v:fill on="f" focussize="0,0"/>
                      <v:stroke on="f"/>
                      <v:imagedata o:title=""/>
                      <o:lock v:ext="edit" aspectratio="f"/>
                      <v:textbox>
                        <w:txbxContent>
                          <w:p>
                            <w:pPr>
                              <w:rPr>
                                <w:rFonts w:hint="default" w:eastAsia="宋体"/>
                                <w:lang w:val="en-US" w:eastAsia="zh-CN"/>
                              </w:rPr>
                            </w:pPr>
                            <w:r>
                              <w:rPr>
                                <w:rFonts w:hint="eastAsia"/>
                                <w:lang w:val="en-US" w:eastAsia="zh-CN"/>
                              </w:rPr>
                              <w:t>400</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25824" behindDoc="0" locked="0" layoutInCell="1" allowOverlap="1">
                      <wp:simplePos x="0" y="0"/>
                      <wp:positionH relativeFrom="column">
                        <wp:posOffset>3567430</wp:posOffset>
                      </wp:positionH>
                      <wp:positionV relativeFrom="paragraph">
                        <wp:posOffset>151765</wp:posOffset>
                      </wp:positionV>
                      <wp:extent cx="741045" cy="249555"/>
                      <wp:effectExtent l="0" t="0" r="0" b="0"/>
                      <wp:wrapNone/>
                      <wp:docPr id="93" name="文本框 207"/>
                      <wp:cNvGraphicFramePr/>
                      <a:graphic xmlns:a="http://schemas.openxmlformats.org/drawingml/2006/main">
                        <a:graphicData uri="http://schemas.microsoft.com/office/word/2010/wordprocessingShape">
                          <wps:wsp>
                            <wps:cNvSpPr txBox="1"/>
                            <wps:spPr>
                              <a:xfrm>
                                <a:off x="0" y="0"/>
                                <a:ext cx="741045" cy="249555"/>
                              </a:xfrm>
                              <a:prstGeom prst="rect">
                                <a:avLst/>
                              </a:prstGeom>
                              <a:noFill/>
                              <a:ln>
                                <a:noFill/>
                              </a:ln>
                            </wps:spPr>
                            <wps:txbx>
                              <w:txbxContent>
                                <w:p>
                                  <w:pPr>
                                    <w:rPr>
                                      <w:rFonts w:hint="default"/>
                                      <w:lang w:val="en-US" w:eastAsia="zh-CN"/>
                                    </w:rPr>
                                  </w:pPr>
                                  <w:r>
                                    <w:rPr>
                                      <w:rFonts w:hint="eastAsia" w:cs="Times New Roman"/>
                                      <w:sz w:val="21"/>
                                      <w:szCs w:val="21"/>
                                      <w:lang w:val="en-US" w:eastAsia="zh-CN"/>
                                    </w:rPr>
                                    <w:t>318.28</w:t>
                                  </w:r>
                                </w:p>
                              </w:txbxContent>
                            </wps:txbx>
                            <wps:bodyPr upright="1"/>
                          </wps:wsp>
                        </a:graphicData>
                      </a:graphic>
                    </wp:anchor>
                  </w:drawing>
                </mc:Choice>
                <mc:Fallback>
                  <w:pict>
                    <v:shape id="文本框 207" o:spid="_x0000_s1026" o:spt="202" type="#_x0000_t202" style="position:absolute;left:0pt;margin-left:280.9pt;margin-top:11.95pt;height:19.65pt;width:58.35pt;z-index:251725824;mso-width-relative:page;mso-height-relative:page;" filled="f" stroked="f" coordsize="21600,21600" o:gfxdata="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8PSZu&#10;1wAAAAkBAAAPAAAAAAAAAAEAIAAAACIAAABkcnMvZG93bnJldi54bWxQSwECFAAUAAAACACHTuJA&#10;Liyi87ABAABQAwAADgAAAAAAAAABACAAAAAmAQAAZHJzL2Uyb0RvYy54bWxQSwUGAAAAAAYABgBZ&#10;AQAASAUAAAAA&#10;">
                      <v:fill on="f" focussize="0,0"/>
                      <v:stroke on="f"/>
                      <v:imagedata o:title=""/>
                      <o:lock v:ext="edit" aspectratio="f"/>
                      <v:textbox>
                        <w:txbxContent>
                          <w:p>
                            <w:pPr>
                              <w:rPr>
                                <w:rFonts w:hint="default"/>
                                <w:lang w:val="en-US" w:eastAsia="zh-CN"/>
                              </w:rPr>
                            </w:pPr>
                            <w:r>
                              <w:rPr>
                                <w:rFonts w:hint="eastAsia" w:cs="Times New Roman"/>
                                <w:sz w:val="21"/>
                                <w:szCs w:val="21"/>
                                <w:lang w:val="en-US" w:eastAsia="zh-CN"/>
                              </w:rPr>
                              <w:t>318.28</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24800" behindDoc="0" locked="0" layoutInCell="1" allowOverlap="1">
                      <wp:simplePos x="0" y="0"/>
                      <wp:positionH relativeFrom="column">
                        <wp:posOffset>2841625</wp:posOffset>
                      </wp:positionH>
                      <wp:positionV relativeFrom="paragraph">
                        <wp:posOffset>420370</wp:posOffset>
                      </wp:positionV>
                      <wp:extent cx="1449070" cy="8255"/>
                      <wp:effectExtent l="0" t="48895" r="17780" b="57150"/>
                      <wp:wrapNone/>
                      <wp:docPr id="92" name="直线 206"/>
                      <wp:cNvGraphicFramePr/>
                      <a:graphic xmlns:a="http://schemas.openxmlformats.org/drawingml/2006/main">
                        <a:graphicData uri="http://schemas.microsoft.com/office/word/2010/wordprocessingShape">
                          <wps:wsp>
                            <wps:cNvCnPr/>
                            <wps:spPr>
                              <a:xfrm flipV="1">
                                <a:off x="0" y="0"/>
                                <a:ext cx="1449070" cy="82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06" o:spid="_x0000_s1026" o:spt="20" style="position:absolute;left:0pt;flip:y;margin-left:223.75pt;margin-top:33.1pt;height:0.65pt;width:114.1pt;z-index:251724800;mso-width-relative:page;mso-height-relative:page;" filled="f" stroked="t" coordsize="21600,21600" o:gfxdata="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DULDTYAAAACQEAAA8AAAAAAAAAAQAgAAAAIgAAAGRycy9kb3ducmV2Lnht&#10;bFBLAQIUABQAAAAIAIdO4kCEuBHj+QEAAOwDAAAOAAAAAAAAAAEAIAAAACcBAABkcnMvZTJvRG9j&#10;LnhtbFBLBQYAAAAABgAGAFkBAACSBQAAAAA=&#10;">
                      <v:fill on="f" focussize="0,0"/>
                      <v:stroke color="#000000" joinstyle="round" endarrow="open"/>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20704" behindDoc="0" locked="0" layoutInCell="1" allowOverlap="1">
                      <wp:simplePos x="0" y="0"/>
                      <wp:positionH relativeFrom="column">
                        <wp:posOffset>1276350</wp:posOffset>
                      </wp:positionH>
                      <wp:positionV relativeFrom="paragraph">
                        <wp:posOffset>415290</wp:posOffset>
                      </wp:positionV>
                      <wp:extent cx="654050" cy="635"/>
                      <wp:effectExtent l="0" t="48895" r="12700" b="64770"/>
                      <wp:wrapNone/>
                      <wp:docPr id="88" name="直线 202"/>
                      <wp:cNvGraphicFramePr/>
                      <a:graphic xmlns:a="http://schemas.openxmlformats.org/drawingml/2006/main">
                        <a:graphicData uri="http://schemas.microsoft.com/office/word/2010/wordprocessingShape">
                          <wps:wsp>
                            <wps:cNvCnPr/>
                            <wps:spPr>
                              <a:xfrm flipV="1">
                                <a:off x="0" y="0"/>
                                <a:ext cx="6540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02" o:spid="_x0000_s1026" o:spt="20" style="position:absolute;left:0pt;flip:y;margin-left:100.5pt;margin-top:32.7pt;height:0.05pt;width:51.5pt;z-index:251720704;mso-width-relative:page;mso-height-relative:page;" filled="f" stroked="t" coordsize="21600,21600" o:gfxdata="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zGiPTXAAAACQEAAA8AAAAAAAAAAQAgAAAAIgAAAGRycy9kb3ducmV2LnhtbFBL&#10;AQIUABQAAAAIAIdO4kCNi+BD9wEAAOoDAAAOAAAAAAAAAAEAIAAAACYBAABkcnMvZTJvRG9jLnht&#10;bFBLBQYAAAAABgAGAFkBAACPBQAAAAA=&#10;">
                      <v:fill on="f" focussize="0,0"/>
                      <v:stroke color="#000000" joinstyle="round" endarrow="open"/>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19680" behindDoc="0" locked="0" layoutInCell="1" allowOverlap="1">
                      <wp:simplePos x="0" y="0"/>
                      <wp:positionH relativeFrom="column">
                        <wp:posOffset>1917065</wp:posOffset>
                      </wp:positionH>
                      <wp:positionV relativeFrom="paragraph">
                        <wp:posOffset>287655</wp:posOffset>
                      </wp:positionV>
                      <wp:extent cx="918210" cy="295275"/>
                      <wp:effectExtent l="4445" t="4445" r="10795" b="5080"/>
                      <wp:wrapNone/>
                      <wp:docPr id="87" name="矩形 201"/>
                      <wp:cNvGraphicFramePr/>
                      <a:graphic xmlns:a="http://schemas.openxmlformats.org/drawingml/2006/main">
                        <a:graphicData uri="http://schemas.microsoft.com/office/word/2010/wordprocessingShape">
                          <wps:wsp>
                            <wps:cNvSpPr/>
                            <wps:spPr>
                              <a:xfrm>
                                <a:off x="0" y="0"/>
                                <a:ext cx="91821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煎药</w:t>
                                  </w:r>
                                  <w:r>
                                    <w:rPr>
                                      <w:rFonts w:hint="eastAsia"/>
                                      <w:lang w:eastAsia="zh-CN"/>
                                    </w:rPr>
                                    <w:t>用水</w:t>
                                  </w:r>
                                </w:p>
                              </w:txbxContent>
                            </wps:txbx>
                            <wps:bodyPr upright="1"/>
                          </wps:wsp>
                        </a:graphicData>
                      </a:graphic>
                    </wp:anchor>
                  </w:drawing>
                </mc:Choice>
                <mc:Fallback>
                  <w:pict>
                    <v:rect id="矩形 201" o:spid="_x0000_s1026" o:spt="1" style="position:absolute;left:0pt;margin-left:150.95pt;margin-top:22.65pt;height:23.25pt;width:72.3pt;z-index:251719680;mso-width-relative:page;mso-height-relative:page;" fillcolor="#FFFFFF" filled="t" stroked="t" coordsize="21600,21600" o:gfxdata="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XSqBt2AAAAAkBAAAPAAAAAAAAAAEAIAAAACIAAABkcnMvZG93&#10;bnJldi54bWxQSwECFAAUAAAACACHTuJAD4xmSAACAAArBAAADgAAAAAAAAABACAAAAAnAQAAZHJz&#10;L2Uyb0RvYy54bWxQSwUGAAAAAAYABgBZAQAAmQU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煎药</w:t>
                            </w:r>
                            <w:r>
                              <w:rPr>
                                <w:rFonts w:hint="eastAsia"/>
                                <w:lang w:eastAsia="zh-CN"/>
                              </w:rPr>
                              <w:t>用水</w:t>
                            </w:r>
                          </w:p>
                        </w:txbxContent>
                      </v:textbox>
                    </v:rect>
                  </w:pict>
                </mc:Fallback>
              </mc:AlternateContent>
            </w:r>
          </w:p>
          <w:p>
            <w:pPr>
              <w:pStyle w:val="13"/>
              <w:rPr>
                <w:rFonts w:hint="eastAsia" w:ascii="Times New Roman" w:hAnsi="Times New Roman" w:cs="Times New Roman"/>
                <w:sz w:val="24"/>
                <w:lang w:eastAsia="zh-CN"/>
              </w:rPr>
            </w:pPr>
            <w:r>
              <w:rPr>
                <w:rFonts w:hint="default" w:ascii="Times New Roman" w:hAnsi="Times New Roman" w:eastAsia="宋体" w:cs="Times New Roman"/>
                <w:sz w:val="24"/>
              </w:rPr>
              <mc:AlternateContent>
                <mc:Choice Requires="wps">
                  <w:drawing>
                    <wp:anchor distT="0" distB="0" distL="114300" distR="114300" simplePos="0" relativeHeight="251676672" behindDoc="0" locked="0" layoutInCell="1" allowOverlap="1">
                      <wp:simplePos x="0" y="0"/>
                      <wp:positionH relativeFrom="column">
                        <wp:posOffset>2784475</wp:posOffset>
                      </wp:positionH>
                      <wp:positionV relativeFrom="paragraph">
                        <wp:posOffset>304800</wp:posOffset>
                      </wp:positionV>
                      <wp:extent cx="1165860" cy="249555"/>
                      <wp:effectExtent l="0" t="0" r="0" b="0"/>
                      <wp:wrapNone/>
                      <wp:docPr id="17" name="文本框 88"/>
                      <wp:cNvGraphicFramePr/>
                      <a:graphic xmlns:a="http://schemas.openxmlformats.org/drawingml/2006/main">
                        <a:graphicData uri="http://schemas.microsoft.com/office/word/2010/wordprocessingShape">
                          <wps:wsp>
                            <wps:cNvSpPr txBox="1"/>
                            <wps:spPr>
                              <a:xfrm>
                                <a:off x="0" y="0"/>
                                <a:ext cx="1165860" cy="249555"/>
                              </a:xfrm>
                              <a:prstGeom prst="rect">
                                <a:avLst/>
                              </a:prstGeom>
                              <a:noFill/>
                              <a:ln>
                                <a:noFill/>
                              </a:ln>
                            </wps:spPr>
                            <wps:txbx>
                              <w:txbxContent>
                                <w:p>
                                  <w:pPr>
                                    <w:jc w:val="left"/>
                                    <w:rPr>
                                      <w:rFonts w:hint="default" w:eastAsia="宋体"/>
                                      <w:lang w:val="en-US" w:eastAsia="zh-CN"/>
                                    </w:rPr>
                                  </w:pPr>
                                  <w:r>
                                    <w:rPr>
                                      <w:rFonts w:hint="eastAsia"/>
                                      <w:lang w:val="en-US" w:eastAsia="zh-CN"/>
                                    </w:rPr>
                                    <w:t>损耗244.84</w:t>
                                  </w:r>
                                </w:p>
                              </w:txbxContent>
                            </wps:txbx>
                            <wps:bodyPr upright="1"/>
                          </wps:wsp>
                        </a:graphicData>
                      </a:graphic>
                    </wp:anchor>
                  </w:drawing>
                </mc:Choice>
                <mc:Fallback>
                  <w:pict>
                    <v:shape id="文本框 88" o:spid="_x0000_s1026" o:spt="202" type="#_x0000_t202" style="position:absolute;left:0pt;margin-left:219.25pt;margin-top:24pt;height:19.65pt;width:91.8pt;z-index:251676672;mso-width-relative:page;mso-height-relative:page;" filled="f" stroked="f" coordsize="21600,21600" o:gfxdata="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v8uIC1wAA&#10;AAkBAAAPAAAAAAAAAAEAIAAAACIAAABkcnMvZG93bnJldi54bWxQSwECFAAUAAAACACHTuJAbw/a&#10;760BAABQAwAADgAAAAAAAAABACAAAAAmAQAAZHJzL2Uyb0RvYy54bWxQSwUGAAAAAAYABgBZAQAA&#10;RQUAAAAA&#10;">
                      <v:fill on="f" focussize="0,0"/>
                      <v:stroke on="f"/>
                      <v:imagedata o:title=""/>
                      <o:lock v:ext="edit" aspectratio="f"/>
                      <v:textbox>
                        <w:txbxContent>
                          <w:p>
                            <w:pPr>
                              <w:jc w:val="left"/>
                              <w:rPr>
                                <w:rFonts w:hint="default" w:eastAsia="宋体"/>
                                <w:lang w:val="en-US" w:eastAsia="zh-CN"/>
                              </w:rPr>
                            </w:pPr>
                            <w:r>
                              <w:rPr>
                                <w:rFonts w:hint="eastAsia"/>
                                <w:lang w:val="en-US" w:eastAsia="zh-CN"/>
                              </w:rPr>
                              <w:t>损耗244.84</w:t>
                            </w:r>
                          </w:p>
                        </w:txbxContent>
                      </v:textbox>
                    </v:shape>
                  </w:pict>
                </mc:Fallback>
              </mc:AlternateContent>
            </w:r>
          </w:p>
          <w:p>
            <w:pPr>
              <w:pStyle w:val="127"/>
              <w:rPr>
                <w:rFonts w:hint="default" w:ascii="Times New Roman" w:hAnsi="Times New Roman" w:eastAsia="宋体" w:cs="Times New Roman"/>
                <w:color w:val="0000FF"/>
              </w:rPr>
            </w:pPr>
            <w:r>
              <w:rPr>
                <w:rFonts w:hint="default" w:ascii="Times New Roman" w:hAnsi="Times New Roman" w:eastAsia="宋体" w:cs="Times New Roman"/>
                <w:sz w:val="21"/>
              </w:rPr>
              <mc:AlternateContent>
                <mc:Choice Requires="wps">
                  <w:drawing>
                    <wp:anchor distT="0" distB="0" distL="114300" distR="114300" simplePos="0" relativeHeight="251675648" behindDoc="0" locked="0" layoutInCell="1" allowOverlap="1">
                      <wp:simplePos x="0" y="0"/>
                      <wp:positionH relativeFrom="column">
                        <wp:posOffset>2332355</wp:posOffset>
                      </wp:positionH>
                      <wp:positionV relativeFrom="paragraph">
                        <wp:posOffset>80010</wp:posOffset>
                      </wp:positionV>
                      <wp:extent cx="415290" cy="293370"/>
                      <wp:effectExtent l="2540" t="0" r="1270" b="11430"/>
                      <wp:wrapNone/>
                      <wp:docPr id="16" name="直线 87"/>
                      <wp:cNvGraphicFramePr/>
                      <a:graphic xmlns:a="http://schemas.openxmlformats.org/drawingml/2006/main">
                        <a:graphicData uri="http://schemas.microsoft.com/office/word/2010/wordprocessingShape">
                          <wps:wsp>
                            <wps:cNvCnPr/>
                            <wps:spPr>
                              <a:xfrm flipV="1">
                                <a:off x="0" y="0"/>
                                <a:ext cx="415290" cy="2933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7" o:spid="_x0000_s1026" o:spt="20" style="position:absolute;left:0pt;flip:y;margin-left:183.65pt;margin-top:6.3pt;height:23.1pt;width:32.7pt;z-index:251675648;mso-width-relative:page;mso-height-relative:page;" filled="f" stroked="t" coordsize="21600,21600" o:gfxdata="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rggap2AAAAAkBAAAPAAAAAAAAAAEAIAAAACIAAABkcnMvZG93bnJl&#10;di54bWxQSwECFAAUAAAACACHTuJAIfODFf0BAADsAwAADgAAAAAAAAABACAAAAAnAQAAZHJzL2Uy&#10;b0RvYy54bWxQSwUGAAAAAAYABgBZAQAAlgUAAAAA&#10;">
                      <v:fill on="f" focussize="0,0"/>
                      <v:stroke color="#000000" joinstyle="round" endarrow="open"/>
                      <v:imagedata o:title=""/>
                      <o:lock v:ext="edit" aspectratio="f"/>
                    </v:line>
                  </w:pict>
                </mc:Fallback>
              </mc:AlternateContent>
            </w:r>
          </w:p>
          <w:p>
            <w:pPr>
              <w:pStyle w:val="127"/>
              <w:rPr>
                <w:rFonts w:hint="default" w:ascii="Times New Roman" w:hAnsi="Times New Roman" w:eastAsia="宋体" w:cs="Times New Roman"/>
                <w:color w:val="0000FF"/>
              </w:rPr>
            </w:pPr>
            <w:r>
              <w:rPr>
                <w:rFonts w:hint="default" w:ascii="Times New Roman" w:hAnsi="Times New Roman" w:eastAsia="宋体" w:cs="Times New Roman"/>
                <w:sz w:val="24"/>
              </w:rPr>
              <mc:AlternateContent>
                <mc:Choice Requires="wps">
                  <w:drawing>
                    <wp:anchor distT="0" distB="0" distL="114300" distR="114300" simplePos="0" relativeHeight="251728896" behindDoc="0" locked="0" layoutInCell="1" allowOverlap="1">
                      <wp:simplePos x="0" y="0"/>
                      <wp:positionH relativeFrom="column">
                        <wp:posOffset>4270375</wp:posOffset>
                      </wp:positionH>
                      <wp:positionV relativeFrom="paragraph">
                        <wp:posOffset>19685</wp:posOffset>
                      </wp:positionV>
                      <wp:extent cx="965835" cy="249555"/>
                      <wp:effectExtent l="0" t="0" r="0" b="0"/>
                      <wp:wrapNone/>
                      <wp:docPr id="96" name="文本框 210"/>
                      <wp:cNvGraphicFramePr/>
                      <a:graphic xmlns:a="http://schemas.openxmlformats.org/drawingml/2006/main">
                        <a:graphicData uri="http://schemas.microsoft.com/office/word/2010/wordprocessingShape">
                          <wps:wsp>
                            <wps:cNvSpPr txBox="1"/>
                            <wps:spPr>
                              <a:xfrm>
                                <a:off x="0" y="0"/>
                                <a:ext cx="965835" cy="249555"/>
                              </a:xfrm>
                              <a:prstGeom prst="rect">
                                <a:avLst/>
                              </a:prstGeom>
                              <a:noFill/>
                              <a:ln>
                                <a:noFill/>
                              </a:ln>
                            </wps:spPr>
                            <wps:txbx>
                              <w:txbxContent>
                                <w:p>
                                  <w:pPr>
                                    <w:jc w:val="both"/>
                                    <w:rPr>
                                      <w:rFonts w:hint="default" w:eastAsia="宋体"/>
                                      <w:color w:val="auto"/>
                                      <w:lang w:val="en-US" w:eastAsia="zh-CN"/>
                                    </w:rPr>
                                  </w:pPr>
                                  <w:r>
                                    <w:rPr>
                                      <w:rFonts w:hint="eastAsia"/>
                                      <w:color w:val="auto"/>
                                      <w:lang w:val="en-US" w:eastAsia="zh-CN"/>
                                    </w:rPr>
                                    <w:t>13512.3</w:t>
                                  </w:r>
                                </w:p>
                              </w:txbxContent>
                            </wps:txbx>
                            <wps:bodyPr upright="1"/>
                          </wps:wsp>
                        </a:graphicData>
                      </a:graphic>
                    </wp:anchor>
                  </w:drawing>
                </mc:Choice>
                <mc:Fallback>
                  <w:pict>
                    <v:shape id="文本框 210" o:spid="_x0000_s1026" o:spt="202" type="#_x0000_t202" style="position:absolute;left:0pt;margin-left:336.25pt;margin-top:1.55pt;height:19.65pt;width:76.05pt;z-index:251728896;mso-width-relative:page;mso-height-relative:page;" filled="f" stroked="f" coordsize="21600,21600" o:gfxdata="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ZpylzX&#10;AAAACAEAAA8AAAAAAAAAAQAgAAAAIgAAAGRycy9kb3ducmV2LnhtbFBLAQIUABQAAAAIAIdO4kDn&#10;NVwsrwEAAFADAAAOAAAAAAAAAAEAIAAAACYBAABkcnMvZTJvRG9jLnhtbFBLBQYAAAAABgAGAFkB&#10;AABHBQAAAAA=&#10;">
                      <v:fill on="f" focussize="0,0"/>
                      <v:stroke on="f"/>
                      <v:imagedata o:title=""/>
                      <o:lock v:ext="edit" aspectratio="f"/>
                      <v:textbox>
                        <w:txbxContent>
                          <w:p>
                            <w:pPr>
                              <w:jc w:val="both"/>
                              <w:rPr>
                                <w:rFonts w:hint="default" w:eastAsia="宋体"/>
                                <w:color w:val="auto"/>
                                <w:lang w:val="en-US" w:eastAsia="zh-CN"/>
                              </w:rPr>
                            </w:pPr>
                            <w:r>
                              <w:rPr>
                                <w:rFonts w:hint="eastAsia"/>
                                <w:color w:val="auto"/>
                                <w:lang w:val="en-US" w:eastAsia="zh-CN"/>
                              </w:rPr>
                              <w:t>13512.3</w:t>
                            </w:r>
                          </w:p>
                        </w:txbxContent>
                      </v:textbox>
                    </v:shap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5227955</wp:posOffset>
                      </wp:positionH>
                      <wp:positionV relativeFrom="paragraph">
                        <wp:posOffset>639445</wp:posOffset>
                      </wp:positionV>
                      <wp:extent cx="13970" cy="1282065"/>
                      <wp:effectExtent l="36195" t="0" r="56515" b="13335"/>
                      <wp:wrapNone/>
                      <wp:docPr id="86" name="直线 200"/>
                      <wp:cNvGraphicFramePr/>
                      <a:graphic xmlns:a="http://schemas.openxmlformats.org/drawingml/2006/main">
                        <a:graphicData uri="http://schemas.microsoft.com/office/word/2010/wordprocessingShape">
                          <wps:wsp>
                            <wps:cNvCnPr/>
                            <wps:spPr>
                              <a:xfrm>
                                <a:off x="0" y="0"/>
                                <a:ext cx="13970" cy="12820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00" o:spid="_x0000_s1026" o:spt="20" style="position:absolute;left:0pt;margin-left:411.65pt;margin-top:50.35pt;height:100.95pt;width:1.1pt;z-index:251718656;mso-width-relative:page;mso-height-relative:page;" filled="f" stroked="t" coordsize="21600,21600" o:gfxdata="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D/D3NsAAAALAQAADwAAAAAAAAABACAAAAAiAAAAZHJzL2Rvd25yZXYueG1sUEsB&#10;AhQAFAAAAAgAh07iQIIyjHryAQAA4wMAAA4AAAAAAAAAAQAgAAAAKgEAAGRycy9lMm9Eb2MueG1s&#10;UEsFBgAAAAAGAAYAWQEAAI4FAAAAAA==&#10;">
                      <v:fill on="f" focussize="0,0"/>
                      <v:stroke color="#000000" joinstyle="round" endarrow="open"/>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8960" behindDoc="0" locked="0" layoutInCell="1" allowOverlap="1">
                      <wp:simplePos x="0" y="0"/>
                      <wp:positionH relativeFrom="column">
                        <wp:posOffset>3127375</wp:posOffset>
                      </wp:positionH>
                      <wp:positionV relativeFrom="paragraph">
                        <wp:posOffset>118745</wp:posOffset>
                      </wp:positionV>
                      <wp:extent cx="741045" cy="249555"/>
                      <wp:effectExtent l="0" t="0" r="0" b="0"/>
                      <wp:wrapNone/>
                      <wp:docPr id="29" name="文本框 100"/>
                      <wp:cNvGraphicFramePr/>
                      <a:graphic xmlns:a="http://schemas.openxmlformats.org/drawingml/2006/main">
                        <a:graphicData uri="http://schemas.microsoft.com/office/word/2010/wordprocessingShape">
                          <wps:wsp>
                            <wps:cNvSpPr txBox="1"/>
                            <wps:spPr>
                              <a:xfrm>
                                <a:off x="0" y="0"/>
                                <a:ext cx="741045" cy="249555"/>
                              </a:xfrm>
                              <a:prstGeom prst="rect">
                                <a:avLst/>
                              </a:prstGeom>
                              <a:noFill/>
                              <a:ln>
                                <a:noFill/>
                              </a:ln>
                            </wps:spPr>
                            <wps:txbx>
                              <w:txbxContent>
                                <w:p>
                                  <w:pPr>
                                    <w:rPr>
                                      <w:rFonts w:hint="default"/>
                                      <w:lang w:val="en-US" w:eastAsia="zh-CN"/>
                                    </w:rPr>
                                  </w:pPr>
                                  <w:r>
                                    <w:rPr>
                                      <w:rFonts w:hint="eastAsia" w:cs="Times New Roman"/>
                                      <w:sz w:val="21"/>
                                      <w:szCs w:val="21"/>
                                      <w:lang w:val="en-US" w:eastAsia="zh-CN"/>
                                    </w:rPr>
                                    <w:t>899.36</w:t>
                                  </w:r>
                                </w:p>
                              </w:txbxContent>
                            </wps:txbx>
                            <wps:bodyPr upright="1"/>
                          </wps:wsp>
                        </a:graphicData>
                      </a:graphic>
                    </wp:anchor>
                  </w:drawing>
                </mc:Choice>
                <mc:Fallback>
                  <w:pict>
                    <v:shape id="文本框 100" o:spid="_x0000_s1026" o:spt="202" type="#_x0000_t202" style="position:absolute;left:0pt;margin-left:246.25pt;margin-top:9.35pt;height:19.65pt;width:58.35pt;z-index:251688960;mso-width-relative:page;mso-height-relative:page;" filled="f" stroked="f" coordsize="21600,21600" o:gfxdata="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jkestcA&#10;AAAJAQAADwAAAAAAAAABACAAAAAiAAAAZHJzL2Rvd25yZXYueG1sUEsBAhQAFAAAAAgAh07iQISN&#10;zDauAQAAUAMAAA4AAAAAAAAAAQAgAAAAJgEAAGRycy9lMm9Eb2MueG1sUEsFBgAAAAAGAAYAWQEA&#10;AEYFAAAAAA==&#10;">
                      <v:fill on="f" focussize="0,0"/>
                      <v:stroke on="f"/>
                      <v:imagedata o:title=""/>
                      <o:lock v:ext="edit" aspectratio="f"/>
                      <v:textbox>
                        <w:txbxContent>
                          <w:p>
                            <w:pPr>
                              <w:rPr>
                                <w:rFonts w:hint="default"/>
                                <w:lang w:val="en-US" w:eastAsia="zh-CN"/>
                              </w:rPr>
                            </w:pPr>
                            <w:r>
                              <w:rPr>
                                <w:rFonts w:hint="eastAsia" w:cs="Times New Roman"/>
                                <w:sz w:val="21"/>
                                <w:szCs w:val="21"/>
                                <w:lang w:val="en-US" w:eastAsia="zh-CN"/>
                              </w:rPr>
                              <w:t>899.36</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1552" behindDoc="0" locked="0" layoutInCell="1" allowOverlap="1">
                      <wp:simplePos x="0" y="0"/>
                      <wp:positionH relativeFrom="column">
                        <wp:posOffset>1259205</wp:posOffset>
                      </wp:positionH>
                      <wp:positionV relativeFrom="paragraph">
                        <wp:posOffset>140970</wp:posOffset>
                      </wp:positionV>
                      <wp:extent cx="658495" cy="249555"/>
                      <wp:effectExtent l="0" t="0" r="0" b="0"/>
                      <wp:wrapNone/>
                      <wp:docPr id="12" name="文本框 83"/>
                      <wp:cNvGraphicFramePr/>
                      <a:graphic xmlns:a="http://schemas.openxmlformats.org/drawingml/2006/main">
                        <a:graphicData uri="http://schemas.microsoft.com/office/word/2010/wordprocessingShape">
                          <wps:wsp>
                            <wps:cNvSpPr txBox="1"/>
                            <wps:spPr>
                              <a:xfrm>
                                <a:off x="0" y="0"/>
                                <a:ext cx="658495" cy="249555"/>
                              </a:xfrm>
                              <a:prstGeom prst="rect">
                                <a:avLst/>
                              </a:prstGeom>
                              <a:noFill/>
                              <a:ln>
                                <a:noFill/>
                              </a:ln>
                            </wps:spPr>
                            <wps:txbx>
                              <w:txbxContent>
                                <w:p>
                                  <w:pPr>
                                    <w:rPr>
                                      <w:rFonts w:hint="default" w:eastAsia="宋体"/>
                                      <w:lang w:val="en-US" w:eastAsia="zh-CN"/>
                                    </w:rPr>
                                  </w:pPr>
                                  <w:r>
                                    <w:rPr>
                                      <w:rFonts w:hint="eastAsia"/>
                                      <w:lang w:val="en-US" w:eastAsia="zh-CN"/>
                                    </w:rPr>
                                    <w:t>1124.2</w:t>
                                  </w:r>
                                </w:p>
                              </w:txbxContent>
                            </wps:txbx>
                            <wps:bodyPr upright="1"/>
                          </wps:wsp>
                        </a:graphicData>
                      </a:graphic>
                    </wp:anchor>
                  </w:drawing>
                </mc:Choice>
                <mc:Fallback>
                  <w:pict>
                    <v:shape id="文本框 83" o:spid="_x0000_s1026" o:spt="202" type="#_x0000_t202" style="position:absolute;left:0pt;margin-left:99.15pt;margin-top:11.1pt;height:19.65pt;width:51.85pt;z-index:251671552;mso-width-relative:page;mso-height-relative:page;" filled="f" stroked="f" coordsize="21600,21600" o:gfxdata="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zS5J3WAAAA&#10;CQEAAA8AAAAAAAAAAQAgAAAAIgAAAGRycy9kb3ducmV2LnhtbFBLAQIUABQAAAAIAIdO4kCZM+Nq&#10;rQEAAE8DAAAOAAAAAAAAAAEAIAAAACUBAABkcnMvZTJvRG9jLnhtbFBLBQYAAAAABgAGAFkBAABE&#10;BQAAAAA=&#10;">
                      <v:fill on="f" focussize="0,0"/>
                      <v:stroke on="f"/>
                      <v:imagedata o:title=""/>
                      <o:lock v:ext="edit" aspectratio="f"/>
                      <v:textbox>
                        <w:txbxContent>
                          <w:p>
                            <w:pPr>
                              <w:rPr>
                                <w:rFonts w:hint="default" w:eastAsia="宋体"/>
                                <w:lang w:val="en-US" w:eastAsia="zh-CN"/>
                              </w:rPr>
                            </w:pPr>
                            <w:r>
                              <w:rPr>
                                <w:rFonts w:hint="eastAsia"/>
                                <w:lang w:val="en-US" w:eastAsia="zh-CN"/>
                              </w:rPr>
                              <w:t>1124.2</w:t>
                            </w:r>
                          </w:p>
                        </w:txbxContent>
                      </v:textbox>
                    </v:shape>
                  </w:pict>
                </mc:Fallback>
              </mc:AlternateContent>
            </w:r>
          </w:p>
          <w:p>
            <w:pPr>
              <w:spacing w:line="440" w:lineRule="exact"/>
              <w:ind w:firstLine="420" w:firstLineChars="200"/>
              <w:jc w:val="center"/>
              <w:rPr>
                <w:rFonts w:hint="default" w:ascii="Times New Roman" w:hAnsi="Times New Roman" w:eastAsia="宋体" w:cs="Times New Roman"/>
                <w:b/>
                <w:bCs/>
                <w:color w:val="0000FF"/>
                <w:sz w:val="24"/>
                <w:lang w:eastAsia="zh-CN"/>
              </w:rPr>
            </w:pPr>
            <w:r>
              <w:rPr>
                <w:rFonts w:hint="default" w:ascii="Times New Roman" w:hAnsi="Times New Roman" w:eastAsia="宋体" w:cs="Times New Roman"/>
                <w:sz w:val="21"/>
              </w:rPr>
              <mc:AlternateContent>
                <mc:Choice Requires="wps">
                  <w:drawing>
                    <wp:anchor distT="0" distB="0" distL="114300" distR="114300" simplePos="0" relativeHeight="251691008" behindDoc="0" locked="0" layoutInCell="1" allowOverlap="1">
                      <wp:simplePos x="0" y="0"/>
                      <wp:positionH relativeFrom="column">
                        <wp:posOffset>4777105</wp:posOffset>
                      </wp:positionH>
                      <wp:positionV relativeFrom="paragraph">
                        <wp:posOffset>38100</wp:posOffset>
                      </wp:positionV>
                      <wp:extent cx="894715" cy="447040"/>
                      <wp:effectExtent l="4445" t="4445" r="15240" b="5715"/>
                      <wp:wrapNone/>
                      <wp:docPr id="32" name="矩形 103"/>
                      <wp:cNvGraphicFramePr/>
                      <a:graphic xmlns:a="http://schemas.openxmlformats.org/drawingml/2006/main">
                        <a:graphicData uri="http://schemas.microsoft.com/office/word/2010/wordprocessingShape">
                          <wps:wsp>
                            <wps:cNvSpPr/>
                            <wps:spPr>
                              <a:xfrm>
                                <a:off x="0" y="0"/>
                                <a:ext cx="894715" cy="4470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2"/>
                                      <w:szCs w:val="28"/>
                                      <w:lang w:eastAsia="zh-CN"/>
                                    </w:rPr>
                                  </w:pPr>
                                  <w:r>
                                    <w:rPr>
                                      <w:rFonts w:hint="eastAsia"/>
                                      <w:sz w:val="22"/>
                                      <w:szCs w:val="28"/>
                                      <w:lang w:val="en-US" w:eastAsia="zh-CN"/>
                                    </w:rPr>
                                    <w:t>医院</w:t>
                                  </w:r>
                                  <w:r>
                                    <w:rPr>
                                      <w:rFonts w:hint="eastAsia"/>
                                      <w:sz w:val="22"/>
                                      <w:szCs w:val="28"/>
                                      <w:lang w:eastAsia="zh-CN"/>
                                    </w:rPr>
                                    <w:t>污水处理站</w:t>
                                  </w:r>
                                </w:p>
                              </w:txbxContent>
                            </wps:txbx>
                            <wps:bodyPr upright="1"/>
                          </wps:wsp>
                        </a:graphicData>
                      </a:graphic>
                    </wp:anchor>
                  </w:drawing>
                </mc:Choice>
                <mc:Fallback>
                  <w:pict>
                    <v:rect id="矩形 103" o:spid="_x0000_s1026" o:spt="1" style="position:absolute;left:0pt;margin-left:376.15pt;margin-top:3pt;height:35.2pt;width:70.45pt;z-index:251691008;mso-width-relative:page;mso-height-relative:page;" fillcolor="#FFFFFF" filled="t" stroked="t" coordsize="21600,21600" o:gfxdata="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2hgVbXAAAACAEAAA8AAAAAAAAAAQAgAAAAIgAAAGRy&#10;cy9kb3ducmV2LnhtbFBLAQIUABQAAAAIAIdO4kD+/ODOBgIAACsEAAAOAAAAAAAAAAEAIAAAACYB&#10;AABkcnMvZTJvRG9jLnhtbFBLBQYAAAAABgAGAFkBAACeBQAAAAA=&#10;">
                      <v:fill on="t" focussize="0,0"/>
                      <v:stroke color="#000000" joinstyle="miter"/>
                      <v:imagedata o:title=""/>
                      <o:lock v:ext="edit" aspectratio="f"/>
                      <v:textbox>
                        <w:txbxContent>
                          <w:p>
                            <w:pPr>
                              <w:jc w:val="center"/>
                              <w:rPr>
                                <w:rFonts w:hint="eastAsia" w:eastAsia="宋体"/>
                                <w:sz w:val="22"/>
                                <w:szCs w:val="28"/>
                                <w:lang w:eastAsia="zh-CN"/>
                              </w:rPr>
                            </w:pPr>
                            <w:r>
                              <w:rPr>
                                <w:rFonts w:hint="eastAsia"/>
                                <w:sz w:val="22"/>
                                <w:szCs w:val="28"/>
                                <w:lang w:val="en-US" w:eastAsia="zh-CN"/>
                              </w:rPr>
                              <w:t>医院</w:t>
                            </w:r>
                            <w:r>
                              <w:rPr>
                                <w:rFonts w:hint="eastAsia"/>
                                <w:sz w:val="22"/>
                                <w:szCs w:val="28"/>
                                <w:lang w:eastAsia="zh-CN"/>
                              </w:rPr>
                              <w:t>污水处理站</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727872" behindDoc="0" locked="0" layoutInCell="1" allowOverlap="1">
                      <wp:simplePos x="0" y="0"/>
                      <wp:positionH relativeFrom="column">
                        <wp:posOffset>4309110</wp:posOffset>
                      </wp:positionH>
                      <wp:positionV relativeFrom="paragraph">
                        <wp:posOffset>245110</wp:posOffset>
                      </wp:positionV>
                      <wp:extent cx="464185" cy="1270"/>
                      <wp:effectExtent l="0" t="48895" r="12065" b="64135"/>
                      <wp:wrapNone/>
                      <wp:docPr id="95" name="直线 209"/>
                      <wp:cNvGraphicFramePr/>
                      <a:graphic xmlns:a="http://schemas.openxmlformats.org/drawingml/2006/main">
                        <a:graphicData uri="http://schemas.microsoft.com/office/word/2010/wordprocessingShape">
                          <wps:wsp>
                            <wps:cNvCnPr/>
                            <wps:spPr>
                              <a:xfrm flipV="1">
                                <a:off x="0" y="0"/>
                                <a:ext cx="464185" cy="127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209" o:spid="_x0000_s1026" o:spt="20" style="position:absolute;left:0pt;flip:y;margin-left:339.3pt;margin-top:19.3pt;height:0.1pt;width:36.55pt;z-index:251727872;mso-width-relative:page;mso-height-relative:page;" filled="f" stroked="t" coordsize="21600,21600" o:gfxdata="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s5ZNcAAAAJAQAADwAAAAAAAAABACAAAAAiAAAAZHJzL2Rvd25yZXYueG1s&#10;UEsBAhQAFAAAAAgAh07iQPcpHWn5AQAA6wMAAA4AAAAAAAAAAQAgAAAAJgEAAGRycy9lMm9Eb2Mu&#10;eG1sUEsFBgAAAAAGAAYAWQEAAJEFAAAAAA==&#10;">
                      <v:fill on="f" focussize="0,0"/>
                      <v:stroke color="#000000" joinstyle="round" endarrow="open"/>
                      <v:imagedata o:title=""/>
                      <o:lock v:ext="edit" aspectratio="f"/>
                    </v:line>
                  </w:pict>
                </mc:Fallback>
              </mc:AlternateContent>
            </w:r>
            <w:r>
              <w:rPr>
                <w:rFonts w:hint="default" w:ascii="Times New Roman" w:hAnsi="Times New Roman" w:eastAsia="宋体" w:cs="Times New Roman"/>
                <w:sz w:val="21"/>
              </w:rPr>
              <mc:AlternateContent>
                <mc:Choice Requires="wps">
                  <w:drawing>
                    <wp:anchor distT="0" distB="0" distL="114300" distR="114300" simplePos="0" relativeHeight="251660288" behindDoc="0" locked="0" layoutInCell="1" allowOverlap="1">
                      <wp:simplePos x="0" y="0"/>
                      <wp:positionH relativeFrom="column">
                        <wp:posOffset>-43815</wp:posOffset>
                      </wp:positionH>
                      <wp:positionV relativeFrom="paragraph">
                        <wp:posOffset>24765</wp:posOffset>
                      </wp:positionV>
                      <wp:extent cx="849630" cy="636905"/>
                      <wp:effectExtent l="4445" t="5080" r="22225" b="5715"/>
                      <wp:wrapNone/>
                      <wp:docPr id="1" name="矩形 71"/>
                      <wp:cNvGraphicFramePr/>
                      <a:graphic xmlns:a="http://schemas.openxmlformats.org/drawingml/2006/main">
                        <a:graphicData uri="http://schemas.microsoft.com/office/word/2010/wordprocessingShape">
                          <wps:wsp>
                            <wps:cNvSpPr/>
                            <wps:spPr>
                              <a:xfrm>
                                <a:off x="0" y="0"/>
                                <a:ext cx="849630" cy="6369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2"/>
                                      <w:szCs w:val="28"/>
                                      <w:lang w:eastAsia="zh-CN"/>
                                    </w:rPr>
                                  </w:pPr>
                                  <w:r>
                                    <w:rPr>
                                      <w:rFonts w:hint="eastAsia"/>
                                      <w:sz w:val="22"/>
                                      <w:szCs w:val="28"/>
                                      <w:lang w:eastAsia="zh-CN"/>
                                    </w:rPr>
                                    <w:t>市政管网新鲜水</w:t>
                                  </w:r>
                                  <w:r>
                                    <w:rPr>
                                      <w:rFonts w:hint="eastAsia" w:cs="Times New Roman"/>
                                      <w:color w:val="auto"/>
                                      <w:lang w:val="en-US" w:eastAsia="zh-CN"/>
                                    </w:rPr>
                                    <w:t>27207.425</w:t>
                                  </w:r>
                                </w:p>
                              </w:txbxContent>
                            </wps:txbx>
                            <wps:bodyPr upright="1"/>
                          </wps:wsp>
                        </a:graphicData>
                      </a:graphic>
                    </wp:anchor>
                  </w:drawing>
                </mc:Choice>
                <mc:Fallback>
                  <w:pict>
                    <v:rect id="矩形 71" o:spid="_x0000_s1026" o:spt="1" style="position:absolute;left:0pt;margin-left:-3.45pt;margin-top:1.95pt;height:50.15pt;width:66.9pt;z-index:251660288;mso-width-relative:page;mso-height-relative:page;" fillcolor="#FFFFFF" filled="t" stroked="t" coordsize="21600,21600" o:gfxdata="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yME5y1QAAAAgBAAAPAAAAAAAAAAEAIAAAACIAAABkcnMvZG93bnJl&#10;di54bWxQSwECFAAUAAAACACHTuJAYKXetgACAAApBAAADgAAAAAAAAABACAAAAAkAQAAZHJzL2Uy&#10;b0RvYy54bWxQSwUGAAAAAAYABgBZAQAAlgUAAAAA&#10;">
                      <v:fill on="t" focussize="0,0"/>
                      <v:stroke color="#000000" joinstyle="miter"/>
                      <v:imagedata o:title=""/>
                      <o:lock v:ext="edit" aspectratio="f"/>
                      <v:textbox>
                        <w:txbxContent>
                          <w:p>
                            <w:pPr>
                              <w:jc w:val="center"/>
                              <w:rPr>
                                <w:rFonts w:hint="eastAsia" w:eastAsia="宋体"/>
                                <w:sz w:val="22"/>
                                <w:szCs w:val="28"/>
                                <w:lang w:eastAsia="zh-CN"/>
                              </w:rPr>
                            </w:pPr>
                            <w:r>
                              <w:rPr>
                                <w:rFonts w:hint="eastAsia"/>
                                <w:sz w:val="22"/>
                                <w:szCs w:val="28"/>
                                <w:lang w:eastAsia="zh-CN"/>
                              </w:rPr>
                              <w:t>市政管网新鲜水</w:t>
                            </w:r>
                            <w:r>
                              <w:rPr>
                                <w:rFonts w:hint="eastAsia" w:cs="Times New Roman"/>
                                <w:color w:val="auto"/>
                                <w:lang w:val="en-US" w:eastAsia="zh-CN"/>
                              </w:rPr>
                              <w:t>27207.425</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7696" behindDoc="0" locked="0" layoutInCell="1" allowOverlap="1">
                      <wp:simplePos x="0" y="0"/>
                      <wp:positionH relativeFrom="column">
                        <wp:posOffset>2807970</wp:posOffset>
                      </wp:positionH>
                      <wp:positionV relativeFrom="paragraph">
                        <wp:posOffset>241935</wp:posOffset>
                      </wp:positionV>
                      <wp:extent cx="1490345" cy="635"/>
                      <wp:effectExtent l="0" t="48260" r="14605" b="65405"/>
                      <wp:wrapNone/>
                      <wp:docPr id="18" name="直线 89"/>
                      <wp:cNvGraphicFramePr/>
                      <a:graphic xmlns:a="http://schemas.openxmlformats.org/drawingml/2006/main">
                        <a:graphicData uri="http://schemas.microsoft.com/office/word/2010/wordprocessingShape">
                          <wps:wsp>
                            <wps:cNvCnPr/>
                            <wps:spPr>
                              <a:xfrm>
                                <a:off x="0" y="0"/>
                                <a:ext cx="1490345"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89" o:spid="_x0000_s1026" o:spt="20" style="position:absolute;left:0pt;margin-left:221.1pt;margin-top:19.05pt;height:0.05pt;width:117.35pt;z-index:251677696;mso-width-relative:page;mso-height-relative:page;" filled="f" stroked="t" coordsize="21600,21600" o:gfxdata="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w1vNoAAAAJAQAADwAAAAAAAAABACAAAAAiAAAAZHJzL2Rvd25yZXYueG1sUEsBAhQA&#10;FAAAAAgAh07iQPzYpz3wAQAA4AMAAA4AAAAAAAAAAQAgAAAAKQEAAGRycy9lMm9Eb2MueG1sUEsF&#10;BgAAAAAGAAYAWQEAAIsFAAAAAA==&#10;">
                      <v:fill on="f" focussize="0,0"/>
                      <v:stroke color="#000000" joinstyle="round" endarrow="open"/>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9504" behindDoc="0" locked="0" layoutInCell="1" allowOverlap="1">
                      <wp:simplePos x="0" y="0"/>
                      <wp:positionH relativeFrom="column">
                        <wp:posOffset>1883410</wp:posOffset>
                      </wp:positionH>
                      <wp:positionV relativeFrom="paragraph">
                        <wp:posOffset>76200</wp:posOffset>
                      </wp:positionV>
                      <wp:extent cx="918210" cy="295275"/>
                      <wp:effectExtent l="4445" t="4445" r="10795" b="5080"/>
                      <wp:wrapNone/>
                      <wp:docPr id="10" name="矩形 81"/>
                      <wp:cNvGraphicFramePr/>
                      <a:graphic xmlns:a="http://schemas.openxmlformats.org/drawingml/2006/main">
                        <a:graphicData uri="http://schemas.microsoft.com/office/word/2010/wordprocessingShape">
                          <wps:wsp>
                            <wps:cNvSpPr/>
                            <wps:spPr>
                              <a:xfrm>
                                <a:off x="0" y="0"/>
                                <a:ext cx="91821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清洗</w:t>
                                  </w:r>
                                  <w:r>
                                    <w:rPr>
                                      <w:rFonts w:hint="eastAsia"/>
                                      <w:lang w:eastAsia="zh-CN"/>
                                    </w:rPr>
                                    <w:t>用水</w:t>
                                  </w:r>
                                </w:p>
                              </w:txbxContent>
                            </wps:txbx>
                            <wps:bodyPr upright="1"/>
                          </wps:wsp>
                        </a:graphicData>
                      </a:graphic>
                    </wp:anchor>
                  </w:drawing>
                </mc:Choice>
                <mc:Fallback>
                  <w:pict>
                    <v:rect id="矩形 81" o:spid="_x0000_s1026" o:spt="1" style="position:absolute;left:0pt;margin-left:148.3pt;margin-top:6pt;height:23.25pt;width:72.3pt;z-index:251669504;mso-width-relative:page;mso-height-relative:page;" fillcolor="#FFFFFF" filled="t" stroked="t" coordsize="21600,21600" o:gfxdata="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5ZPwb2AAAAAkBAAAPAAAAAAAAAAEAIAAAACIAAABkcnMvZG93bnJl&#10;di54bWxQSwECFAAUAAAACACHTuJA4cE+GP0BAAAqBAAADgAAAAAAAAABACAAAAAnAQAAZHJzL2Uy&#10;b0RvYy54bWxQSwUGAAAAAAYABgBZAQAAlgU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清洗</w:t>
                            </w:r>
                            <w:r>
                              <w:rPr>
                                <w:rFonts w:hint="eastAsia"/>
                                <w:lang w:eastAsia="zh-CN"/>
                              </w:rPr>
                              <w:t>用水</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3360" behindDoc="0" locked="0" layoutInCell="1" allowOverlap="1">
                      <wp:simplePos x="0" y="0"/>
                      <wp:positionH relativeFrom="column">
                        <wp:posOffset>1293495</wp:posOffset>
                      </wp:positionH>
                      <wp:positionV relativeFrom="paragraph">
                        <wp:posOffset>245745</wp:posOffset>
                      </wp:positionV>
                      <wp:extent cx="577850" cy="635"/>
                      <wp:effectExtent l="0" t="48895" r="12700" b="64770"/>
                      <wp:wrapNone/>
                      <wp:docPr id="4" name="直线 75"/>
                      <wp:cNvGraphicFramePr/>
                      <a:graphic xmlns:a="http://schemas.openxmlformats.org/drawingml/2006/main">
                        <a:graphicData uri="http://schemas.microsoft.com/office/word/2010/wordprocessingShape">
                          <wps:wsp>
                            <wps:cNvCnPr/>
                            <wps:spPr>
                              <a:xfrm flipV="1">
                                <a:off x="0" y="0"/>
                                <a:ext cx="577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5" o:spid="_x0000_s1026" o:spt="20" style="position:absolute;left:0pt;flip:y;margin-left:101.85pt;margin-top:19.35pt;height:0.05pt;width:45.5pt;z-index:251663360;mso-width-relative:page;mso-height-relative:page;" filled="f" stroked="t" coordsize="21600,21600" o:gfxdata="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QbnEdcAAAAJAQAADwAAAAAAAAABACAAAAAiAAAAZHJzL2Rvd25yZXYueG1s&#10;UEsBAhQAFAAAAAgAh07iQE2Fq7n5AQAA6AMAAA4AAAAAAAAAAQAgAAAAJgEAAGRycy9lMm9Eb2Mu&#10;eG1sUEsFBgAAAAAGAAYAWQEAAJEFAAAAAA==&#10;">
                      <v:fill on="f" focussize="0,0"/>
                      <v:stroke color="#000000" joinstyle="round" endarrow="open"/>
                      <v:imagedata o:title=""/>
                      <o:lock v:ext="edit" aspectratio="f"/>
                    </v:line>
                  </w:pict>
                </mc:Fallback>
              </mc:AlternateContent>
            </w:r>
          </w:p>
          <w:p>
            <w:pPr>
              <w:pStyle w:val="12"/>
              <w:rPr>
                <w:rFonts w:hint="default" w:ascii="Times New Roman" w:hAnsi="Times New Roman" w:eastAsia="宋体" w:cs="Times New Roman"/>
                <w:b/>
                <w:bCs/>
                <w:color w:val="0000FF"/>
                <w:sz w:val="24"/>
              </w:rPr>
            </w:pPr>
            <w:r>
              <w:rPr>
                <w:rFonts w:hint="default" w:ascii="Times New Roman" w:hAnsi="Times New Roman" w:eastAsia="宋体" w:cs="Times New Roman"/>
                <w:sz w:val="24"/>
              </w:rPr>
              <mc:AlternateContent>
                <mc:Choice Requires="wps">
                  <w:drawing>
                    <wp:anchor distT="0" distB="0" distL="114300" distR="114300" simplePos="0" relativeHeight="251683840" behindDoc="0" locked="0" layoutInCell="1" allowOverlap="1">
                      <wp:simplePos x="0" y="0"/>
                      <wp:positionH relativeFrom="column">
                        <wp:posOffset>3312795</wp:posOffset>
                      </wp:positionH>
                      <wp:positionV relativeFrom="paragraph">
                        <wp:posOffset>248285</wp:posOffset>
                      </wp:positionV>
                      <wp:extent cx="741045" cy="249555"/>
                      <wp:effectExtent l="0" t="0" r="0" b="0"/>
                      <wp:wrapNone/>
                      <wp:docPr id="24" name="文本框 95"/>
                      <wp:cNvGraphicFramePr/>
                      <a:graphic xmlns:a="http://schemas.openxmlformats.org/drawingml/2006/main">
                        <a:graphicData uri="http://schemas.microsoft.com/office/word/2010/wordprocessingShape">
                          <wps:wsp>
                            <wps:cNvSpPr txBox="1"/>
                            <wps:spPr>
                              <a:xfrm>
                                <a:off x="0" y="0"/>
                                <a:ext cx="741045" cy="249555"/>
                              </a:xfrm>
                              <a:prstGeom prst="rect">
                                <a:avLst/>
                              </a:prstGeom>
                              <a:noFill/>
                              <a:ln>
                                <a:noFill/>
                              </a:ln>
                            </wps:spPr>
                            <wps:txbx>
                              <w:txbxContent>
                                <w:p>
                                  <w:pPr>
                                    <w:rPr>
                                      <w:rFonts w:hint="default"/>
                                      <w:color w:val="auto"/>
                                      <w:sz w:val="21"/>
                                      <w:szCs w:val="21"/>
                                      <w:lang w:val="en-US" w:eastAsia="zh-CN"/>
                                    </w:rPr>
                                  </w:pPr>
                                  <w:r>
                                    <w:rPr>
                                      <w:rFonts w:hint="eastAsia" w:cs="Times New Roman"/>
                                      <w:color w:val="auto"/>
                                      <w:sz w:val="21"/>
                                      <w:szCs w:val="21"/>
                                      <w:highlight w:val="none"/>
                                      <w:lang w:val="en-US" w:eastAsia="zh-CN"/>
                                    </w:rPr>
                                    <w:t>6085.28</w:t>
                                  </w:r>
                                </w:p>
                              </w:txbxContent>
                            </wps:txbx>
                            <wps:bodyPr upright="1"/>
                          </wps:wsp>
                        </a:graphicData>
                      </a:graphic>
                    </wp:anchor>
                  </w:drawing>
                </mc:Choice>
                <mc:Fallback>
                  <w:pict>
                    <v:shape id="文本框 95" o:spid="_x0000_s1026" o:spt="202" type="#_x0000_t202" style="position:absolute;left:0pt;margin-left:260.85pt;margin-top:19.55pt;height:19.65pt;width:58.35pt;z-index:251683840;mso-width-relative:page;mso-height-relative:page;" filled="f" stroked="f" coordsize="21600,21600" o:gfxdata="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aaEOTX&#10;AAAACQEAAA8AAAAAAAAAAQAgAAAAIgAAAGRycy9kb3ducmV2LnhtbFBLAQIUABQAAAAIAIdO4kA2&#10;7GF2rwEAAE8DAAAOAAAAAAAAAAEAIAAAACYBAABkcnMvZTJvRG9jLnhtbFBLBQYAAAAABgAGAFkB&#10;AABHBQAAAAA=&#10;">
                      <v:fill on="f" focussize="0,0"/>
                      <v:stroke on="f"/>
                      <v:imagedata o:title=""/>
                      <o:lock v:ext="edit" aspectratio="f"/>
                      <v:textbox>
                        <w:txbxContent>
                          <w:p>
                            <w:pPr>
                              <w:rPr>
                                <w:rFonts w:hint="default"/>
                                <w:color w:val="auto"/>
                                <w:sz w:val="21"/>
                                <w:szCs w:val="21"/>
                                <w:lang w:val="en-US" w:eastAsia="zh-CN"/>
                              </w:rPr>
                            </w:pPr>
                            <w:r>
                              <w:rPr>
                                <w:rFonts w:hint="eastAsia" w:cs="Times New Roman"/>
                                <w:color w:val="auto"/>
                                <w:sz w:val="21"/>
                                <w:szCs w:val="21"/>
                                <w:highlight w:val="none"/>
                                <w:lang w:val="en-US" w:eastAsia="zh-CN"/>
                              </w:rPr>
                              <w:t>6085.28</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1312" behindDoc="0" locked="0" layoutInCell="1" allowOverlap="1">
                      <wp:simplePos x="0" y="0"/>
                      <wp:positionH relativeFrom="column">
                        <wp:posOffset>821690</wp:posOffset>
                      </wp:positionH>
                      <wp:positionV relativeFrom="paragraph">
                        <wp:posOffset>107950</wp:posOffset>
                      </wp:positionV>
                      <wp:extent cx="464820" cy="635"/>
                      <wp:effectExtent l="0" t="48895" r="11430" b="64770"/>
                      <wp:wrapNone/>
                      <wp:docPr id="2" name="直线 72"/>
                      <wp:cNvGraphicFramePr/>
                      <a:graphic xmlns:a="http://schemas.openxmlformats.org/drawingml/2006/main">
                        <a:graphicData uri="http://schemas.microsoft.com/office/word/2010/wordprocessingShape">
                          <wps:wsp>
                            <wps:cNvCnPr/>
                            <wps:spPr>
                              <a:xfrm>
                                <a:off x="0" y="0"/>
                                <a:ext cx="46482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2" o:spid="_x0000_s1026" o:spt="20" style="position:absolute;left:0pt;margin-left:64.7pt;margin-top:8.5pt;height:0.05pt;width:36.6pt;z-index:251661312;mso-width-relative:page;mso-height-relative:page;" filled="f" stroked="t" coordsize="21600,21600" o:gfxdata="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nYsPNgAAAAJAQAADwAAAAAAAAABACAAAAAiAAAAZHJzL2Rvd25yZXYueG1sUEsBAhQAFAAA&#10;AAgAh07iQHhgdkjvAQAA3gMAAA4AAAAAAAAAAQAgAAAAJwEAAGRycy9lMm9Eb2MueG1sUEsFBgAA&#10;AAAGAAYAWQEAAIgFAAAAAA==&#10;">
                      <v:fill on="f" focussize="0,0"/>
                      <v:stroke color="#000000" joinstyle="round" endarrow="open"/>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4864" behindDoc="0" locked="0" layoutInCell="1" allowOverlap="1">
                      <wp:simplePos x="0" y="0"/>
                      <wp:positionH relativeFrom="column">
                        <wp:posOffset>2974340</wp:posOffset>
                      </wp:positionH>
                      <wp:positionV relativeFrom="paragraph">
                        <wp:posOffset>63500</wp:posOffset>
                      </wp:positionV>
                      <wp:extent cx="965835" cy="249555"/>
                      <wp:effectExtent l="0" t="0" r="0" b="0"/>
                      <wp:wrapNone/>
                      <wp:docPr id="25" name="文本框 96"/>
                      <wp:cNvGraphicFramePr/>
                      <a:graphic xmlns:a="http://schemas.openxmlformats.org/drawingml/2006/main">
                        <a:graphicData uri="http://schemas.microsoft.com/office/word/2010/wordprocessingShape">
                          <wps:wsp>
                            <wps:cNvSpPr txBox="1"/>
                            <wps:spPr>
                              <a:xfrm>
                                <a:off x="0" y="0"/>
                                <a:ext cx="965835" cy="249555"/>
                              </a:xfrm>
                              <a:prstGeom prst="rect">
                                <a:avLst/>
                              </a:prstGeom>
                              <a:noFill/>
                              <a:ln>
                                <a:noFill/>
                              </a:ln>
                            </wps:spPr>
                            <wps:txbx>
                              <w:txbxContent>
                                <w:p>
                                  <w:pPr>
                                    <w:jc w:val="both"/>
                                    <w:rPr>
                                      <w:rFonts w:hint="default" w:eastAsia="宋体"/>
                                      <w:lang w:val="en-US" w:eastAsia="zh-CN"/>
                                    </w:rPr>
                                  </w:pPr>
                                  <w:r>
                                    <w:rPr>
                                      <w:rFonts w:hint="eastAsia"/>
                                      <w:lang w:val="en-US" w:eastAsia="zh-CN"/>
                                    </w:rPr>
                                    <w:t>损耗1521.32</w:t>
                                  </w:r>
                                </w:p>
                              </w:txbxContent>
                            </wps:txbx>
                            <wps:bodyPr upright="1"/>
                          </wps:wsp>
                        </a:graphicData>
                      </a:graphic>
                    </wp:anchor>
                  </w:drawing>
                </mc:Choice>
                <mc:Fallback>
                  <w:pict>
                    <v:shape id="文本框 96" o:spid="_x0000_s1026" o:spt="202" type="#_x0000_t202" style="position:absolute;left:0pt;margin-left:234.2pt;margin-top:5pt;height:19.65pt;width:76.05pt;z-index:251684864;mso-width-relative:page;mso-height-relative:page;" filled="f" stroked="f" coordsize="21600,21600" o:gfxdata="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FDEzXVAAAA&#10;CQEAAA8AAAAAAAAAAQAgAAAAIgAAAGRycy9kb3ducmV2LnhtbFBLAQIUABQAAAAIAIdO4kB1Toqt&#10;rgEAAE8DAAAOAAAAAAAAAAEAIAAAACQBAABkcnMvZTJvRG9jLnhtbFBLBQYAAAAABgAGAFkBAABE&#10;BQAAAAA=&#10;">
                      <v:fill on="f" focussize="0,0"/>
                      <v:stroke on="f"/>
                      <v:imagedata o:title=""/>
                      <o:lock v:ext="edit" aspectratio="f"/>
                      <v:textbox>
                        <w:txbxContent>
                          <w:p>
                            <w:pPr>
                              <w:jc w:val="both"/>
                              <w:rPr>
                                <w:rFonts w:hint="default" w:eastAsia="宋体"/>
                                <w:lang w:val="en-US" w:eastAsia="zh-CN"/>
                              </w:rPr>
                            </w:pPr>
                            <w:r>
                              <w:rPr>
                                <w:rFonts w:hint="eastAsia"/>
                                <w:lang w:val="en-US" w:eastAsia="zh-CN"/>
                              </w:rPr>
                              <w:t>损耗1521.32</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1792" behindDoc="0" locked="0" layoutInCell="1" allowOverlap="1">
                      <wp:simplePos x="0" y="0"/>
                      <wp:positionH relativeFrom="column">
                        <wp:posOffset>2717165</wp:posOffset>
                      </wp:positionH>
                      <wp:positionV relativeFrom="paragraph">
                        <wp:posOffset>216535</wp:posOffset>
                      </wp:positionV>
                      <wp:extent cx="245745" cy="121285"/>
                      <wp:effectExtent l="1905" t="6985" r="0" b="5080"/>
                      <wp:wrapNone/>
                      <wp:docPr id="22" name="直线 93"/>
                      <wp:cNvGraphicFramePr/>
                      <a:graphic xmlns:a="http://schemas.openxmlformats.org/drawingml/2006/main">
                        <a:graphicData uri="http://schemas.microsoft.com/office/word/2010/wordprocessingShape">
                          <wps:wsp>
                            <wps:cNvCnPr/>
                            <wps:spPr>
                              <a:xfrm flipV="1">
                                <a:off x="0" y="0"/>
                                <a:ext cx="245745" cy="1212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93" o:spid="_x0000_s1026" o:spt="20" style="position:absolute;left:0pt;flip:y;margin-left:213.95pt;margin-top:17.05pt;height:9.55pt;width:19.35pt;z-index:251681792;mso-width-relative:page;mso-height-relative:page;" filled="f" stroked="t" coordsize="21600,21600" o:gfxdata="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pHWit2QAAAAkBAAAPAAAAAAAAAAEAIAAAACIAAABkcnMvZG93bnJldi54&#10;bWxQSwECFAAUAAAACACHTuJAVxOllvkBAADsAwAADgAAAAAAAAABACAAAAAoAQAAZHJzL2Uyb0Rv&#10;Yy54bWxQSwUGAAAAAAYABgBZAQAAkwUAAAAA&#10;">
                      <v:fill on="f" focussize="0,0"/>
                      <v:stroke color="#000000" joinstyle="round" endarrow="open"/>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2576" behindDoc="0" locked="0" layoutInCell="1" allowOverlap="1">
                      <wp:simplePos x="0" y="0"/>
                      <wp:positionH relativeFrom="column">
                        <wp:posOffset>1291590</wp:posOffset>
                      </wp:positionH>
                      <wp:positionV relativeFrom="paragraph">
                        <wp:posOffset>215265</wp:posOffset>
                      </wp:positionV>
                      <wp:extent cx="658495" cy="249555"/>
                      <wp:effectExtent l="0" t="0" r="0" b="0"/>
                      <wp:wrapNone/>
                      <wp:docPr id="13" name="文本框 84"/>
                      <wp:cNvGraphicFramePr/>
                      <a:graphic xmlns:a="http://schemas.openxmlformats.org/drawingml/2006/main">
                        <a:graphicData uri="http://schemas.microsoft.com/office/word/2010/wordprocessingShape">
                          <wps:wsp>
                            <wps:cNvSpPr txBox="1"/>
                            <wps:spPr>
                              <a:xfrm>
                                <a:off x="0" y="0"/>
                                <a:ext cx="658495" cy="249555"/>
                              </a:xfrm>
                              <a:prstGeom prst="rect">
                                <a:avLst/>
                              </a:prstGeom>
                              <a:noFill/>
                              <a:ln>
                                <a:noFill/>
                              </a:ln>
                            </wps:spPr>
                            <wps:txbx>
                              <w:txbxContent>
                                <w:p>
                                  <w:pPr>
                                    <w:rPr>
                                      <w:rFonts w:hint="default" w:eastAsia="宋体"/>
                                      <w:lang w:val="en-US" w:eastAsia="zh-CN"/>
                                    </w:rPr>
                                  </w:pPr>
                                  <w:r>
                                    <w:rPr>
                                      <w:rFonts w:hint="eastAsia"/>
                                      <w:lang w:val="en-US" w:eastAsia="zh-CN"/>
                                    </w:rPr>
                                    <w:t>7606.6</w:t>
                                  </w:r>
                                </w:p>
                              </w:txbxContent>
                            </wps:txbx>
                            <wps:bodyPr upright="1"/>
                          </wps:wsp>
                        </a:graphicData>
                      </a:graphic>
                    </wp:anchor>
                  </w:drawing>
                </mc:Choice>
                <mc:Fallback>
                  <w:pict>
                    <v:shape id="文本框 84" o:spid="_x0000_s1026" o:spt="202" type="#_x0000_t202" style="position:absolute;left:0pt;margin-left:101.7pt;margin-top:16.95pt;height:19.65pt;width:51.85pt;z-index:251672576;mso-width-relative:page;mso-height-relative:page;" filled="f" stroked="f" coordsize="21600,21600" o:gfxdata="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6TgGL1wAA&#10;AAkBAAAPAAAAAAAAAAEAIAAAACIAAABkcnMvZG93bnJldi54bWxQSwECFAAUAAAACACHTuJA5sc6&#10;Ga0BAABPAwAADgAAAAAAAAABACAAAAAmAQAAZHJzL2Uyb0RvYy54bWxQSwUGAAAAAAYABgBZAQAA&#10;RQUAAAAA&#10;">
                      <v:fill on="f" focussize="0,0"/>
                      <v:stroke on="f"/>
                      <v:imagedata o:title=""/>
                      <o:lock v:ext="edit" aspectratio="f"/>
                      <v:textbox>
                        <w:txbxContent>
                          <w:p>
                            <w:pPr>
                              <w:rPr>
                                <w:rFonts w:hint="default" w:eastAsia="宋体"/>
                                <w:lang w:val="en-US" w:eastAsia="zh-CN"/>
                              </w:rPr>
                            </w:pPr>
                            <w:r>
                              <w:rPr>
                                <w:rFonts w:hint="eastAsia"/>
                                <w:lang w:val="en-US" w:eastAsia="zh-CN"/>
                              </w:rPr>
                              <w:t>7606.6</w:t>
                            </w:r>
                          </w:p>
                        </w:txbxContent>
                      </v:textbox>
                    </v:shape>
                  </w:pict>
                </mc:Fallback>
              </mc:AlternateContent>
            </w:r>
          </w:p>
          <w:p>
            <w:pPr>
              <w:pStyle w:val="13"/>
              <w:rPr>
                <w:rFonts w:hint="default" w:ascii="Times New Roman" w:hAnsi="Times New Roman" w:eastAsia="宋体" w:cs="Times New Roman"/>
                <w:b/>
                <w:bCs/>
                <w:color w:val="0000FF"/>
                <w:sz w:val="24"/>
              </w:rPr>
            </w:pPr>
            <w:r>
              <w:rPr>
                <w:rFonts w:hint="default" w:ascii="Times New Roman" w:hAnsi="Times New Roman" w:eastAsia="宋体" w:cs="Times New Roman"/>
                <w:sz w:val="24"/>
              </w:rPr>
              <mc:AlternateContent>
                <mc:Choice Requires="wps">
                  <w:drawing>
                    <wp:anchor distT="0" distB="0" distL="114300" distR="114300" simplePos="0" relativeHeight="251689984" behindDoc="0" locked="0" layoutInCell="1" allowOverlap="1">
                      <wp:simplePos x="0" y="0"/>
                      <wp:positionH relativeFrom="column">
                        <wp:posOffset>4296410</wp:posOffset>
                      </wp:positionH>
                      <wp:positionV relativeFrom="paragraph">
                        <wp:posOffset>-393065</wp:posOffset>
                      </wp:positionV>
                      <wp:extent cx="10795" cy="1175385"/>
                      <wp:effectExtent l="4445" t="0" r="15240" b="13335"/>
                      <wp:wrapNone/>
                      <wp:docPr id="30" name="直线 101"/>
                      <wp:cNvGraphicFramePr/>
                      <a:graphic xmlns:a="http://schemas.openxmlformats.org/drawingml/2006/main">
                        <a:graphicData uri="http://schemas.microsoft.com/office/word/2010/wordprocessingShape">
                          <wps:wsp>
                            <wps:cNvCnPr/>
                            <wps:spPr>
                              <a:xfrm>
                                <a:off x="0" y="0"/>
                                <a:ext cx="10795" cy="11753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1" o:spid="_x0000_s1026" o:spt="20" style="position:absolute;left:0pt;margin-left:338.3pt;margin-top:-30.95pt;height:92.55pt;width:0.85pt;z-index:251689984;mso-width-relative:page;mso-height-relative:page;" filled="f" stroked="t" coordsize="21600,21600" o:gfxdata="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0gTFrZAAAACwEAAA8AAAAAAAAAAQAgAAAAIgAAAGRycy9kb3ducmV2LnhtbFBLAQIUABQAAAAI&#10;AIdO4kB2ej+z7AEAAOIDAAAOAAAAAAAAAAEAIAAAACgBAABkcnMvZTJvRG9jLnhtbFBLBQYAAAAA&#10;BgAGAFkBAACGBQAAAAA=&#10;">
                      <v:fill on="f" focussize="0,0"/>
                      <v:stroke color="#000000" joinstyle="round"/>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93056" behindDoc="0" locked="0" layoutInCell="1" allowOverlap="1">
                      <wp:simplePos x="0" y="0"/>
                      <wp:positionH relativeFrom="column">
                        <wp:posOffset>2953385</wp:posOffset>
                      </wp:positionH>
                      <wp:positionV relativeFrom="paragraph">
                        <wp:posOffset>323215</wp:posOffset>
                      </wp:positionV>
                      <wp:extent cx="862330" cy="249555"/>
                      <wp:effectExtent l="0" t="0" r="0" b="0"/>
                      <wp:wrapNone/>
                      <wp:docPr id="34" name="文本框 106"/>
                      <wp:cNvGraphicFramePr/>
                      <a:graphic xmlns:a="http://schemas.openxmlformats.org/drawingml/2006/main">
                        <a:graphicData uri="http://schemas.microsoft.com/office/word/2010/wordprocessingShape">
                          <wps:wsp>
                            <wps:cNvSpPr txBox="1"/>
                            <wps:spPr>
                              <a:xfrm>
                                <a:off x="0" y="0"/>
                                <a:ext cx="862330" cy="249555"/>
                              </a:xfrm>
                              <a:prstGeom prst="rect">
                                <a:avLst/>
                              </a:prstGeom>
                              <a:noFill/>
                              <a:ln>
                                <a:noFill/>
                              </a:ln>
                            </wps:spPr>
                            <wps:txbx>
                              <w:txbxContent>
                                <w:p>
                                  <w:pPr>
                                    <w:jc w:val="both"/>
                                    <w:rPr>
                                      <w:rFonts w:hint="default" w:eastAsia="宋体"/>
                                      <w:lang w:val="en-US" w:eastAsia="zh-CN"/>
                                    </w:rPr>
                                  </w:pPr>
                                  <w:r>
                                    <w:rPr>
                                      <w:rFonts w:hint="eastAsia"/>
                                      <w:lang w:val="en-US" w:eastAsia="zh-CN"/>
                                    </w:rPr>
                                    <w:t>损耗525.6</w:t>
                                  </w:r>
                                </w:p>
                              </w:txbxContent>
                            </wps:txbx>
                            <wps:bodyPr upright="1"/>
                          </wps:wsp>
                        </a:graphicData>
                      </a:graphic>
                    </wp:anchor>
                  </w:drawing>
                </mc:Choice>
                <mc:Fallback>
                  <w:pict>
                    <v:shape id="文本框 106" o:spid="_x0000_s1026" o:spt="202" type="#_x0000_t202" style="position:absolute;left:0pt;margin-left:232.55pt;margin-top:25.45pt;height:19.65pt;width:67.9pt;z-index:251693056;mso-width-relative:page;mso-height-relative:page;" filled="f" stroked="f" coordsize="21600,21600" o:gfxdata="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qzwDt9YA&#10;AAAJAQAADwAAAAAAAAABACAAAAAiAAAAZHJzL2Rvd25yZXYueG1sUEsBAhQAFAAAAAgAh07iQMwP&#10;O52vAQAAUAMAAA4AAAAAAAAAAQAgAAAAJQEAAGRycy9lMm9Eb2MueG1sUEsFBgAAAAAGAAYAWQEA&#10;AEYFAAAAAA==&#10;">
                      <v:fill on="f" focussize="0,0"/>
                      <v:stroke on="f"/>
                      <v:imagedata o:title=""/>
                      <o:lock v:ext="edit" aspectratio="f"/>
                      <v:textbox>
                        <w:txbxContent>
                          <w:p>
                            <w:pPr>
                              <w:jc w:val="both"/>
                              <w:rPr>
                                <w:rFonts w:hint="default" w:eastAsia="宋体"/>
                                <w:lang w:val="en-US" w:eastAsia="zh-CN"/>
                              </w:rPr>
                            </w:pPr>
                            <w:r>
                              <w:rPr>
                                <w:rFonts w:hint="eastAsia"/>
                                <w:lang w:val="en-US" w:eastAsia="zh-CN"/>
                              </w:rPr>
                              <w:t>损耗525.6</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8720" behindDoc="0" locked="0" layoutInCell="1" allowOverlap="1">
                      <wp:simplePos x="0" y="0"/>
                      <wp:positionH relativeFrom="column">
                        <wp:posOffset>2828290</wp:posOffset>
                      </wp:positionH>
                      <wp:positionV relativeFrom="paragraph">
                        <wp:posOffset>171450</wp:posOffset>
                      </wp:positionV>
                      <wp:extent cx="1480820" cy="10795"/>
                      <wp:effectExtent l="0" t="38735" r="5080" b="64770"/>
                      <wp:wrapNone/>
                      <wp:docPr id="19" name="直线 90"/>
                      <wp:cNvGraphicFramePr/>
                      <a:graphic xmlns:a="http://schemas.openxmlformats.org/drawingml/2006/main">
                        <a:graphicData uri="http://schemas.microsoft.com/office/word/2010/wordprocessingShape">
                          <wps:wsp>
                            <wps:cNvCnPr/>
                            <wps:spPr>
                              <a:xfrm>
                                <a:off x="0" y="0"/>
                                <a:ext cx="1480820" cy="1079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90" o:spid="_x0000_s1026" o:spt="20" style="position:absolute;left:0pt;margin-left:222.7pt;margin-top:13.5pt;height:0.85pt;width:116.6pt;z-index:251678720;mso-width-relative:page;mso-height-relative:page;" filled="f" stroked="t" coordsize="21600,21600" o:gfxdata="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idvdXaAAAACQEAAA8AAAAAAAAAAQAgAAAAIgAAAGRycy9kb3ducmV2LnhtbFBLAQIU&#10;ABQAAAAIAIdO4kCRsW298QEAAOIDAAAOAAAAAAAAAAEAIAAAACkBAABkcnMvZTJvRG9jLnhtbFBL&#10;BQYAAAAABgAGAFkBAACMBQAAAAA=&#10;">
                      <v:fill on="f" focussize="0,0"/>
                      <v:stroke color="#000000" joinstyle="round" endarrow="open"/>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8480" behindDoc="0" locked="0" layoutInCell="1" allowOverlap="1">
                      <wp:simplePos x="0" y="0"/>
                      <wp:positionH relativeFrom="column">
                        <wp:posOffset>1894205</wp:posOffset>
                      </wp:positionH>
                      <wp:positionV relativeFrom="paragraph">
                        <wp:posOffset>11430</wp:posOffset>
                      </wp:positionV>
                      <wp:extent cx="918210" cy="295275"/>
                      <wp:effectExtent l="4445" t="4445" r="10795" b="5080"/>
                      <wp:wrapNone/>
                      <wp:docPr id="9" name="矩形 80"/>
                      <wp:cNvGraphicFramePr/>
                      <a:graphic xmlns:a="http://schemas.openxmlformats.org/drawingml/2006/main">
                        <a:graphicData uri="http://schemas.microsoft.com/office/word/2010/wordprocessingShape">
                          <wps:wsp>
                            <wps:cNvSpPr/>
                            <wps:spPr>
                              <a:xfrm>
                                <a:off x="0" y="0"/>
                                <a:ext cx="91821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生活用水</w:t>
                                  </w:r>
                                </w:p>
                              </w:txbxContent>
                            </wps:txbx>
                            <wps:bodyPr upright="1"/>
                          </wps:wsp>
                        </a:graphicData>
                      </a:graphic>
                    </wp:anchor>
                  </w:drawing>
                </mc:Choice>
                <mc:Fallback>
                  <w:pict>
                    <v:rect id="矩形 80" o:spid="_x0000_s1026" o:spt="1" style="position:absolute;left:0pt;margin-left:149.15pt;margin-top:0.9pt;height:23.25pt;width:72.3pt;z-index:251668480;mso-width-relative:page;mso-height-relative:page;" fillcolor="#FFFFFF" filled="t" stroked="t" coordsize="21600,21600" o:gfxdata="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5t+2PWAAAACAEAAA8AAAAAAAAAAQAgAAAAIgAAAGRycy9kb3ducmV2&#10;LnhtbFBLAQIUABQAAAAIAIdO4kCQ382p/gEAACkEAAAOAAAAAAAAAAEAIAAAACUBAABkcnMvZTJv&#10;RG9jLnhtbFBLBQYAAAAABgAGAFkBAACV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生活用水</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4384" behindDoc="0" locked="0" layoutInCell="1" allowOverlap="1">
                      <wp:simplePos x="0" y="0"/>
                      <wp:positionH relativeFrom="column">
                        <wp:posOffset>1310005</wp:posOffset>
                      </wp:positionH>
                      <wp:positionV relativeFrom="paragraph">
                        <wp:posOffset>164465</wp:posOffset>
                      </wp:positionV>
                      <wp:extent cx="577850" cy="635"/>
                      <wp:effectExtent l="0" t="48895" r="12700" b="64770"/>
                      <wp:wrapNone/>
                      <wp:docPr id="5" name="直线 76"/>
                      <wp:cNvGraphicFramePr/>
                      <a:graphic xmlns:a="http://schemas.openxmlformats.org/drawingml/2006/main">
                        <a:graphicData uri="http://schemas.microsoft.com/office/word/2010/wordprocessingShape">
                          <wps:wsp>
                            <wps:cNvCnPr/>
                            <wps:spPr>
                              <a:xfrm flipV="1">
                                <a:off x="0" y="0"/>
                                <a:ext cx="577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6" o:spid="_x0000_s1026" o:spt="20" style="position:absolute;left:0pt;flip:y;margin-left:103.15pt;margin-top:12.95pt;height:0.05pt;width:45.5pt;z-index:251664384;mso-width-relative:page;mso-height-relative:page;" filled="f" stroked="t" coordsize="21600,21600" o:gfxdata="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qK6xPYAAAACQEAAA8AAAAAAAAAAQAgAAAAIgAAAGRycy9kb3ducmV2LnhtbFBL&#10;AQIUABQAAAAIAIdO4kA4W1mE9gEAAOgDAAAOAAAAAAAAAAEAIAAAACcBAABkcnMvZTJvRG9jLnht&#10;bFBLBQYAAAAABgAGAFkBAACPBQAAAAA=&#10;">
                      <v:fill on="f" focussize="0,0"/>
                      <v:stroke color="#000000" joinstyle="round" endarrow="open"/>
                      <v:imagedata o:title=""/>
                      <o:lock v:ext="edit" aspectratio="f"/>
                    </v:line>
                  </w:pict>
                </mc:Fallback>
              </mc:AlternateContent>
            </w:r>
          </w:p>
          <w:p>
            <w:pPr>
              <w:pStyle w:val="13"/>
              <w:rPr>
                <w:rFonts w:hint="default" w:ascii="Times New Roman" w:hAnsi="Times New Roman" w:eastAsia="宋体" w:cs="Times New Roman"/>
                <w:b/>
                <w:bCs/>
                <w:color w:val="0000FF"/>
                <w:sz w:val="24"/>
              </w:rPr>
            </w:pPr>
            <w:r>
              <w:rPr>
                <w:rFonts w:hint="default" w:ascii="Times New Roman" w:hAnsi="Times New Roman" w:eastAsia="宋体" w:cs="Times New Roman"/>
                <w:sz w:val="24"/>
              </w:rPr>
              <mc:AlternateContent>
                <mc:Choice Requires="wps">
                  <w:drawing>
                    <wp:anchor distT="0" distB="0" distL="114300" distR="114300" simplePos="0" relativeHeight="251685888" behindDoc="0" locked="0" layoutInCell="1" allowOverlap="1">
                      <wp:simplePos x="0" y="0"/>
                      <wp:positionH relativeFrom="column">
                        <wp:posOffset>3844290</wp:posOffset>
                      </wp:positionH>
                      <wp:positionV relativeFrom="paragraph">
                        <wp:posOffset>36195</wp:posOffset>
                      </wp:positionV>
                      <wp:extent cx="741045" cy="249555"/>
                      <wp:effectExtent l="0" t="0" r="0" b="0"/>
                      <wp:wrapNone/>
                      <wp:docPr id="26" name="文本框 97"/>
                      <wp:cNvGraphicFramePr/>
                      <a:graphic xmlns:a="http://schemas.openxmlformats.org/drawingml/2006/main">
                        <a:graphicData uri="http://schemas.microsoft.com/office/word/2010/wordprocessingShape">
                          <wps:wsp>
                            <wps:cNvSpPr txBox="1"/>
                            <wps:spPr>
                              <a:xfrm>
                                <a:off x="0" y="0"/>
                                <a:ext cx="741045" cy="249555"/>
                              </a:xfrm>
                              <a:prstGeom prst="rect">
                                <a:avLst/>
                              </a:prstGeom>
                              <a:noFill/>
                              <a:ln>
                                <a:noFill/>
                              </a:ln>
                            </wps:spPr>
                            <wps:txbx>
                              <w:txbxContent>
                                <w:p>
                                  <w:pPr>
                                    <w:rPr>
                                      <w:rFonts w:hint="default"/>
                                      <w:sz w:val="21"/>
                                      <w:szCs w:val="21"/>
                                      <w:lang w:val="en-US" w:eastAsia="zh-CN"/>
                                    </w:rPr>
                                  </w:pPr>
                                  <w:r>
                                    <w:rPr>
                                      <w:rFonts w:hint="eastAsia" w:ascii="Times New Roman" w:hAnsi="Times New Roman" w:eastAsia="宋体" w:cs="Times New Roman"/>
                                      <w:color w:val="auto"/>
                                      <w:kern w:val="0"/>
                                      <w:sz w:val="21"/>
                                      <w:szCs w:val="21"/>
                                      <w:lang w:val="en-US" w:eastAsia="zh-CN" w:bidi="en-US"/>
                                    </w:rPr>
                                    <w:t>2102.4</w:t>
                                  </w:r>
                                </w:p>
                              </w:txbxContent>
                            </wps:txbx>
                            <wps:bodyPr upright="1"/>
                          </wps:wsp>
                        </a:graphicData>
                      </a:graphic>
                    </wp:anchor>
                  </w:drawing>
                </mc:Choice>
                <mc:Fallback>
                  <w:pict>
                    <v:shape id="文本框 97" o:spid="_x0000_s1026" o:spt="202" type="#_x0000_t202" style="position:absolute;left:0pt;margin-left:302.7pt;margin-top:2.85pt;height:19.65pt;width:58.35pt;z-index:251685888;mso-width-relative:page;mso-height-relative:page;" filled="f" stroked="f" coordsize="21600,21600" o:gfxdata="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mT4SPtYA&#10;AAAIAQAADwAAAAAAAAABACAAAAAiAAAAZHJzL2Rvd25yZXYueG1sUEsBAhQAFAAAAAgAh07iQAK6&#10;2aKvAQAATwMAAA4AAAAAAAAAAQAgAAAAJQEAAGRycy9lMm9Eb2MueG1sUEsFBgAAAAAGAAYAWQEA&#10;AEYFAAAAAA==&#10;">
                      <v:fill on="f" focussize="0,0"/>
                      <v:stroke on="f"/>
                      <v:imagedata o:title=""/>
                      <o:lock v:ext="edit" aspectratio="f"/>
                      <v:textbox>
                        <w:txbxContent>
                          <w:p>
                            <w:pPr>
                              <w:rPr>
                                <w:rFonts w:hint="default"/>
                                <w:sz w:val="21"/>
                                <w:szCs w:val="21"/>
                                <w:lang w:val="en-US" w:eastAsia="zh-CN"/>
                              </w:rPr>
                            </w:pPr>
                            <w:r>
                              <w:rPr>
                                <w:rFonts w:hint="eastAsia" w:ascii="Times New Roman" w:hAnsi="Times New Roman" w:eastAsia="宋体" w:cs="Times New Roman"/>
                                <w:color w:val="auto"/>
                                <w:kern w:val="0"/>
                                <w:sz w:val="21"/>
                                <w:szCs w:val="21"/>
                                <w:lang w:val="en-US" w:eastAsia="zh-CN" w:bidi="en-US"/>
                              </w:rPr>
                              <w:t>2102.4</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7936" behindDoc="0" locked="0" layoutInCell="1" allowOverlap="1">
                      <wp:simplePos x="0" y="0"/>
                      <wp:positionH relativeFrom="column">
                        <wp:posOffset>3933190</wp:posOffset>
                      </wp:positionH>
                      <wp:positionV relativeFrom="paragraph">
                        <wp:posOffset>322580</wp:posOffset>
                      </wp:positionV>
                      <wp:extent cx="376555" cy="9525"/>
                      <wp:effectExtent l="0" t="46990" r="4445" b="57785"/>
                      <wp:wrapNone/>
                      <wp:docPr id="28" name="直线 99"/>
                      <wp:cNvGraphicFramePr/>
                      <a:graphic xmlns:a="http://schemas.openxmlformats.org/drawingml/2006/main">
                        <a:graphicData uri="http://schemas.microsoft.com/office/word/2010/wordprocessingShape">
                          <wps:wsp>
                            <wps:cNvCnPr/>
                            <wps:spPr>
                              <a:xfrm flipV="1">
                                <a:off x="0" y="0"/>
                                <a:ext cx="376555"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99" o:spid="_x0000_s1026" o:spt="20" style="position:absolute;left:0pt;flip:y;margin-left:309.7pt;margin-top:25.4pt;height:0.75pt;width:29.65pt;z-index:251687936;mso-width-relative:page;mso-height-relative:page;" filled="f" stroked="t" coordsize="21600,21600" o:gfxdata="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532HS9gAAAAJAQAADwAAAAAAAAABACAAAAAiAAAAZHJzL2Rvd25yZXYueG1sUEsB&#10;AhQAFAAAAAgAh07iQDxf3db1AQAA6gMAAA4AAAAAAAAAAQAgAAAAJwEAAGRycy9lMm9Eb2MueG1s&#10;UEsFBgAAAAAGAAYAWQEAAI4FAAAAAA==&#10;">
                      <v:fill on="f" focussize="0,0"/>
                      <v:stroke color="#000000" joinstyle="round" endarrow="open"/>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6912" behindDoc="0" locked="0" layoutInCell="1" allowOverlap="1">
                      <wp:simplePos x="0" y="0"/>
                      <wp:positionH relativeFrom="column">
                        <wp:posOffset>3110230</wp:posOffset>
                      </wp:positionH>
                      <wp:positionV relativeFrom="paragraph">
                        <wp:posOffset>182880</wp:posOffset>
                      </wp:positionV>
                      <wp:extent cx="815975" cy="295275"/>
                      <wp:effectExtent l="4445" t="4445" r="17780" b="5080"/>
                      <wp:wrapNone/>
                      <wp:docPr id="27" name="矩形 98"/>
                      <wp:cNvGraphicFramePr/>
                      <a:graphic xmlns:a="http://schemas.openxmlformats.org/drawingml/2006/main">
                        <a:graphicData uri="http://schemas.microsoft.com/office/word/2010/wordprocessingShape">
                          <wps:wsp>
                            <wps:cNvSpPr/>
                            <wps:spPr>
                              <a:xfrm>
                                <a:off x="0" y="0"/>
                                <a:ext cx="8159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隔油沉淀</w:t>
                                  </w:r>
                                </w:p>
                              </w:txbxContent>
                            </wps:txbx>
                            <wps:bodyPr upright="1"/>
                          </wps:wsp>
                        </a:graphicData>
                      </a:graphic>
                    </wp:anchor>
                  </w:drawing>
                </mc:Choice>
                <mc:Fallback>
                  <w:pict>
                    <v:rect id="矩形 98" o:spid="_x0000_s1026" o:spt="1" style="position:absolute;left:0pt;margin-left:244.9pt;margin-top:14.4pt;height:23.25pt;width:64.25pt;z-index:251686912;mso-width-relative:page;mso-height-relative:page;" fillcolor="#FFFFFF" filled="t" stroked="t" coordsize="21600,21600" o:gfxdata="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WXyk2QAAAAkBAAAPAAAAAAAAAAEAIAAAACIAAABkcnMvZG93&#10;bnJldi54bWxQSwECFAAUAAAACACHTuJAYlzrHP8BAAAqBAAADgAAAAAAAAABACAAAAAoAQAAZHJz&#10;L2Uyb0RvYy54bWxQSwUGAAAAAAYABgBZAQAAmQ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隔油沉淀</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2816" behindDoc="0" locked="0" layoutInCell="1" allowOverlap="1">
                      <wp:simplePos x="0" y="0"/>
                      <wp:positionH relativeFrom="column">
                        <wp:posOffset>2646045</wp:posOffset>
                      </wp:positionH>
                      <wp:positionV relativeFrom="paragraph">
                        <wp:posOffset>48260</wp:posOffset>
                      </wp:positionV>
                      <wp:extent cx="295910" cy="100965"/>
                      <wp:effectExtent l="1270" t="19050" r="7620" b="13335"/>
                      <wp:wrapNone/>
                      <wp:docPr id="23" name="直线 94"/>
                      <wp:cNvGraphicFramePr/>
                      <a:graphic xmlns:a="http://schemas.openxmlformats.org/drawingml/2006/main">
                        <a:graphicData uri="http://schemas.microsoft.com/office/word/2010/wordprocessingShape">
                          <wps:wsp>
                            <wps:cNvCnPr/>
                            <wps:spPr>
                              <a:xfrm flipV="1">
                                <a:off x="0" y="0"/>
                                <a:ext cx="295910" cy="10096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94" o:spid="_x0000_s1026" o:spt="20" style="position:absolute;left:0pt;flip:y;margin-left:208.35pt;margin-top:3.8pt;height:7.95pt;width:23.3pt;z-index:251682816;mso-width-relative:page;mso-height-relative:page;" filled="f" stroked="t" coordsize="21600,21600" o:gfxdata="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6FmY7YAAAACAEAAA8AAAAAAAAAAQAgAAAAIgAAAGRycy9kb3ducmV2Lnht&#10;bFBLAQIUABQAAAAIAIdO4kDaNt//+QEAAOwDAAAOAAAAAAAAAAEAIAAAACcBAABkcnMvZTJvRG9j&#10;LnhtbFBLBQYAAAAABgAGAFkBAACSBQAAAAA=&#10;">
                      <v:fill on="f" focussize="0,0"/>
                      <v:stroke color="#000000" joinstyle="round" endarrow="open"/>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9744" behindDoc="0" locked="0" layoutInCell="1" allowOverlap="1">
                      <wp:simplePos x="0" y="0"/>
                      <wp:positionH relativeFrom="column">
                        <wp:posOffset>2807970</wp:posOffset>
                      </wp:positionH>
                      <wp:positionV relativeFrom="paragraph">
                        <wp:posOffset>312420</wp:posOffset>
                      </wp:positionV>
                      <wp:extent cx="295910" cy="9525"/>
                      <wp:effectExtent l="0" t="46355" r="8890" b="58420"/>
                      <wp:wrapNone/>
                      <wp:docPr id="20" name="直线 91"/>
                      <wp:cNvGraphicFramePr/>
                      <a:graphic xmlns:a="http://schemas.openxmlformats.org/drawingml/2006/main">
                        <a:graphicData uri="http://schemas.microsoft.com/office/word/2010/wordprocessingShape">
                          <wps:wsp>
                            <wps:cNvCnPr/>
                            <wps:spPr>
                              <a:xfrm flipV="1">
                                <a:off x="0" y="0"/>
                                <a:ext cx="295910" cy="952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91" o:spid="_x0000_s1026" o:spt="20" style="position:absolute;left:0pt;flip:y;margin-left:221.1pt;margin-top:24.6pt;height:0.75pt;width:23.3pt;z-index:251679744;mso-width-relative:page;mso-height-relative:page;" filled="f" stroked="t" coordsize="21600,21600" o:gfxdata="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p5SWtgAAAAJAQAADwAAAAAAAAABACAAAAAiAAAAZHJzL2Rvd25yZXYueG1sUEsBAhQA&#10;FAAAAAgAh07iQJ5Ac7nyAQAA6gMAAA4AAAAAAAAAAQAgAAAAJwEAAGRycy9lMm9Eb2MueG1sUEsF&#10;BgAAAAAGAAYAWQEAAIsFAAAAAA==&#10;">
                      <v:fill on="f" focussize="0,0"/>
                      <v:stroke color="#000000" joinstyle="round" endarrow="open"/>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3600" behindDoc="0" locked="0" layoutInCell="1" allowOverlap="1">
                      <wp:simplePos x="0" y="0"/>
                      <wp:positionH relativeFrom="column">
                        <wp:posOffset>1301115</wp:posOffset>
                      </wp:positionH>
                      <wp:positionV relativeFrom="paragraph">
                        <wp:posOffset>16510</wp:posOffset>
                      </wp:positionV>
                      <wp:extent cx="658495" cy="249555"/>
                      <wp:effectExtent l="0" t="0" r="0" b="0"/>
                      <wp:wrapNone/>
                      <wp:docPr id="14" name="文本框 85"/>
                      <wp:cNvGraphicFramePr/>
                      <a:graphic xmlns:a="http://schemas.openxmlformats.org/drawingml/2006/main">
                        <a:graphicData uri="http://schemas.microsoft.com/office/word/2010/wordprocessingShape">
                          <wps:wsp>
                            <wps:cNvSpPr txBox="1"/>
                            <wps:spPr>
                              <a:xfrm>
                                <a:off x="0" y="0"/>
                                <a:ext cx="658495" cy="249555"/>
                              </a:xfrm>
                              <a:prstGeom prst="rect">
                                <a:avLst/>
                              </a:prstGeom>
                              <a:noFill/>
                              <a:ln>
                                <a:noFill/>
                              </a:ln>
                            </wps:spPr>
                            <wps:txbx>
                              <w:txbxContent>
                                <w:p>
                                  <w:pPr>
                                    <w:rPr>
                                      <w:rFonts w:hint="default"/>
                                      <w:lang w:val="en-US" w:eastAsia="zh-CN"/>
                                    </w:rPr>
                                  </w:pPr>
                                  <w:r>
                                    <w:rPr>
                                      <w:rFonts w:hint="eastAsia" w:ascii="Times New Roman" w:hAnsi="Times New Roman" w:eastAsia="宋体" w:cs="Times New Roman"/>
                                      <w:color w:val="auto"/>
                                      <w:lang w:val="en-US" w:eastAsia="zh-CN"/>
                                    </w:rPr>
                                    <w:t>2628</w:t>
                                  </w:r>
                                </w:p>
                              </w:txbxContent>
                            </wps:txbx>
                            <wps:bodyPr upright="1"/>
                          </wps:wsp>
                        </a:graphicData>
                      </a:graphic>
                    </wp:anchor>
                  </w:drawing>
                </mc:Choice>
                <mc:Fallback>
                  <w:pict>
                    <v:shape id="文本框 85" o:spid="_x0000_s1026" o:spt="202" type="#_x0000_t202" style="position:absolute;left:0pt;margin-left:102.45pt;margin-top:1.3pt;height:19.65pt;width:51.85pt;z-index:251673600;mso-width-relative:page;mso-height-relative:page;" filled="f" stroked="f" coordsize="21600,21600" o:gfxdata="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SVk9P9UAAAAI&#10;AQAADwAAAAAAAAABACAAAAAiAAAAZHJzL2Rvd25yZXYueG1sUEsBAhQAFAAAAAgAh07iQITPWsyt&#10;AQAATwMAAA4AAAAAAAAAAQAgAAAAJAEAAGRycy9lMm9Eb2MueG1sUEsFBgAAAAAGAAYAWQEAAEMF&#10;AAAAAA==&#10;">
                      <v:fill on="f" focussize="0,0"/>
                      <v:stroke on="f"/>
                      <v:imagedata o:title=""/>
                      <o:lock v:ext="edit" aspectratio="f"/>
                      <v:textbox>
                        <w:txbxContent>
                          <w:p>
                            <w:pPr>
                              <w:rPr>
                                <w:rFonts w:hint="default"/>
                                <w:lang w:val="en-US" w:eastAsia="zh-CN"/>
                              </w:rPr>
                            </w:pPr>
                            <w:r>
                              <w:rPr>
                                <w:rFonts w:hint="eastAsia" w:ascii="Times New Roman" w:hAnsi="Times New Roman" w:eastAsia="宋体" w:cs="Times New Roman"/>
                                <w:color w:val="auto"/>
                                <w:lang w:val="en-US" w:eastAsia="zh-CN"/>
                              </w:rPr>
                              <w:t>2628</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7456" behindDoc="0" locked="0" layoutInCell="1" allowOverlap="1">
                      <wp:simplePos x="0" y="0"/>
                      <wp:positionH relativeFrom="column">
                        <wp:posOffset>1878330</wp:posOffset>
                      </wp:positionH>
                      <wp:positionV relativeFrom="paragraph">
                        <wp:posOffset>169545</wp:posOffset>
                      </wp:positionV>
                      <wp:extent cx="918210" cy="295275"/>
                      <wp:effectExtent l="4445" t="4445" r="10795" b="5080"/>
                      <wp:wrapNone/>
                      <wp:docPr id="8" name="矩形 79"/>
                      <wp:cNvGraphicFramePr/>
                      <a:graphic xmlns:a="http://schemas.openxmlformats.org/drawingml/2006/main">
                        <a:graphicData uri="http://schemas.microsoft.com/office/word/2010/wordprocessingShape">
                          <wps:wsp>
                            <wps:cNvSpPr/>
                            <wps:spPr>
                              <a:xfrm>
                                <a:off x="0" y="0"/>
                                <a:ext cx="91821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就餐用水</w:t>
                                  </w:r>
                                </w:p>
                              </w:txbxContent>
                            </wps:txbx>
                            <wps:bodyPr upright="1"/>
                          </wps:wsp>
                        </a:graphicData>
                      </a:graphic>
                    </wp:anchor>
                  </w:drawing>
                </mc:Choice>
                <mc:Fallback>
                  <w:pict>
                    <v:rect id="矩形 79" o:spid="_x0000_s1026" o:spt="1" style="position:absolute;left:0pt;margin-left:147.9pt;margin-top:13.35pt;height:23.25pt;width:72.3pt;z-index:251667456;mso-width-relative:page;mso-height-relative:page;" fillcolor="#FFFFFF" filled="t" stroked="t" coordsize="21600,21600" o:gfxdata="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ipgM2AAAAAkBAAAPAAAAAAAAAAEAIAAAACIAAABkcnMvZG93&#10;bnJldi54bWxQSwECFAAUAAAACACHTuJA8nU6cwACAAApBAAADgAAAAAAAAABACAAAAAnAQAAZHJz&#10;L2Uyb0RvYy54bWxQSwUGAAAAAAYABgBZAQAAmQU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就餐用水</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5408" behindDoc="0" locked="0" layoutInCell="1" allowOverlap="1">
                      <wp:simplePos x="0" y="0"/>
                      <wp:positionH relativeFrom="column">
                        <wp:posOffset>1292225</wp:posOffset>
                      </wp:positionH>
                      <wp:positionV relativeFrom="paragraph">
                        <wp:posOffset>287020</wp:posOffset>
                      </wp:positionV>
                      <wp:extent cx="577850" cy="635"/>
                      <wp:effectExtent l="0" t="48895" r="12700" b="64770"/>
                      <wp:wrapNone/>
                      <wp:docPr id="6" name="直线 77"/>
                      <wp:cNvGraphicFramePr/>
                      <a:graphic xmlns:a="http://schemas.openxmlformats.org/drawingml/2006/main">
                        <a:graphicData uri="http://schemas.microsoft.com/office/word/2010/wordprocessingShape">
                          <wps:wsp>
                            <wps:cNvCnPr/>
                            <wps:spPr>
                              <a:xfrm flipV="1">
                                <a:off x="0" y="0"/>
                                <a:ext cx="577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7" o:spid="_x0000_s1026" o:spt="20" style="position:absolute;left:0pt;flip:y;margin-left:101.75pt;margin-top:22.6pt;height:0.05pt;width:45.5pt;z-index:251665408;mso-width-relative:page;mso-height-relative:page;" filled="f" stroked="t" coordsize="21600,21600" o:gfxdata="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LGk2TYAAAACQEAAA8AAAAAAAAAAQAgAAAAIgAAAGRycy9kb3ducmV2LnhtbFBL&#10;AQIUABQAAAAIAIdO4kDjWRyN9gEAAOgDAAAOAAAAAAAAAAEAIAAAACcBAABkcnMvZTJvRG9jLnht&#10;bFBLBQYAAAAABgAGAFkBAACPBQAAAAA=&#10;">
                      <v:fill on="f" focussize="0,0"/>
                      <v:stroke color="#000000" joinstyle="round" endarrow="open"/>
                      <v:imagedata o:title=""/>
                      <o:lock v:ext="edit" aspectratio="f"/>
                    </v:line>
                  </w:pict>
                </mc:Fallback>
              </mc:AlternateContent>
            </w:r>
          </w:p>
          <w:p>
            <w:pPr>
              <w:pStyle w:val="13"/>
              <w:rPr>
                <w:rFonts w:hint="default" w:ascii="Times New Roman" w:hAnsi="Times New Roman" w:eastAsia="宋体" w:cs="Times New Roman"/>
                <w:b/>
                <w:bCs/>
                <w:color w:val="0000FF"/>
                <w:sz w:val="24"/>
                <w:lang w:val="en-US" w:eastAsia="zh-CN"/>
              </w:rPr>
            </w:pPr>
            <w:r>
              <w:rPr>
                <w:rFonts w:hint="default" w:ascii="Times New Roman" w:hAnsi="Times New Roman" w:eastAsia="宋体" w:cs="Times New Roman"/>
                <w:sz w:val="21"/>
              </w:rPr>
              <mc:AlternateContent>
                <mc:Choice Requires="wps">
                  <w:drawing>
                    <wp:anchor distT="0" distB="0" distL="114300" distR="114300" simplePos="0" relativeHeight="251692032" behindDoc="0" locked="0" layoutInCell="1" allowOverlap="1">
                      <wp:simplePos x="0" y="0"/>
                      <wp:positionH relativeFrom="column">
                        <wp:posOffset>4797425</wp:posOffset>
                      </wp:positionH>
                      <wp:positionV relativeFrom="paragraph">
                        <wp:posOffset>307340</wp:posOffset>
                      </wp:positionV>
                      <wp:extent cx="849630" cy="274320"/>
                      <wp:effectExtent l="4445" t="4445" r="22225" b="6985"/>
                      <wp:wrapNone/>
                      <wp:docPr id="33" name="矩形 104"/>
                      <wp:cNvGraphicFramePr/>
                      <a:graphic xmlns:a="http://schemas.openxmlformats.org/drawingml/2006/main">
                        <a:graphicData uri="http://schemas.microsoft.com/office/word/2010/wordprocessingShape">
                          <wps:wsp>
                            <wps:cNvSpPr/>
                            <wps:spPr>
                              <a:xfrm>
                                <a:off x="0" y="0"/>
                                <a:ext cx="849630" cy="2743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2"/>
                                      <w:szCs w:val="28"/>
                                      <w:lang w:eastAsia="zh-CN"/>
                                    </w:rPr>
                                  </w:pPr>
                                  <w:r>
                                    <w:rPr>
                                      <w:rFonts w:hint="eastAsia"/>
                                      <w:sz w:val="22"/>
                                      <w:szCs w:val="28"/>
                                      <w:lang w:eastAsia="zh-CN"/>
                                    </w:rPr>
                                    <w:t>市政管网</w:t>
                                  </w:r>
                                </w:p>
                              </w:txbxContent>
                            </wps:txbx>
                            <wps:bodyPr upright="1"/>
                          </wps:wsp>
                        </a:graphicData>
                      </a:graphic>
                    </wp:anchor>
                  </w:drawing>
                </mc:Choice>
                <mc:Fallback>
                  <w:pict>
                    <v:rect id="矩形 104" o:spid="_x0000_s1026" o:spt="1" style="position:absolute;left:0pt;margin-left:377.75pt;margin-top:24.2pt;height:21.6pt;width:66.9pt;z-index:251692032;mso-width-relative:page;mso-height-relative:page;" fillcolor="#FFFFFF" filled="t" stroked="t" coordsize="21600,21600" o:gfxdata="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m3gPbZAAAACQEAAA8AAAAAAAAAAQAgAAAAIgAA&#10;AGRycy9kb3ducmV2LnhtbFBLAQIUABQAAAAIAIdO4kCioA3jBwIAACsEAAAOAAAAAAAAAAEAIAAA&#10;ACgBAABkcnMvZTJvRG9jLnhtbFBLBQYAAAAABgAGAFkBAAChBQAAAAA=&#10;">
                      <v:fill on="t" focussize="0,0"/>
                      <v:stroke color="#000000" joinstyle="miter"/>
                      <v:imagedata o:title=""/>
                      <o:lock v:ext="edit" aspectratio="f"/>
                      <v:textbox>
                        <w:txbxContent>
                          <w:p>
                            <w:pPr>
                              <w:jc w:val="center"/>
                              <w:rPr>
                                <w:rFonts w:hint="eastAsia" w:eastAsia="宋体"/>
                                <w:sz w:val="22"/>
                                <w:szCs w:val="28"/>
                                <w:lang w:eastAsia="zh-CN"/>
                              </w:rPr>
                            </w:pPr>
                            <w:r>
                              <w:rPr>
                                <w:rFonts w:hint="eastAsia"/>
                                <w:sz w:val="22"/>
                                <w:szCs w:val="28"/>
                                <w:lang w:eastAsia="zh-CN"/>
                              </w:rPr>
                              <w:t>市政管网</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97152" behindDoc="0" locked="0" layoutInCell="1" allowOverlap="1">
                      <wp:simplePos x="0" y="0"/>
                      <wp:positionH relativeFrom="column">
                        <wp:posOffset>3734435</wp:posOffset>
                      </wp:positionH>
                      <wp:positionV relativeFrom="paragraph">
                        <wp:posOffset>203200</wp:posOffset>
                      </wp:positionV>
                      <wp:extent cx="862330" cy="249555"/>
                      <wp:effectExtent l="0" t="0" r="0" b="0"/>
                      <wp:wrapNone/>
                      <wp:docPr id="39" name="文本框 135"/>
                      <wp:cNvGraphicFramePr/>
                      <a:graphic xmlns:a="http://schemas.openxmlformats.org/drawingml/2006/main">
                        <a:graphicData uri="http://schemas.microsoft.com/office/word/2010/wordprocessingShape">
                          <wps:wsp>
                            <wps:cNvSpPr txBox="1"/>
                            <wps:spPr>
                              <a:xfrm>
                                <a:off x="0" y="0"/>
                                <a:ext cx="862330" cy="249555"/>
                              </a:xfrm>
                              <a:prstGeom prst="rect">
                                <a:avLst/>
                              </a:prstGeom>
                              <a:noFill/>
                              <a:ln>
                                <a:noFill/>
                              </a:ln>
                            </wps:spPr>
                            <wps:txbx>
                              <w:txbxContent>
                                <w:p>
                                  <w:pPr>
                                    <w:jc w:val="both"/>
                                    <w:rPr>
                                      <w:rFonts w:hint="default" w:eastAsia="宋体"/>
                                      <w:lang w:val="en-US" w:eastAsia="zh-CN"/>
                                    </w:rPr>
                                  </w:pPr>
                                  <w:r>
                                    <w:rPr>
                                      <w:rFonts w:hint="eastAsia"/>
                                      <w:lang w:val="en-US" w:eastAsia="zh-CN"/>
                                    </w:rPr>
                                    <w:t>10314.9</w:t>
                                  </w:r>
                                </w:p>
                              </w:txbxContent>
                            </wps:txbx>
                            <wps:bodyPr upright="1"/>
                          </wps:wsp>
                        </a:graphicData>
                      </a:graphic>
                    </wp:anchor>
                  </w:drawing>
                </mc:Choice>
                <mc:Fallback>
                  <w:pict>
                    <v:shape id="文本框 135" o:spid="_x0000_s1026" o:spt="202" type="#_x0000_t202" style="position:absolute;left:0pt;margin-left:294.05pt;margin-top:16pt;height:19.65pt;width:67.9pt;z-index:251697152;mso-width-relative:page;mso-height-relative:page;" filled="f" stroked="f" coordsize="21600,21600" o:gfxdata="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xsEs&#10;1wAAAAkBAAAPAAAAAAAAAAEAIAAAACIAAABkcnMvZG93bnJldi54bWxQSwECFAAUAAAACACHTuJA&#10;rUM1KbABAABQAwAADgAAAAAAAAABACAAAAAmAQAAZHJzL2Uyb0RvYy54bWxQSwUGAAAAAAYABgBZ&#10;AQAASAUAAAAA&#10;">
                      <v:fill on="f" focussize="0,0"/>
                      <v:stroke on="f"/>
                      <v:imagedata o:title=""/>
                      <o:lock v:ext="edit" aspectratio="f"/>
                      <v:textbox>
                        <w:txbxContent>
                          <w:p>
                            <w:pPr>
                              <w:jc w:val="both"/>
                              <w:rPr>
                                <w:rFonts w:hint="default" w:eastAsia="宋体"/>
                                <w:lang w:val="en-US" w:eastAsia="zh-CN"/>
                              </w:rPr>
                            </w:pPr>
                            <w:r>
                              <w:rPr>
                                <w:rFonts w:hint="eastAsia"/>
                                <w:lang w:val="en-US" w:eastAsia="zh-CN"/>
                              </w:rPr>
                              <w:t>10314.9</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94080" behindDoc="0" locked="0" layoutInCell="1" allowOverlap="1">
                      <wp:simplePos x="0" y="0"/>
                      <wp:positionH relativeFrom="column">
                        <wp:posOffset>3115945</wp:posOffset>
                      </wp:positionH>
                      <wp:positionV relativeFrom="paragraph">
                        <wp:posOffset>189865</wp:posOffset>
                      </wp:positionV>
                      <wp:extent cx="862330" cy="249555"/>
                      <wp:effectExtent l="0" t="0" r="0" b="0"/>
                      <wp:wrapNone/>
                      <wp:docPr id="35" name="文本框 107"/>
                      <wp:cNvGraphicFramePr/>
                      <a:graphic xmlns:a="http://schemas.openxmlformats.org/drawingml/2006/main">
                        <a:graphicData uri="http://schemas.microsoft.com/office/word/2010/wordprocessingShape">
                          <wps:wsp>
                            <wps:cNvSpPr txBox="1"/>
                            <wps:spPr>
                              <a:xfrm>
                                <a:off x="0" y="0"/>
                                <a:ext cx="862330" cy="249555"/>
                              </a:xfrm>
                              <a:prstGeom prst="rect">
                                <a:avLst/>
                              </a:prstGeom>
                              <a:noFill/>
                              <a:ln>
                                <a:noFill/>
                              </a:ln>
                            </wps:spPr>
                            <wps:txbx>
                              <w:txbxContent>
                                <w:p>
                                  <w:pPr>
                                    <w:jc w:val="both"/>
                                    <w:rPr>
                                      <w:rFonts w:hint="default" w:eastAsia="宋体"/>
                                      <w:color w:val="auto"/>
                                      <w:lang w:val="en-US" w:eastAsia="zh-CN"/>
                                    </w:rPr>
                                  </w:pPr>
                                  <w:r>
                                    <w:rPr>
                                      <w:rFonts w:hint="eastAsia"/>
                                      <w:color w:val="auto"/>
                                      <w:lang w:val="en-US" w:eastAsia="zh-CN"/>
                                    </w:rPr>
                                    <w:t>植物吸收</w:t>
                                  </w:r>
                                </w:p>
                              </w:txbxContent>
                            </wps:txbx>
                            <wps:bodyPr upright="1"/>
                          </wps:wsp>
                        </a:graphicData>
                      </a:graphic>
                    </wp:anchor>
                  </w:drawing>
                </mc:Choice>
                <mc:Fallback>
                  <w:pict>
                    <v:shape id="文本框 107" o:spid="_x0000_s1026" o:spt="202" type="#_x0000_t202" style="position:absolute;left:0pt;margin-left:245.35pt;margin-top:14.95pt;height:19.65pt;width:67.9pt;z-index:251694080;mso-width-relative:page;mso-height-relative:page;" filled="f" stroked="f" coordsize="21600,21600" o:gfxdata="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pB7aedYA&#10;AAAJAQAADwAAAAAAAAABACAAAAAiAAAAZHJzL2Rvd25yZXYueG1sUEsBAhQAFAAAAAgAh07iQO/2&#10;RTWvAQAAUAMAAA4AAAAAAAAAAQAgAAAAJQEAAGRycy9lMm9Eb2MueG1sUEsFBgAAAAAGAAYAWQEA&#10;AEYFAAAAAA==&#10;">
                      <v:fill on="f" focussize="0,0"/>
                      <v:stroke on="f"/>
                      <v:imagedata o:title=""/>
                      <o:lock v:ext="edit" aspectratio="f"/>
                      <v:textbox>
                        <w:txbxContent>
                          <w:p>
                            <w:pPr>
                              <w:jc w:val="both"/>
                              <w:rPr>
                                <w:rFonts w:hint="default" w:eastAsia="宋体"/>
                                <w:color w:val="auto"/>
                                <w:lang w:val="en-US" w:eastAsia="zh-CN"/>
                              </w:rPr>
                            </w:pPr>
                            <w:r>
                              <w:rPr>
                                <w:rFonts w:hint="eastAsia"/>
                                <w:color w:val="auto"/>
                                <w:lang w:val="en-US" w:eastAsia="zh-CN"/>
                              </w:rPr>
                              <w:t>植物吸收</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80768" behindDoc="0" locked="0" layoutInCell="1" allowOverlap="1">
                      <wp:simplePos x="0" y="0"/>
                      <wp:positionH relativeFrom="column">
                        <wp:posOffset>2818130</wp:posOffset>
                      </wp:positionH>
                      <wp:positionV relativeFrom="paragraph">
                        <wp:posOffset>320675</wp:posOffset>
                      </wp:positionV>
                      <wp:extent cx="316230" cy="121285"/>
                      <wp:effectExtent l="1905" t="15240" r="5715" b="15875"/>
                      <wp:wrapNone/>
                      <wp:docPr id="21" name="直线 92"/>
                      <wp:cNvGraphicFramePr/>
                      <a:graphic xmlns:a="http://schemas.openxmlformats.org/drawingml/2006/main">
                        <a:graphicData uri="http://schemas.microsoft.com/office/word/2010/wordprocessingShape">
                          <wps:wsp>
                            <wps:cNvCnPr/>
                            <wps:spPr>
                              <a:xfrm flipV="1">
                                <a:off x="0" y="0"/>
                                <a:ext cx="316230" cy="12128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92" o:spid="_x0000_s1026" o:spt="20" style="position:absolute;left:0pt;flip:y;margin-left:221.9pt;margin-top:25.25pt;height:9.55pt;width:24.9pt;z-index:251680768;mso-width-relative:page;mso-height-relative:page;" filled="f" stroked="t" coordsize="21600,21600" o:gfxdata="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8NSfs2QAAAAkBAAAPAAAAAAAAAAEAIAAAACIAAABkcnMvZG93bnJldi54&#10;bWxQSwECFAAUAAAACACHTuJA20q6mfkBAADsAwAADgAAAAAAAAABACAAAAAoAQAAZHJzL2Uyb0Rv&#10;Yy54bWxQSwUGAAAAAAYABgBZAQAAkwUAAAAA&#10;">
                      <v:fill on="f" focussize="0,0"/>
                      <v:stroke color="#000000" joinstyle="round" endarrow="open"/>
                      <v:imagedata o:title=""/>
                      <o:lock v:ext="edit" aspectratio="f"/>
                    </v:lin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4624" behindDoc="0" locked="0" layoutInCell="1" allowOverlap="1">
                      <wp:simplePos x="0" y="0"/>
                      <wp:positionH relativeFrom="column">
                        <wp:posOffset>1261110</wp:posOffset>
                      </wp:positionH>
                      <wp:positionV relativeFrom="paragraph">
                        <wp:posOffset>86360</wp:posOffset>
                      </wp:positionV>
                      <wp:extent cx="658495" cy="249555"/>
                      <wp:effectExtent l="0" t="0" r="0" b="0"/>
                      <wp:wrapNone/>
                      <wp:docPr id="15" name="文本框 86"/>
                      <wp:cNvGraphicFramePr/>
                      <a:graphic xmlns:a="http://schemas.openxmlformats.org/drawingml/2006/main">
                        <a:graphicData uri="http://schemas.microsoft.com/office/word/2010/wordprocessingShape">
                          <wps:wsp>
                            <wps:cNvSpPr txBox="1"/>
                            <wps:spPr>
                              <a:xfrm>
                                <a:off x="0" y="0"/>
                                <a:ext cx="658495" cy="249555"/>
                              </a:xfrm>
                              <a:prstGeom prst="rect">
                                <a:avLst/>
                              </a:prstGeom>
                              <a:noFill/>
                              <a:ln>
                                <a:noFill/>
                              </a:ln>
                            </wps:spPr>
                            <wps:txbx>
                              <w:txbxContent>
                                <w:p>
                                  <w:pPr>
                                    <w:rPr>
                                      <w:rFonts w:hint="default"/>
                                      <w:lang w:val="en-US" w:eastAsia="zh-CN"/>
                                    </w:rPr>
                                  </w:pPr>
                                  <w:r>
                                    <w:rPr>
                                      <w:rFonts w:hint="eastAsia"/>
                                      <w:color w:val="auto"/>
                                      <w:lang w:val="en-US" w:eastAsia="zh-CN"/>
                                    </w:rPr>
                                    <w:t>10314.9</w:t>
                                  </w:r>
                                </w:p>
                              </w:txbxContent>
                            </wps:txbx>
                            <wps:bodyPr upright="1"/>
                          </wps:wsp>
                        </a:graphicData>
                      </a:graphic>
                    </wp:anchor>
                  </w:drawing>
                </mc:Choice>
                <mc:Fallback>
                  <w:pict>
                    <v:shape id="文本框 86" o:spid="_x0000_s1026" o:spt="202" type="#_x0000_t202" style="position:absolute;left:0pt;margin-left:99.3pt;margin-top:6.8pt;height:19.65pt;width:51.85pt;z-index:251674624;mso-width-relative:page;mso-height-relative:page;" filled="f" stroked="f" coordsize="21600,21600" o:gfxdata="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JS2zm3XAAAA&#10;CQEAAA8AAAAAAAAAAQAgAAAAIgAAAGRycy9kb3ducmV2LnhtbFBLAQIUABQAAAAIAIdO4kCCU1UY&#10;rAEAAE8DAAAOAAAAAAAAAAEAIAAAACYBAABkcnMvZTJvRG9jLnhtbFBLBQYAAAAABgAGAFkBAABE&#10;BQAAAAA=&#10;">
                      <v:fill on="f" focussize="0,0"/>
                      <v:stroke on="f"/>
                      <v:imagedata o:title=""/>
                      <o:lock v:ext="edit" aspectratio="f"/>
                      <v:textbox>
                        <w:txbxContent>
                          <w:p>
                            <w:pPr>
                              <w:rPr>
                                <w:rFonts w:hint="default"/>
                                <w:lang w:val="en-US" w:eastAsia="zh-CN"/>
                              </w:rPr>
                            </w:pPr>
                            <w:r>
                              <w:rPr>
                                <w:rFonts w:hint="eastAsia"/>
                                <w:color w:val="auto"/>
                                <w:lang w:val="en-US" w:eastAsia="zh-CN"/>
                              </w:rPr>
                              <w:t>10314.9</w:t>
                            </w:r>
                          </w:p>
                        </w:txbxContent>
                      </v:textbox>
                    </v:shape>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70528" behindDoc="0" locked="0" layoutInCell="1" allowOverlap="1">
                      <wp:simplePos x="0" y="0"/>
                      <wp:positionH relativeFrom="column">
                        <wp:posOffset>1889760</wp:posOffset>
                      </wp:positionH>
                      <wp:positionV relativeFrom="paragraph">
                        <wp:posOffset>253365</wp:posOffset>
                      </wp:positionV>
                      <wp:extent cx="918210" cy="295275"/>
                      <wp:effectExtent l="4445" t="4445" r="10795" b="5080"/>
                      <wp:wrapNone/>
                      <wp:docPr id="11" name="矩形 82"/>
                      <wp:cNvGraphicFramePr/>
                      <a:graphic xmlns:a="http://schemas.openxmlformats.org/drawingml/2006/main">
                        <a:graphicData uri="http://schemas.microsoft.com/office/word/2010/wordprocessingShape">
                          <wps:wsp>
                            <wps:cNvSpPr/>
                            <wps:spPr>
                              <a:xfrm>
                                <a:off x="0" y="0"/>
                                <a:ext cx="918210"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绿化用水</w:t>
                                  </w:r>
                                </w:p>
                              </w:txbxContent>
                            </wps:txbx>
                            <wps:bodyPr upright="1"/>
                          </wps:wsp>
                        </a:graphicData>
                      </a:graphic>
                    </wp:anchor>
                  </w:drawing>
                </mc:Choice>
                <mc:Fallback>
                  <w:pict>
                    <v:rect id="矩形 82" o:spid="_x0000_s1026" o:spt="1" style="position:absolute;left:0pt;margin-left:148.8pt;margin-top:19.95pt;height:23.25pt;width:72.3pt;z-index:251670528;mso-width-relative:page;mso-height-relative:page;" fillcolor="#FFFFFF" filled="t" stroked="t" coordsize="21600,21600" o:gfxdata="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4ECH/YAAAACQEAAA8AAAAAAAAAAQAgAAAAIgAAAGRycy9kb3du&#10;cmV2LnhtbFBLAQIUABQAAAAIAIdO4kB512z//wEAACoEAAAOAAAAAAAAAAEAIAAAACcBAABkcnMv&#10;ZTJvRG9jLnhtbFBLBQYAAAAABgAGAFkBAACY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绿化用水</w:t>
                            </w:r>
                          </w:p>
                        </w:txbxContent>
                      </v:textbox>
                    </v:rect>
                  </w:pict>
                </mc:Fallback>
              </mc:AlternateContent>
            </w:r>
            <w:r>
              <w:rPr>
                <w:rFonts w:hint="default" w:ascii="Times New Roman" w:hAnsi="Times New Roman" w:eastAsia="宋体" w:cs="Times New Roman"/>
                <w:sz w:val="24"/>
              </w:rPr>
              <mc:AlternateContent>
                <mc:Choice Requires="wps">
                  <w:drawing>
                    <wp:anchor distT="0" distB="0" distL="114300" distR="114300" simplePos="0" relativeHeight="251666432" behindDoc="0" locked="0" layoutInCell="1" allowOverlap="1">
                      <wp:simplePos x="0" y="0"/>
                      <wp:positionH relativeFrom="column">
                        <wp:posOffset>1303655</wp:posOffset>
                      </wp:positionH>
                      <wp:positionV relativeFrom="paragraph">
                        <wp:posOffset>358775</wp:posOffset>
                      </wp:positionV>
                      <wp:extent cx="577850" cy="635"/>
                      <wp:effectExtent l="0" t="48895" r="12700" b="64770"/>
                      <wp:wrapNone/>
                      <wp:docPr id="7" name="直线 78"/>
                      <wp:cNvGraphicFramePr/>
                      <a:graphic xmlns:a="http://schemas.openxmlformats.org/drawingml/2006/main">
                        <a:graphicData uri="http://schemas.microsoft.com/office/word/2010/wordprocessingShape">
                          <wps:wsp>
                            <wps:cNvCnPr/>
                            <wps:spPr>
                              <a:xfrm flipV="1">
                                <a:off x="0" y="0"/>
                                <a:ext cx="577850" cy="63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直线 78" o:spid="_x0000_s1026" o:spt="20" style="position:absolute;left:0pt;flip:y;margin-left:102.65pt;margin-top:28.25pt;height:0.05pt;width:45.5pt;z-index:251666432;mso-width-relative:page;mso-height-relative:page;" filled="f" stroked="t" coordsize="21600,21600" o:gfxdata="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K9n3dcAAAAJAQAADwAAAAAAAAABACAAAAAiAAAAZHJzL2Rvd25yZXYueG1sUEsB&#10;AhQAFAAAAAgAh07iQFonGGH2AQAA6AMAAA4AAAAAAAAAAQAgAAAAJgEAAGRycy9lMm9Eb2MueG1s&#10;UEsFBgAAAAAGAAYAWQEAAI4FAAAAAA==&#10;">
                      <v:fill on="f" focussize="0,0"/>
                      <v:stroke color="#000000" joinstyle="round" endarrow="open"/>
                      <v:imagedata o:title=""/>
                      <o:lock v:ext="edit" aspectratio="f"/>
                    </v:line>
                  </w:pict>
                </mc:Fallback>
              </mc:AlternateContent>
            </w:r>
          </w:p>
          <w:p>
            <w:pPr>
              <w:spacing w:line="440" w:lineRule="exact"/>
              <w:ind w:firstLine="482" w:firstLineChars="200"/>
              <w:jc w:val="center"/>
              <w:rPr>
                <w:rFonts w:hint="default" w:ascii="Times New Roman" w:hAnsi="Times New Roman" w:eastAsia="宋体" w:cs="Times New Roman"/>
                <w:b/>
                <w:bCs/>
                <w:color w:val="0000FF"/>
                <w:sz w:val="24"/>
              </w:rPr>
            </w:pPr>
          </w:p>
          <w:p>
            <w:pPr>
              <w:spacing w:line="440" w:lineRule="exact"/>
              <w:ind w:firstLine="482" w:firstLineChars="200"/>
              <w:jc w:val="center"/>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图2-1</w:t>
            </w:r>
            <w:r>
              <w:rPr>
                <w:rFonts w:hint="eastAsia" w:cs="Times New Roman"/>
                <w:b/>
                <w:bCs/>
                <w:color w:val="auto"/>
                <w:sz w:val="24"/>
                <w:lang w:val="en-US" w:eastAsia="zh-CN"/>
              </w:rPr>
              <w:t xml:space="preserve">  </w:t>
            </w:r>
            <w:r>
              <w:rPr>
                <w:rFonts w:hint="default" w:ascii="Times New Roman" w:hAnsi="Times New Roman" w:eastAsia="宋体" w:cs="Times New Roman"/>
                <w:b/>
                <w:bCs/>
                <w:color w:val="auto"/>
                <w:sz w:val="24"/>
              </w:rPr>
              <w:t>项目水平衡图（单位m</w:t>
            </w:r>
            <w:r>
              <w:rPr>
                <w:rFonts w:hint="default" w:ascii="Times New Roman" w:hAnsi="Times New Roman" w:eastAsia="宋体" w:cs="Times New Roman"/>
                <w:b/>
                <w:bCs/>
                <w:color w:val="auto"/>
                <w:sz w:val="24"/>
                <w:vertAlign w:val="superscript"/>
              </w:rPr>
              <w:t>3</w:t>
            </w:r>
            <w:r>
              <w:rPr>
                <w:rFonts w:hint="default" w:ascii="Times New Roman" w:hAnsi="Times New Roman" w:eastAsia="宋体" w:cs="Times New Roman"/>
                <w:b/>
                <w:bCs/>
                <w:color w:val="auto"/>
                <w:sz w:val="24"/>
              </w:rPr>
              <w:t>/a）</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4.3供电</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0"/>
                <w:lang w:val="en-US" w:eastAsia="zh-CN"/>
              </w:rPr>
            </w:pPr>
            <w:bookmarkStart w:id="3" w:name="_Toc99975461"/>
            <w:bookmarkStart w:id="4" w:name="_Toc99950929"/>
            <w:r>
              <w:rPr>
                <w:rFonts w:hint="default" w:ascii="Times New Roman" w:hAnsi="Times New Roman" w:eastAsia="宋体" w:cs="Times New Roman"/>
                <w:color w:val="auto"/>
                <w:sz w:val="24"/>
                <w:szCs w:val="20"/>
              </w:rPr>
              <w:t>由</w:t>
            </w:r>
            <w:r>
              <w:rPr>
                <w:rFonts w:hint="default" w:ascii="Times New Roman" w:hAnsi="Times New Roman" w:eastAsia="宋体" w:cs="Times New Roman"/>
                <w:color w:val="auto"/>
                <w:sz w:val="24"/>
                <w:szCs w:val="20"/>
                <w:lang w:eastAsia="zh-CN"/>
              </w:rPr>
              <w:t>胡杨河</w:t>
            </w:r>
            <w:r>
              <w:rPr>
                <w:rFonts w:hint="default" w:ascii="Times New Roman" w:hAnsi="Times New Roman" w:eastAsia="宋体" w:cs="Times New Roman"/>
                <w:color w:val="auto"/>
                <w:sz w:val="24"/>
                <w:szCs w:val="20"/>
              </w:rPr>
              <w:t>市政电力网线供给。</w:t>
            </w:r>
            <w:r>
              <w:rPr>
                <w:rFonts w:hint="eastAsia" w:cs="Times New Roman"/>
                <w:color w:val="auto"/>
                <w:sz w:val="24"/>
                <w:szCs w:val="20"/>
                <w:lang w:val="en-US" w:eastAsia="zh-CN"/>
              </w:rPr>
              <w:t xml:space="preserve"> </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0"/>
              </w:rPr>
            </w:pPr>
            <w:r>
              <w:rPr>
                <w:rFonts w:hint="default" w:ascii="Times New Roman" w:hAnsi="Times New Roman" w:eastAsia="宋体" w:cs="Times New Roman"/>
                <w:b/>
                <w:bCs/>
                <w:color w:val="auto"/>
                <w:sz w:val="24"/>
                <w:szCs w:val="20"/>
              </w:rPr>
              <w:t>4.4采暖</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热源由胡杨河市市政集中供热管网接入医院换热站，其供热管道已引入项目区域，热量可满足新建项目的采暖要求。</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0"/>
              </w:rPr>
            </w:pPr>
            <w:r>
              <w:rPr>
                <w:rFonts w:hint="default" w:ascii="Times New Roman" w:hAnsi="Times New Roman" w:eastAsia="宋体" w:cs="Times New Roman"/>
                <w:b/>
                <w:bCs/>
                <w:color w:val="auto"/>
                <w:sz w:val="24"/>
                <w:szCs w:val="20"/>
              </w:rPr>
              <w:t>4.5通风</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FF"/>
                <w:sz w:val="24"/>
                <w:szCs w:val="20"/>
                <w:lang w:eastAsia="zh-CN"/>
              </w:rPr>
            </w:pPr>
            <w:r>
              <w:rPr>
                <w:rFonts w:hint="default" w:ascii="Times New Roman" w:hAnsi="Times New Roman" w:eastAsia="宋体" w:cs="Times New Roman"/>
                <w:color w:val="auto"/>
                <w:sz w:val="24"/>
                <w:szCs w:val="20"/>
              </w:rPr>
              <w:t>医技门诊楼、住院部、康复中心、中药制剂中心、各建筑的卫生间、厨房、以及建筑内的无窗房间设置机械通风</w:t>
            </w:r>
            <w:r>
              <w:rPr>
                <w:rFonts w:hint="default" w:ascii="Times New Roman" w:hAnsi="Times New Roman" w:eastAsia="宋体" w:cs="Times New Roman"/>
                <w:color w:val="auto"/>
                <w:sz w:val="24"/>
                <w:szCs w:val="20"/>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0"/>
              </w:rPr>
            </w:pPr>
            <w:r>
              <w:rPr>
                <w:rFonts w:hint="default" w:ascii="Times New Roman" w:hAnsi="Times New Roman" w:eastAsia="宋体" w:cs="Times New Roman"/>
                <w:b/>
                <w:bCs/>
                <w:color w:val="auto"/>
                <w:sz w:val="24"/>
                <w:szCs w:val="20"/>
              </w:rPr>
              <w:t>4.6消毒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0"/>
                <w:lang w:eastAsia="zh-CN"/>
              </w:rPr>
            </w:pPr>
            <w:r>
              <w:rPr>
                <w:rFonts w:hint="default" w:ascii="Times New Roman" w:hAnsi="Times New Roman" w:eastAsia="宋体" w:cs="Times New Roman"/>
                <w:color w:val="auto"/>
                <w:sz w:val="24"/>
                <w:szCs w:val="20"/>
              </w:rPr>
              <w:t>消毒方式本项目加热、紫外线、氯化或臭气等消毒处理</w:t>
            </w:r>
            <w:r>
              <w:rPr>
                <w:rFonts w:hint="default" w:ascii="Times New Roman" w:hAnsi="Times New Roman" w:eastAsia="宋体" w:cs="Times New Roman"/>
                <w:color w:val="auto"/>
                <w:sz w:val="24"/>
                <w:szCs w:val="20"/>
                <w:lang w:eastAsia="zh-CN"/>
              </w:rPr>
              <w:t>。</w:t>
            </w:r>
          </w:p>
          <w:bookmarkEnd w:id="3"/>
          <w:bookmarkEnd w:id="4"/>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5、平面布置情况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rPr>
            </w:pPr>
            <w:r>
              <w:rPr>
                <w:rFonts w:hint="eastAsia" w:ascii="Times New Roman" w:hAnsi="Times New Roman" w:eastAsia="宋体" w:cs="Times New Roman"/>
                <w:color w:val="auto"/>
                <w:kern w:val="0"/>
                <w:sz w:val="24"/>
                <w:lang w:val="en-US" w:eastAsia="zh-CN" w:bidi="en-US"/>
              </w:rPr>
              <w:t>新疆兵团奎屯中医院中医特色重点医院建设项目整体呈现长方形布局，门诊、医技楼位于项目区西南方向，建筑面积6880m</w:t>
            </w:r>
            <w:r>
              <w:rPr>
                <w:rFonts w:hint="eastAsia" w:ascii="Times New Roman" w:hAnsi="Times New Roman" w:eastAsia="宋体" w:cs="Times New Roman"/>
                <w:color w:val="auto"/>
                <w:kern w:val="0"/>
                <w:sz w:val="24"/>
                <w:vertAlign w:val="superscript"/>
                <w:lang w:val="en-US" w:eastAsia="zh-CN" w:bidi="en-US"/>
              </w:rPr>
              <w:t>2</w:t>
            </w:r>
            <w:r>
              <w:rPr>
                <w:rFonts w:hint="eastAsia" w:ascii="Times New Roman" w:hAnsi="Times New Roman" w:eastAsia="宋体" w:cs="Times New Roman"/>
                <w:color w:val="auto"/>
                <w:kern w:val="0"/>
                <w:sz w:val="24"/>
                <w:lang w:val="en-US" w:eastAsia="zh-CN" w:bidi="en-US"/>
              </w:rPr>
              <w:t>，长75米，宽36.60米，地上三层；两栋预留建筑；住院楼位于项目区西北方向，</w:t>
            </w:r>
            <w:r>
              <w:rPr>
                <w:rFonts w:hint="default" w:ascii="Times New Roman" w:hAnsi="Times New Roman" w:eastAsia="宋体" w:cs="Times New Roman"/>
                <w:color w:val="auto"/>
                <w:kern w:val="0"/>
                <w:sz w:val="24"/>
                <w:lang w:val="en-US" w:eastAsia="zh-CN" w:bidi="en-US"/>
              </w:rPr>
              <w:t>建筑</w:t>
            </w:r>
            <w:r>
              <w:rPr>
                <w:rFonts w:hint="eastAsia" w:ascii="Times New Roman" w:hAnsi="Times New Roman" w:eastAsia="宋体" w:cs="Times New Roman"/>
                <w:color w:val="auto"/>
                <w:kern w:val="0"/>
                <w:sz w:val="24"/>
                <w:lang w:val="en-US" w:eastAsia="zh-CN" w:bidi="en-US"/>
              </w:rPr>
              <w:t>面积12000m</w:t>
            </w:r>
            <w:r>
              <w:rPr>
                <w:rFonts w:hint="eastAsia" w:ascii="Times New Roman" w:hAnsi="Times New Roman" w:eastAsia="宋体" w:cs="Times New Roman"/>
                <w:color w:val="auto"/>
                <w:kern w:val="0"/>
                <w:sz w:val="24"/>
                <w:vertAlign w:val="superscript"/>
                <w:lang w:val="en-US" w:eastAsia="zh-CN" w:bidi="en-US"/>
              </w:rPr>
              <w:t>2</w:t>
            </w:r>
            <w:r>
              <w:rPr>
                <w:rFonts w:hint="eastAsia" w:ascii="Times New Roman" w:hAnsi="Times New Roman" w:eastAsia="宋体" w:cs="Times New Roman"/>
                <w:color w:val="auto"/>
                <w:kern w:val="0"/>
                <w:sz w:val="24"/>
                <w:vertAlign w:val="baseline"/>
                <w:lang w:val="en-US" w:eastAsia="zh-CN" w:bidi="en-US"/>
              </w:rPr>
              <w:t>，</w:t>
            </w:r>
            <w:r>
              <w:rPr>
                <w:rFonts w:hint="default" w:ascii="Times New Roman" w:hAnsi="Times New Roman" w:eastAsia="宋体" w:cs="Times New Roman"/>
                <w:color w:val="auto"/>
                <w:kern w:val="0"/>
                <w:sz w:val="24"/>
                <w:lang w:val="en-US" w:eastAsia="zh-CN" w:bidi="en-US"/>
              </w:rPr>
              <w:t>长55.60米，宽20.20米，高41.70米</w:t>
            </w:r>
            <w:r>
              <w:rPr>
                <w:rFonts w:hint="eastAsia" w:ascii="Times New Roman" w:hAnsi="Times New Roman" w:eastAsia="宋体" w:cs="Times New Roman"/>
                <w:color w:val="auto"/>
                <w:kern w:val="0"/>
                <w:sz w:val="24"/>
                <w:lang w:val="en-US" w:eastAsia="zh-CN" w:bidi="en-US"/>
              </w:rPr>
              <w:t>，地上十层，地下一层；康复中心及中药制剂中心位于项目区东北方向，建筑面积2</w:t>
            </w:r>
            <w:r>
              <w:rPr>
                <w:rFonts w:hint="default" w:ascii="Times New Roman" w:hAnsi="Times New Roman" w:eastAsia="宋体" w:cs="Times New Roman"/>
                <w:color w:val="auto"/>
                <w:kern w:val="0"/>
                <w:sz w:val="24"/>
                <w:lang w:val="en-US" w:eastAsia="zh-CN" w:bidi="en-US"/>
              </w:rPr>
              <w:t>000</w:t>
            </w:r>
            <w:r>
              <w:rPr>
                <w:rFonts w:hint="eastAsia" w:ascii="Times New Roman" w:hAnsi="Times New Roman" w:eastAsia="宋体" w:cs="Times New Roman"/>
                <w:color w:val="auto"/>
                <w:kern w:val="0"/>
                <w:sz w:val="24"/>
                <w:lang w:val="en-US" w:eastAsia="zh-CN" w:bidi="en-US"/>
              </w:rPr>
              <w:t>m</w:t>
            </w:r>
            <w:r>
              <w:rPr>
                <w:rFonts w:hint="eastAsia" w:ascii="Times New Roman" w:hAnsi="Times New Roman" w:eastAsia="宋体" w:cs="Times New Roman"/>
                <w:color w:val="auto"/>
                <w:kern w:val="0"/>
                <w:sz w:val="24"/>
                <w:vertAlign w:val="superscript"/>
                <w:lang w:val="en-US" w:eastAsia="zh-CN" w:bidi="en-US"/>
              </w:rPr>
              <w:t>2</w:t>
            </w:r>
            <w:r>
              <w:rPr>
                <w:rFonts w:hint="eastAsia" w:ascii="Times New Roman" w:hAnsi="Times New Roman" w:eastAsia="宋体" w:cs="Times New Roman"/>
                <w:color w:val="auto"/>
                <w:kern w:val="0"/>
                <w:sz w:val="24"/>
                <w:lang w:val="en-US" w:eastAsia="zh-CN" w:bidi="en-US"/>
              </w:rPr>
              <w:t>，长58.8米，宽23.4米，地上两层；液氧储罐泵房位于东北角；</w:t>
            </w:r>
            <w:r>
              <w:rPr>
                <w:rFonts w:hint="eastAsia" w:cs="Times New Roman"/>
                <w:color w:val="auto"/>
                <w:kern w:val="0"/>
                <w:sz w:val="24"/>
                <w:lang w:val="en-US" w:eastAsia="zh-CN" w:bidi="en-US"/>
              </w:rPr>
              <w:t>危险废物</w:t>
            </w:r>
            <w:r>
              <w:rPr>
                <w:rFonts w:hint="eastAsia" w:ascii="Times New Roman" w:hAnsi="Times New Roman" w:eastAsia="宋体" w:cs="Times New Roman"/>
                <w:color w:val="auto"/>
                <w:kern w:val="0"/>
                <w:sz w:val="24"/>
                <w:lang w:val="en-US" w:eastAsia="zh-CN" w:bidi="en-US"/>
              </w:rPr>
              <w:t>暂存间位于项目区东南角，</w:t>
            </w:r>
            <w:r>
              <w:rPr>
                <w:rFonts w:hint="default" w:ascii="Times New Roman" w:hAnsi="Times New Roman" w:eastAsia="宋体" w:cs="Times New Roman"/>
                <w:color w:val="auto"/>
                <w:kern w:val="0"/>
                <w:sz w:val="24"/>
                <w:lang w:val="en-US" w:eastAsia="zh-CN" w:bidi="en-US"/>
              </w:rPr>
              <w:t>建筑面积127.13m</w:t>
            </w:r>
            <w:r>
              <w:rPr>
                <w:rFonts w:hint="default" w:ascii="Times New Roman" w:hAnsi="Times New Roman" w:eastAsia="宋体" w:cs="Times New Roman"/>
                <w:color w:val="auto"/>
                <w:kern w:val="0"/>
                <w:sz w:val="24"/>
                <w:vertAlign w:val="superscript"/>
                <w:lang w:val="en-US" w:eastAsia="zh-CN" w:bidi="en-US"/>
              </w:rPr>
              <w:t>2</w:t>
            </w:r>
            <w:r>
              <w:rPr>
                <w:rFonts w:hint="eastAsia" w:ascii="Times New Roman" w:hAnsi="Times New Roman" w:eastAsia="宋体" w:cs="Times New Roman"/>
                <w:color w:val="auto"/>
                <w:kern w:val="0"/>
                <w:sz w:val="24"/>
                <w:lang w:val="en-US" w:eastAsia="zh-CN" w:bidi="en-US"/>
              </w:rPr>
              <w:t xml:space="preserve"> ，东西长22.50米，南北进深9.60米，层高3.90米，建筑总高度4.05米，室内外高差0.15米；污水处理站位于项目区东南角，</w:t>
            </w:r>
            <w:r>
              <w:rPr>
                <w:rFonts w:hint="eastAsia" w:cs="Times New Roman"/>
                <w:color w:val="auto"/>
                <w:kern w:val="0"/>
                <w:sz w:val="24"/>
                <w:lang w:val="en-US" w:eastAsia="zh-CN" w:bidi="en-US"/>
              </w:rPr>
              <w:t>危险废物</w:t>
            </w:r>
            <w:r>
              <w:rPr>
                <w:rFonts w:hint="eastAsia" w:ascii="Times New Roman" w:hAnsi="Times New Roman" w:eastAsia="宋体" w:cs="Times New Roman"/>
                <w:color w:val="auto"/>
                <w:kern w:val="0"/>
                <w:sz w:val="24"/>
                <w:lang w:val="en-US" w:eastAsia="zh-CN" w:bidi="en-US"/>
              </w:rPr>
              <w:t>暂存间</w:t>
            </w:r>
            <w:r>
              <w:rPr>
                <w:rFonts w:hint="eastAsia" w:cs="Times New Roman"/>
                <w:color w:val="auto"/>
                <w:kern w:val="0"/>
                <w:sz w:val="24"/>
                <w:lang w:val="en-US" w:eastAsia="zh-CN" w:bidi="en-US"/>
              </w:rPr>
              <w:t>的</w:t>
            </w:r>
            <w:r>
              <w:rPr>
                <w:rFonts w:hint="eastAsia" w:ascii="Times New Roman" w:hAnsi="Times New Roman" w:eastAsia="宋体" w:cs="Times New Roman"/>
                <w:color w:val="auto"/>
                <w:kern w:val="0"/>
                <w:sz w:val="24"/>
                <w:lang w:val="en-US" w:eastAsia="zh-CN" w:bidi="en-US"/>
              </w:rPr>
              <w:t>右侧，建筑面积</w:t>
            </w:r>
            <w:r>
              <w:rPr>
                <w:rFonts w:hint="eastAsia" w:cs="Times New Roman"/>
                <w:color w:val="auto"/>
                <w:kern w:val="0"/>
                <w:sz w:val="24"/>
                <w:lang w:val="en-US" w:eastAsia="zh-CN" w:bidi="en-US"/>
              </w:rPr>
              <w:t>40</w:t>
            </w:r>
            <w:r>
              <w:rPr>
                <w:rFonts w:hint="eastAsia" w:ascii="Times New Roman" w:hAnsi="Times New Roman" w:eastAsia="宋体" w:cs="Times New Roman"/>
                <w:color w:val="auto"/>
                <w:kern w:val="0"/>
                <w:sz w:val="24"/>
                <w:lang w:val="en-US" w:eastAsia="zh-CN" w:bidi="en-US"/>
              </w:rPr>
              <w:t>m</w:t>
            </w:r>
            <w:r>
              <w:rPr>
                <w:rFonts w:hint="eastAsia" w:ascii="Times New Roman" w:hAnsi="Times New Roman" w:eastAsia="宋体" w:cs="Times New Roman"/>
                <w:color w:val="auto"/>
                <w:kern w:val="0"/>
                <w:sz w:val="24"/>
                <w:vertAlign w:val="superscript"/>
                <w:lang w:val="en-US" w:eastAsia="zh-CN" w:bidi="en-US"/>
              </w:rPr>
              <w:t>2</w:t>
            </w:r>
            <w:r>
              <w:rPr>
                <w:rFonts w:hint="eastAsia" w:ascii="Times New Roman" w:hAnsi="Times New Roman" w:eastAsia="宋体" w:cs="Times New Roman"/>
                <w:color w:val="auto"/>
                <w:kern w:val="0"/>
                <w:sz w:val="24"/>
                <w:vertAlign w:val="baseline"/>
                <w:lang w:val="en-US" w:eastAsia="zh-CN" w:bidi="en-US"/>
              </w:rPr>
              <w:t>。</w:t>
            </w:r>
            <w:r>
              <w:rPr>
                <w:rFonts w:hint="default" w:ascii="Times New Roman" w:hAnsi="Times New Roman" w:eastAsia="宋体" w:cs="Times New Roman"/>
                <w:color w:val="auto"/>
                <w:kern w:val="0"/>
                <w:sz w:val="24"/>
                <w:lang w:val="en-US" w:eastAsia="zh-CN" w:bidi="en-US"/>
              </w:rPr>
              <w:t>平面布置详见附图</w:t>
            </w:r>
            <w:r>
              <w:rPr>
                <w:rFonts w:hint="eastAsia" w:ascii="Times New Roman" w:hAnsi="Times New Roman" w:eastAsia="宋体" w:cs="Times New Roman"/>
                <w:color w:val="auto"/>
                <w:kern w:val="0"/>
                <w:sz w:val="24"/>
                <w:lang w:val="en-US" w:eastAsia="zh-CN" w:bidi="en-US"/>
              </w:rPr>
              <w:t>3</w:t>
            </w:r>
            <w:r>
              <w:rPr>
                <w:rFonts w:hint="default" w:ascii="Times New Roman" w:hAnsi="Times New Roman" w:eastAsia="宋体" w:cs="Times New Roman"/>
                <w:color w:val="auto"/>
                <w:kern w:val="0"/>
                <w:sz w:val="24"/>
                <w:lang w:val="en-US" w:eastAsia="zh-CN" w:bidi="en-U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64" w:hRule="atLeast"/>
          <w:jc w:val="center"/>
        </w:trPr>
        <w:tc>
          <w:tcPr>
            <w:tcW w:w="355" w:type="dxa"/>
            <w:noWrap w:val="0"/>
            <w:vAlign w:val="center"/>
          </w:tcPr>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center"/>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工艺流程和产排污环</w:t>
            </w:r>
          </w:p>
          <w:p>
            <w:pPr>
              <w:pStyle w:val="24"/>
              <w:adjustRightInd w:val="0"/>
              <w:snapToGrid w:val="0"/>
              <w:spacing w:before="0" w:beforeAutospacing="0" w:after="0" w:afterAutospacing="0"/>
              <w:jc w:val="both"/>
              <w:rPr>
                <w:rFonts w:hint="eastAsia" w:ascii="Times New Roman" w:hAnsi="Times New Roman" w:eastAsia="宋体" w:cs="Times New Roman"/>
                <w:color w:val="auto"/>
                <w:szCs w:val="24"/>
                <w:lang w:val="en-US" w:eastAsia="zh-CN"/>
              </w:rPr>
            </w:pPr>
            <w:r>
              <w:rPr>
                <w:rFonts w:hint="eastAsia" w:ascii="Times New Roman" w:hAnsi="Times New Roman" w:cs="Times New Roman"/>
                <w:color w:val="auto"/>
                <w:szCs w:val="24"/>
                <w:lang w:val="en-US" w:eastAsia="zh-CN"/>
              </w:rPr>
              <w:t>节</w:t>
            </w: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auto"/>
                <w:szCs w:val="24"/>
              </w:rPr>
            </w:pPr>
          </w:p>
          <w:p>
            <w:pPr>
              <w:pStyle w:val="24"/>
              <w:adjustRightInd w:val="0"/>
              <w:snapToGrid w:val="0"/>
              <w:spacing w:before="0" w:beforeAutospacing="0" w:after="0" w:afterAutospacing="0"/>
              <w:jc w:val="both"/>
              <w:rPr>
                <w:rFonts w:hint="default" w:ascii="Times New Roman" w:hAnsi="Times New Roman" w:eastAsia="宋体" w:cs="Times New Roman"/>
                <w:color w:val="0000FF"/>
                <w:sz w:val="21"/>
                <w:szCs w:val="21"/>
              </w:rPr>
            </w:pPr>
          </w:p>
        </w:tc>
        <w:tc>
          <w:tcPr>
            <w:tcW w:w="9162" w:type="dxa"/>
            <w:vMerge w:val="restart"/>
            <w:noWrap w:val="0"/>
            <w:vAlign w:val="top"/>
          </w:tcPr>
          <w:p>
            <w:pPr>
              <w:widowControl/>
              <w:spacing w:line="240" w:lineRule="auto"/>
              <w:rPr>
                <w:rFonts w:hint="default" w:ascii="Times New Roman" w:hAnsi="Times New Roman" w:eastAsia="宋体" w:cs="Times New Roman"/>
                <w:b/>
                <w:color w:val="auto"/>
                <w:sz w:val="28"/>
              </w:rPr>
            </w:pPr>
            <w:r>
              <w:rPr>
                <w:rFonts w:hint="default" w:ascii="Times New Roman" w:hAnsi="Times New Roman" w:eastAsia="宋体" w:cs="Times New Roman"/>
                <w:b/>
                <w:color w:val="auto"/>
                <w:sz w:val="28"/>
              </w:rPr>
              <w:t>工艺流程简述：</w:t>
            </w:r>
          </w:p>
          <w:p>
            <w:pPr>
              <w:spacing w:line="440" w:lineRule="exact"/>
              <w:ind w:firstLine="480" w:firstLineChars="200"/>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施工期工艺流程简述及产污环节：</w:t>
            </w:r>
          </w:p>
          <w:p>
            <w:pPr>
              <w:pStyle w:val="17"/>
              <w:framePr w:hSpace="0" w:wrap="auto" w:vAnchor="margin" w:hAnchor="text" w:yAlign="inline"/>
              <w:rPr>
                <w:rFonts w:hint="default" w:ascii="Times New Roman" w:hAnsi="Times New Roman" w:eastAsia="宋体" w:cs="Times New Roman"/>
                <w:color w:val="0000FF"/>
              </w:rPr>
            </w:pPr>
          </w:p>
          <w:p>
            <w:pPr>
              <w:spacing w:line="480" w:lineRule="exact"/>
              <w:ind w:firstLine="482" w:firstLineChars="200"/>
              <w:jc w:val="center"/>
              <w:rPr>
                <w:rFonts w:hint="default" w:ascii="Times New Roman" w:hAnsi="Times New Roman" w:eastAsia="宋体" w:cs="Times New Roman"/>
                <w:b/>
                <w:bCs/>
                <w:color w:val="auto"/>
                <w:sz w:val="24"/>
              </w:rPr>
            </w:pPr>
          </w:p>
          <w:p>
            <w:pPr>
              <w:spacing w:line="480" w:lineRule="exact"/>
              <w:ind w:firstLine="482" w:firstLineChars="200"/>
              <w:jc w:val="center"/>
              <w:rPr>
                <w:rFonts w:hint="default" w:ascii="Times New Roman" w:hAnsi="Times New Roman" w:eastAsia="宋体" w:cs="Times New Roman"/>
                <w:b/>
                <w:bCs/>
                <w:color w:val="auto"/>
                <w:sz w:val="24"/>
              </w:rPr>
            </w:pPr>
          </w:p>
          <w:p>
            <w:pPr>
              <w:spacing w:line="480" w:lineRule="exact"/>
              <w:ind w:firstLine="482" w:firstLineChars="200"/>
              <w:jc w:val="center"/>
              <w:rPr>
                <w:rFonts w:hint="default" w:ascii="Times New Roman" w:hAnsi="Times New Roman" w:eastAsia="宋体" w:cs="Times New Roman"/>
                <w:b/>
                <w:bCs/>
                <w:color w:val="auto"/>
                <w:sz w:val="24"/>
              </w:rPr>
            </w:pPr>
          </w:p>
          <w:p>
            <w:pPr>
              <w:spacing w:line="480" w:lineRule="exact"/>
              <w:ind w:firstLine="482" w:firstLineChars="200"/>
              <w:jc w:val="center"/>
              <w:rPr>
                <w:rFonts w:hint="default" w:ascii="Times New Roman" w:hAnsi="Times New Roman" w:eastAsia="宋体" w:cs="Times New Roman"/>
                <w:b/>
                <w:bCs/>
                <w:color w:val="auto"/>
                <w:sz w:val="24"/>
              </w:rPr>
            </w:pPr>
          </w:p>
          <w:p>
            <w:pPr>
              <w:spacing w:line="480" w:lineRule="exact"/>
              <w:ind w:firstLine="482" w:firstLineChars="200"/>
              <w:jc w:val="center"/>
              <w:rPr>
                <w:rFonts w:hint="default" w:ascii="Times New Roman" w:hAnsi="Times New Roman" w:eastAsia="宋体" w:cs="Times New Roman"/>
                <w:b/>
                <w:bCs/>
                <w:color w:val="auto"/>
                <w:sz w:val="24"/>
              </w:rPr>
            </w:pPr>
          </w:p>
          <w:p>
            <w:pPr>
              <w:spacing w:line="480" w:lineRule="exact"/>
              <w:ind w:firstLine="482" w:firstLineChars="200"/>
              <w:jc w:val="center"/>
              <w:rPr>
                <w:rFonts w:hint="default" w:ascii="Times New Roman" w:hAnsi="Times New Roman" w:eastAsia="宋体" w:cs="Times New Roman"/>
                <w:b/>
                <w:bCs/>
                <w:color w:val="auto"/>
                <w:sz w:val="24"/>
              </w:rPr>
            </w:pPr>
          </w:p>
          <w:p>
            <w:pPr>
              <w:spacing w:line="480" w:lineRule="exact"/>
              <w:ind w:firstLine="482" w:firstLineChars="200"/>
              <w:jc w:val="center"/>
              <w:rPr>
                <w:rFonts w:hint="default" w:ascii="Times New Roman" w:hAnsi="Times New Roman" w:eastAsia="宋体" w:cs="Times New Roman"/>
                <w:b/>
                <w:bCs/>
                <w:color w:val="auto"/>
                <w:sz w:val="24"/>
              </w:rPr>
            </w:pPr>
          </w:p>
          <w:p>
            <w:pPr>
              <w:spacing w:line="480" w:lineRule="exact"/>
              <w:jc w:val="both"/>
              <w:rPr>
                <w:rFonts w:hint="default" w:ascii="Times New Roman" w:hAnsi="Times New Roman" w:eastAsia="宋体" w:cs="Times New Roman"/>
                <w:b/>
                <w:bCs/>
                <w:color w:val="auto"/>
                <w:sz w:val="24"/>
              </w:rPr>
            </w:pPr>
          </w:p>
          <w:p>
            <w:pPr>
              <w:spacing w:line="480" w:lineRule="exact"/>
              <w:ind w:firstLine="482" w:firstLineChars="20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图2-2施工期工艺流程及产污节点图</w:t>
            </w:r>
          </w:p>
          <w:p>
            <w:pPr>
              <w:pStyle w:val="12"/>
              <w:rPr>
                <w:rFonts w:hint="default"/>
              </w:rPr>
            </w:pPr>
          </w:p>
          <w:p>
            <w:pPr>
              <w:spacing w:line="360" w:lineRule="auto"/>
              <w:ind w:firstLine="480" w:firstLineChars="200"/>
              <w:rPr>
                <w:rFonts w:hint="eastAsia" w:ascii="Times New Roman" w:hAnsi="Times New Roman" w:eastAsia="宋体" w:cs="Times New Roman"/>
                <w:b/>
                <w:bCs/>
                <w:color w:val="auto"/>
                <w:spacing w:val="6"/>
                <w:sz w:val="24"/>
                <w:lang w:val="en-US" w:eastAsia="zh-CN"/>
              </w:rPr>
            </w:pPr>
            <w:r>
              <w:rPr>
                <w:rFonts w:hint="default" w:ascii="Times New Roman" w:hAnsi="Times New Roman" w:eastAsia="宋体" w:cs="Times New Roman"/>
                <w:color w:val="auto"/>
                <w:sz w:val="24"/>
              </w:rPr>
              <w:t>建设项目施工期间，会产生噪声，扬尘，装修废气，固废，施工废水等，均会对环境造成一定的影响。但施工期的环境影响为阶段性影响，工程建设完成后，除部分永久性占地为持续性影响外，其余环境影响会随着施工期的结束而消失。</w:t>
            </w:r>
          </w:p>
          <w:p>
            <w:pPr>
              <w:pStyle w:val="12"/>
              <w:rPr>
                <w:rFonts w:hint="eastAsia" w:ascii="Times New Roman" w:hAnsi="Times New Roman" w:eastAsia="宋体" w:cs="Times New Roman"/>
                <w:b/>
                <w:bCs/>
                <w:color w:val="auto"/>
                <w:spacing w:val="6"/>
                <w:sz w:val="24"/>
                <w:lang w:val="en-US" w:eastAsia="zh-CN"/>
              </w:rPr>
            </w:pPr>
          </w:p>
          <w:p>
            <w:pPr>
              <w:numPr>
                <w:ilvl w:val="0"/>
                <w:numId w:val="0"/>
              </w:numPr>
              <w:spacing w:line="360" w:lineRule="auto"/>
              <w:ind w:firstLine="506" w:firstLineChars="200"/>
              <w:rPr>
                <w:rFonts w:hint="eastAsia" w:cs="Times New Roman"/>
                <w:b/>
                <w:bCs/>
                <w:color w:val="auto"/>
                <w:spacing w:val="6"/>
                <w:sz w:val="24"/>
                <w:lang w:val="en-US" w:eastAsia="zh-CN"/>
              </w:rPr>
            </w:pPr>
          </w:p>
          <w:p>
            <w:pPr>
              <w:numPr>
                <w:ilvl w:val="0"/>
                <w:numId w:val="0"/>
              </w:numPr>
              <w:spacing w:line="360" w:lineRule="auto"/>
              <w:ind w:firstLine="506" w:firstLineChars="200"/>
              <w:rPr>
                <w:rFonts w:hint="eastAsia" w:cs="Times New Roman"/>
                <w:b/>
                <w:bCs/>
                <w:color w:val="auto"/>
                <w:spacing w:val="6"/>
                <w:sz w:val="24"/>
                <w:lang w:val="en-US" w:eastAsia="zh-CN"/>
              </w:rPr>
            </w:pPr>
          </w:p>
          <w:p>
            <w:pPr>
              <w:numPr>
                <w:ilvl w:val="0"/>
                <w:numId w:val="0"/>
              </w:numPr>
              <w:spacing w:line="360" w:lineRule="auto"/>
              <w:ind w:firstLine="506" w:firstLineChars="200"/>
              <w:rPr>
                <w:rFonts w:hint="eastAsia" w:cs="Times New Roman"/>
                <w:b/>
                <w:bCs/>
                <w:color w:val="auto"/>
                <w:spacing w:val="6"/>
                <w:sz w:val="24"/>
                <w:lang w:val="en-US" w:eastAsia="zh-CN"/>
              </w:rPr>
            </w:pPr>
          </w:p>
          <w:p>
            <w:pPr>
              <w:numPr>
                <w:ilvl w:val="0"/>
                <w:numId w:val="0"/>
              </w:numPr>
              <w:spacing w:line="360" w:lineRule="auto"/>
              <w:ind w:firstLine="506" w:firstLineChars="200"/>
              <w:rPr>
                <w:rFonts w:hint="eastAsia" w:cs="Times New Roman"/>
                <w:b/>
                <w:bCs/>
                <w:color w:val="auto"/>
                <w:spacing w:val="6"/>
                <w:sz w:val="24"/>
                <w:lang w:val="en-US" w:eastAsia="zh-CN"/>
              </w:rPr>
            </w:pPr>
          </w:p>
          <w:p>
            <w:pPr>
              <w:numPr>
                <w:ilvl w:val="0"/>
                <w:numId w:val="0"/>
              </w:numPr>
              <w:spacing w:line="360" w:lineRule="auto"/>
              <w:ind w:firstLine="506" w:firstLineChars="200"/>
              <w:rPr>
                <w:rFonts w:hint="eastAsia" w:cs="Times New Roman"/>
                <w:b/>
                <w:bCs/>
                <w:color w:val="auto"/>
                <w:spacing w:val="6"/>
                <w:sz w:val="24"/>
                <w:lang w:val="en-US" w:eastAsia="zh-CN"/>
              </w:rPr>
            </w:pPr>
          </w:p>
          <w:p>
            <w:pPr>
              <w:numPr>
                <w:ilvl w:val="0"/>
                <w:numId w:val="0"/>
              </w:numPr>
              <w:spacing w:line="360" w:lineRule="auto"/>
              <w:ind w:firstLine="506" w:firstLineChars="200"/>
              <w:rPr>
                <w:rFonts w:hint="eastAsia" w:cs="Times New Roman"/>
                <w:b/>
                <w:bCs/>
                <w:color w:val="auto"/>
                <w:spacing w:val="6"/>
                <w:sz w:val="24"/>
                <w:lang w:val="en-US" w:eastAsia="zh-CN"/>
              </w:rPr>
            </w:pPr>
          </w:p>
          <w:p>
            <w:pPr>
              <w:numPr>
                <w:ilvl w:val="0"/>
                <w:numId w:val="0"/>
              </w:numPr>
              <w:spacing w:line="360" w:lineRule="auto"/>
              <w:ind w:firstLine="506" w:firstLineChars="200"/>
              <w:rPr>
                <w:rFonts w:hint="eastAsia" w:cs="Times New Roman"/>
                <w:b/>
                <w:bCs/>
                <w:color w:val="auto"/>
                <w:spacing w:val="6"/>
                <w:sz w:val="24"/>
                <w:lang w:val="en-US" w:eastAsia="zh-CN"/>
              </w:rPr>
            </w:pPr>
          </w:p>
          <w:p>
            <w:pPr>
              <w:numPr>
                <w:ilvl w:val="0"/>
                <w:numId w:val="0"/>
              </w:numPr>
              <w:spacing w:line="360" w:lineRule="auto"/>
              <w:ind w:firstLine="506" w:firstLineChars="200"/>
              <w:rPr>
                <w:rFonts w:hint="eastAsia" w:cs="Times New Roman"/>
                <w:b/>
                <w:bCs/>
                <w:color w:val="auto"/>
                <w:spacing w:val="6"/>
                <w:sz w:val="24"/>
                <w:lang w:val="en-US" w:eastAsia="zh-CN"/>
              </w:rPr>
            </w:pPr>
          </w:p>
          <w:p>
            <w:pPr>
              <w:numPr>
                <w:ilvl w:val="0"/>
                <w:numId w:val="0"/>
              </w:numPr>
              <w:spacing w:line="360" w:lineRule="auto"/>
              <w:ind w:firstLine="506" w:firstLineChars="200"/>
              <w:rPr>
                <w:rFonts w:hint="eastAsia" w:cs="Times New Roman"/>
                <w:b/>
                <w:bCs/>
                <w:color w:val="auto"/>
                <w:spacing w:val="6"/>
                <w:sz w:val="24"/>
                <w:lang w:val="en-US" w:eastAsia="zh-CN"/>
              </w:rPr>
            </w:pPr>
          </w:p>
          <w:p>
            <w:pPr>
              <w:numPr>
                <w:ilvl w:val="0"/>
                <w:numId w:val="0"/>
              </w:numPr>
              <w:spacing w:line="360" w:lineRule="auto"/>
              <w:ind w:firstLine="506" w:firstLineChars="200"/>
              <w:rPr>
                <w:rFonts w:hint="eastAsia" w:cs="Times New Roman"/>
                <w:b/>
                <w:bCs/>
                <w:color w:val="auto"/>
                <w:spacing w:val="6"/>
                <w:sz w:val="24"/>
                <w:lang w:val="en-US" w:eastAsia="zh-CN"/>
              </w:rPr>
            </w:pPr>
          </w:p>
          <w:p>
            <w:pPr>
              <w:numPr>
                <w:ilvl w:val="0"/>
                <w:numId w:val="0"/>
              </w:numPr>
              <w:spacing w:line="360" w:lineRule="auto"/>
              <w:ind w:firstLine="506" w:firstLineChars="200"/>
              <w:rPr>
                <w:rFonts w:hint="eastAsia" w:cs="Times New Roman"/>
                <w:b/>
                <w:bCs/>
                <w:color w:val="auto"/>
                <w:spacing w:val="6"/>
                <w:sz w:val="24"/>
                <w:lang w:val="en-US" w:eastAsia="zh-CN"/>
              </w:rPr>
            </w:pPr>
          </w:p>
          <w:p>
            <w:pPr>
              <w:numPr>
                <w:ilvl w:val="0"/>
                <w:numId w:val="0"/>
              </w:numPr>
              <w:spacing w:line="360" w:lineRule="auto"/>
              <w:ind w:firstLine="506" w:firstLineChars="200"/>
              <w:rPr>
                <w:rFonts w:hint="eastAsia" w:cs="Times New Roman"/>
                <w:b/>
                <w:bCs/>
                <w:color w:val="auto"/>
                <w:spacing w:val="6"/>
                <w:sz w:val="24"/>
                <w:lang w:val="en-US" w:eastAsia="zh-CN"/>
              </w:rPr>
            </w:pPr>
          </w:p>
          <w:p>
            <w:pPr>
              <w:numPr>
                <w:ilvl w:val="0"/>
                <w:numId w:val="0"/>
              </w:numPr>
              <w:spacing w:line="360" w:lineRule="auto"/>
              <w:ind w:firstLine="506" w:firstLineChars="200"/>
              <w:rPr>
                <w:rFonts w:hint="eastAsia" w:cs="Times New Roman"/>
                <w:b/>
                <w:bCs/>
                <w:color w:val="auto"/>
                <w:spacing w:val="6"/>
                <w:sz w:val="24"/>
                <w:lang w:val="en-US" w:eastAsia="zh-CN"/>
              </w:rPr>
            </w:pPr>
          </w:p>
          <w:p>
            <w:pPr>
              <w:numPr>
                <w:ilvl w:val="0"/>
                <w:numId w:val="3"/>
              </w:numPr>
              <w:spacing w:line="360" w:lineRule="auto"/>
              <w:ind w:firstLine="506" w:firstLineChars="200"/>
              <w:rPr>
                <w:rFonts w:hint="default" w:ascii="Times New Roman" w:hAnsi="Times New Roman" w:eastAsia="宋体" w:cs="Times New Roman"/>
                <w:b/>
                <w:bCs/>
                <w:color w:val="auto"/>
                <w:spacing w:val="6"/>
                <w:sz w:val="24"/>
              </w:rPr>
            </w:pPr>
            <w:r>
              <w:rPr>
                <w:rFonts w:hint="eastAsia" w:ascii="Times New Roman" w:hAnsi="Times New Roman" w:eastAsia="宋体" w:cs="Times New Roman"/>
                <w:b/>
                <w:bCs/>
                <w:color w:val="auto"/>
                <w:spacing w:val="6"/>
                <w:sz w:val="24"/>
                <w:lang w:val="en-US" w:eastAsia="zh-CN"/>
              </w:rPr>
              <w:t>医院</w:t>
            </w:r>
            <w:r>
              <w:rPr>
                <w:rFonts w:hint="default" w:ascii="Times New Roman" w:hAnsi="Times New Roman" w:eastAsia="宋体" w:cs="Times New Roman"/>
                <w:b/>
                <w:bCs/>
                <w:color w:val="auto"/>
                <w:spacing w:val="6"/>
                <w:sz w:val="24"/>
              </w:rPr>
              <w:t>运营期工艺流程简述及产污环节</w:t>
            </w:r>
          </w:p>
          <w:p>
            <w:pPr>
              <w:numPr>
                <w:ilvl w:val="0"/>
                <w:numId w:val="0"/>
              </w:numPr>
              <w:spacing w:line="360" w:lineRule="auto"/>
              <w:rPr>
                <w:rFonts w:hint="eastAsia"/>
                <w:bCs/>
                <w:color w:val="auto"/>
                <w:szCs w:val="21"/>
                <w:highlight w:val="none"/>
              </w:rPr>
            </w:pPr>
            <w:r>
              <w:rPr>
                <w:rFonts w:hint="eastAsia" w:hAnsi="宋体"/>
                <w:b/>
                <w:bCs/>
                <w:color w:val="auto"/>
                <w:szCs w:val="21"/>
                <w:highlight w:val="none"/>
              </w:rPr>
              <mc:AlternateContent>
                <mc:Choice Requires="wps">
                  <w:drawing>
                    <wp:anchor distT="0" distB="0" distL="114300" distR="114300" simplePos="0" relativeHeight="251776000" behindDoc="0" locked="0" layoutInCell="1" allowOverlap="1">
                      <wp:simplePos x="0" y="0"/>
                      <wp:positionH relativeFrom="column">
                        <wp:posOffset>3388995</wp:posOffset>
                      </wp:positionH>
                      <wp:positionV relativeFrom="paragraph">
                        <wp:posOffset>114300</wp:posOffset>
                      </wp:positionV>
                      <wp:extent cx="1000760" cy="467360"/>
                      <wp:effectExtent l="0" t="0" r="0" b="0"/>
                      <wp:wrapNone/>
                      <wp:docPr id="146" name="文本框 51"/>
                      <wp:cNvGraphicFramePr/>
                      <a:graphic xmlns:a="http://schemas.openxmlformats.org/drawingml/2006/main">
                        <a:graphicData uri="http://schemas.microsoft.com/office/word/2010/wordprocessingShape">
                          <wps:wsp>
                            <wps:cNvSpPr txBox="1"/>
                            <wps:spPr>
                              <a:xfrm>
                                <a:off x="0" y="0"/>
                                <a:ext cx="1000760" cy="467360"/>
                              </a:xfrm>
                              <a:prstGeom prst="rect">
                                <a:avLst/>
                              </a:prstGeom>
                              <a:noFill/>
                              <a:ln>
                                <a:noFill/>
                              </a:ln>
                            </wps:spPr>
                            <wps:txbx>
                              <w:txbxContent>
                                <w:p>
                                  <w:pPr>
                                    <w:rPr>
                                      <w:rFonts w:hint="default" w:eastAsia="宋体"/>
                                      <w:lang w:val="en-US" w:eastAsia="zh-CN"/>
                                    </w:rPr>
                                  </w:pPr>
                                  <w:r>
                                    <w:rPr>
                                      <w:rFonts w:hint="eastAsia"/>
                                    </w:rPr>
                                    <w:t>废</w:t>
                                  </w:r>
                                  <w:r>
                                    <w:rPr>
                                      <w:rFonts w:hint="eastAsia"/>
                                      <w:lang w:val="en-US" w:eastAsia="zh-CN"/>
                                    </w:rPr>
                                    <w:t>水</w:t>
                                  </w:r>
                                  <w:r>
                                    <w:rPr>
                                      <w:rFonts w:hint="eastAsia"/>
                                    </w:rPr>
                                    <w:t>、</w:t>
                                  </w:r>
                                  <w:r>
                                    <w:rPr>
                                      <w:rFonts w:hint="eastAsia"/>
                                      <w:lang w:val="en-US" w:eastAsia="zh-CN"/>
                                    </w:rPr>
                                    <w:t>医疗废物、生活垃圾</w:t>
                                  </w:r>
                                </w:p>
                              </w:txbxContent>
                            </wps:txbx>
                            <wps:bodyPr upright="1"/>
                          </wps:wsp>
                        </a:graphicData>
                      </a:graphic>
                    </wp:anchor>
                  </w:drawing>
                </mc:Choice>
                <mc:Fallback>
                  <w:pict>
                    <v:shape id="文本框 51" o:spid="_x0000_s1026" o:spt="202" type="#_x0000_t202" style="position:absolute;left:0pt;margin-left:266.85pt;margin-top:9pt;height:36.8pt;width:78.8pt;z-index:251776000;mso-width-relative:page;mso-height-relative:page;" filled="f" stroked="f" coordsize="21600,21600" o:gfxdata="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Pqr871wAA&#10;AAkBAAAPAAAAAAAAAAEAIAAAACIAAABkcnMvZG93bnJldi54bWxQSwECFAAUAAAACACHTuJA4Lmx&#10;4K0BAABRAwAADgAAAAAAAAABACAAAAAmAQAAZHJzL2Uyb0RvYy54bWxQSwUGAAAAAAYABgBZAQAA&#10;RQUAAAAA&#10;">
                      <v:fill on="f" focussize="0,0"/>
                      <v:stroke on="f"/>
                      <v:imagedata o:title=""/>
                      <o:lock v:ext="edit" aspectratio="f"/>
                      <v:textbox>
                        <w:txbxContent>
                          <w:p>
                            <w:pPr>
                              <w:rPr>
                                <w:rFonts w:hint="default" w:eastAsia="宋体"/>
                                <w:lang w:val="en-US" w:eastAsia="zh-CN"/>
                              </w:rPr>
                            </w:pPr>
                            <w:r>
                              <w:rPr>
                                <w:rFonts w:hint="eastAsia"/>
                              </w:rPr>
                              <w:t>废</w:t>
                            </w:r>
                            <w:r>
                              <w:rPr>
                                <w:rFonts w:hint="eastAsia"/>
                                <w:lang w:val="en-US" w:eastAsia="zh-CN"/>
                              </w:rPr>
                              <w:t>水</w:t>
                            </w:r>
                            <w:r>
                              <w:rPr>
                                <w:rFonts w:hint="eastAsia"/>
                              </w:rPr>
                              <w:t>、</w:t>
                            </w:r>
                            <w:r>
                              <w:rPr>
                                <w:rFonts w:hint="eastAsia"/>
                                <w:lang w:val="en-US" w:eastAsia="zh-CN"/>
                              </w:rPr>
                              <w:t>医疗废物、生活垃圾</w:t>
                            </w:r>
                          </w:p>
                        </w:txbxContent>
                      </v:textbox>
                    </v:shape>
                  </w:pict>
                </mc:Fallback>
              </mc:AlternateContent>
            </w:r>
            <w:r>
              <w:rPr>
                <w:rFonts w:hint="eastAsia" w:hAnsi="宋体"/>
                <w:b/>
                <w:bCs/>
                <w:color w:val="auto"/>
                <w:szCs w:val="21"/>
                <w:highlight w:val="none"/>
              </w:rPr>
              <mc:AlternateContent>
                <mc:Choice Requires="wps">
                  <w:drawing>
                    <wp:anchor distT="0" distB="0" distL="114300" distR="114300" simplePos="0" relativeHeight="251758592" behindDoc="0" locked="0" layoutInCell="1" allowOverlap="1">
                      <wp:simplePos x="0" y="0"/>
                      <wp:positionH relativeFrom="column">
                        <wp:posOffset>2026285</wp:posOffset>
                      </wp:positionH>
                      <wp:positionV relativeFrom="paragraph">
                        <wp:posOffset>139700</wp:posOffset>
                      </wp:positionV>
                      <wp:extent cx="763905" cy="300355"/>
                      <wp:effectExtent l="4445" t="5080" r="12700" b="18415"/>
                      <wp:wrapNone/>
                      <wp:docPr id="129" name="文本框 52"/>
                      <wp:cNvGraphicFramePr/>
                      <a:graphic xmlns:a="http://schemas.openxmlformats.org/drawingml/2006/main">
                        <a:graphicData uri="http://schemas.microsoft.com/office/word/2010/wordprocessingShape">
                          <wps:wsp>
                            <wps:cNvSpPr txBox="1"/>
                            <wps:spPr>
                              <a:xfrm>
                                <a:off x="0" y="0"/>
                                <a:ext cx="763905" cy="300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就诊检验</w:t>
                                  </w:r>
                                </w:p>
                              </w:txbxContent>
                            </wps:txbx>
                            <wps:bodyPr upright="1"/>
                          </wps:wsp>
                        </a:graphicData>
                      </a:graphic>
                    </wp:anchor>
                  </w:drawing>
                </mc:Choice>
                <mc:Fallback>
                  <w:pict>
                    <v:shape id="文本框 52" o:spid="_x0000_s1026" o:spt="202" type="#_x0000_t202" style="position:absolute;left:0pt;margin-left:159.55pt;margin-top:11pt;height:23.65pt;width:60.15pt;z-index:251758592;mso-width-relative:page;mso-height-relative:page;" fillcolor="#FFFFFF" filled="t" stroked="t" coordsize="21600,21600" o:gfxdata="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Qfx/XYAAAACQEAAA8AAAAAAAAAAQAgAAAA&#10;IgAAAGRycy9kb3ducmV2LnhtbFBLAQIUABQAAAAIAIdO4kACF5rDCwIAADgEAAAOAAAAAAAAAAEA&#10;IAAAACcBAABkcnMvZTJvRG9jLnhtbFBLBQYAAAAABgAGAFkBAACkBQ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就诊检验</w:t>
                            </w:r>
                          </w:p>
                        </w:txbxContent>
                      </v:textbox>
                    </v:shape>
                  </w:pict>
                </mc:Fallback>
              </mc:AlternateContent>
            </w:r>
            <w:r>
              <w:rPr>
                <w:rFonts w:hint="eastAsia" w:hAnsi="宋体"/>
                <w:b/>
                <w:bCs/>
                <w:color w:val="auto"/>
                <w:szCs w:val="21"/>
                <w:highlight w:val="none"/>
              </w:rPr>
              <mc:AlternateContent>
                <mc:Choice Requires="wps">
                  <w:drawing>
                    <wp:anchor distT="0" distB="0" distL="114300" distR="114300" simplePos="0" relativeHeight="251764736" behindDoc="0" locked="0" layoutInCell="1" allowOverlap="1">
                      <wp:simplePos x="0" y="0"/>
                      <wp:positionH relativeFrom="column">
                        <wp:posOffset>2416810</wp:posOffset>
                      </wp:positionH>
                      <wp:positionV relativeFrom="paragraph">
                        <wp:posOffset>1367790</wp:posOffset>
                      </wp:positionV>
                      <wp:extent cx="6985" cy="177165"/>
                      <wp:effectExtent l="34290" t="0" r="34925" b="13335"/>
                      <wp:wrapNone/>
                      <wp:docPr id="135" name="自选图形 53"/>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margin-left:190.3pt;margin-top:107.7pt;height:13.95pt;width:0.55pt;z-index:251764736;mso-width-relative:page;mso-height-relative:page;" filled="f" stroked="t" coordsize="21600,21600" o:gfxdata="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SaTH3AAAAAsBAAAPAAAAAAAAAAEAIAAAACIAAABkcnMv&#10;ZG93bnJldi54bWxQSwECFAAUAAAACACHTuJAQP7Rjv8BAADsAwAADgAAAAAAAAABACAAAAArAQAA&#10;ZHJzL2Uyb0RvYy54bWxQSwUGAAAAAAYABgBZAQAAnAUAAAAA&#10;">
                      <v:fill on="f" focussize="0,0"/>
                      <v:stroke color="#000000" joinstyle="round" endarrow="block"/>
                      <v:imagedata o:title=""/>
                      <o:lock v:ext="edit" aspectratio="f"/>
                    </v:shape>
                  </w:pict>
                </mc:Fallback>
              </mc:AlternateContent>
            </w:r>
            <w:r>
              <w:rPr>
                <w:rFonts w:hint="eastAsia" w:hAnsi="宋体"/>
                <w:b/>
                <w:bCs/>
                <w:color w:val="auto"/>
                <w:szCs w:val="21"/>
                <w:highlight w:val="none"/>
              </w:rPr>
              <mc:AlternateContent>
                <mc:Choice Requires="wps">
                  <w:drawing>
                    <wp:anchor distT="0" distB="0" distL="114300" distR="114300" simplePos="0" relativeHeight="251763712" behindDoc="0" locked="0" layoutInCell="1" allowOverlap="1">
                      <wp:simplePos x="0" y="0"/>
                      <wp:positionH relativeFrom="column">
                        <wp:posOffset>2402840</wp:posOffset>
                      </wp:positionH>
                      <wp:positionV relativeFrom="paragraph">
                        <wp:posOffset>917575</wp:posOffset>
                      </wp:positionV>
                      <wp:extent cx="6985" cy="177165"/>
                      <wp:effectExtent l="34290" t="0" r="34925" b="13335"/>
                      <wp:wrapNone/>
                      <wp:docPr id="134" name="自选图形 60"/>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189.2pt;margin-top:72.25pt;height:13.95pt;width:0.55pt;z-index:251763712;mso-width-relative:page;mso-height-relative:page;" filled="f" stroked="t" coordsize="21600,21600" o:gfxdata="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6EyhtwAAAALAQAADwAAAAAAAAABACAAAAAiAAAAZHJzL2Rv&#10;d25yZXYueG1sUEsBAhQAFAAAAAgAh07iQF+5Lov9AQAA7AMAAA4AAAAAAAAAAQAgAAAAKwEAAGRy&#10;cy9lMm9Eb2MueG1sUEsFBgAAAAAGAAYAWQEAAJoFAAAAAA==&#10;">
                      <v:fill on="f" focussize="0,0"/>
                      <v:stroke color="#000000" joinstyle="round" endarrow="block"/>
                      <v:imagedata o:title=""/>
                      <o:lock v:ext="edit" aspectratio="f"/>
                    </v:shape>
                  </w:pict>
                </mc:Fallback>
              </mc:AlternateContent>
            </w:r>
            <w:r>
              <w:rPr>
                <w:rFonts w:hint="eastAsia" w:hAnsi="宋体"/>
                <w:b/>
                <w:bCs/>
                <w:color w:val="auto"/>
                <w:szCs w:val="21"/>
                <w:highlight w:val="none"/>
              </w:rPr>
              <mc:AlternateContent>
                <mc:Choice Requires="wps">
                  <w:drawing>
                    <wp:anchor distT="0" distB="0" distL="114300" distR="114300" simplePos="0" relativeHeight="251762688" behindDoc="0" locked="0" layoutInCell="1" allowOverlap="1">
                      <wp:simplePos x="0" y="0"/>
                      <wp:positionH relativeFrom="column">
                        <wp:posOffset>2409825</wp:posOffset>
                      </wp:positionH>
                      <wp:positionV relativeFrom="paragraph">
                        <wp:posOffset>440055</wp:posOffset>
                      </wp:positionV>
                      <wp:extent cx="6985" cy="177165"/>
                      <wp:effectExtent l="34290" t="0" r="34925" b="13335"/>
                      <wp:wrapNone/>
                      <wp:docPr id="133" name="自选图形 61"/>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margin-left:189.75pt;margin-top:34.65pt;height:13.95pt;width:0.55pt;z-index:251762688;mso-width-relative:page;mso-height-relative:page;" filled="f" stroked="t" coordsize="21600,21600" o:gfxdata="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ttIwbbAAAACQEAAA8AAAAAAAAAAQAgAAAAIgAAAGRycy9k&#10;b3ducmV2LnhtbFBLAQIUABQAAAAIAIdO4kB9ylY3/wEAAOwDAAAOAAAAAAAAAAEAIAAAACoBAABk&#10;cnMvZTJvRG9jLnhtbFBLBQYAAAAABgAGAFkBAACbBQAAAAA=&#10;">
                      <v:fill on="f" focussize="0,0"/>
                      <v:stroke color="#000000" joinstyle="round" endarrow="block"/>
                      <v:imagedata o:title=""/>
                      <o:lock v:ext="edit" aspectratio="f"/>
                    </v:shape>
                  </w:pict>
                </mc:Fallback>
              </mc:AlternateContent>
            </w:r>
            <w:r>
              <w:rPr>
                <w:rFonts w:hint="eastAsia" w:hAnsi="宋体"/>
                <w:b/>
                <w:bCs/>
                <w:color w:val="auto"/>
                <w:szCs w:val="21"/>
                <w:highlight w:val="none"/>
              </w:rPr>
              <mc:AlternateContent>
                <mc:Choice Requires="wps">
                  <w:drawing>
                    <wp:anchor distT="0" distB="0" distL="114300" distR="114300" simplePos="0" relativeHeight="251761664" behindDoc="0" locked="0" layoutInCell="1" allowOverlap="1">
                      <wp:simplePos x="0" y="0"/>
                      <wp:positionH relativeFrom="column">
                        <wp:posOffset>2029460</wp:posOffset>
                      </wp:positionH>
                      <wp:positionV relativeFrom="paragraph">
                        <wp:posOffset>1524635</wp:posOffset>
                      </wp:positionV>
                      <wp:extent cx="742315" cy="278130"/>
                      <wp:effectExtent l="4445" t="4445" r="15240" b="22225"/>
                      <wp:wrapNone/>
                      <wp:docPr id="132" name="文本框 62"/>
                      <wp:cNvGraphicFramePr/>
                      <a:graphic xmlns:a="http://schemas.openxmlformats.org/drawingml/2006/main">
                        <a:graphicData uri="http://schemas.microsoft.com/office/word/2010/wordprocessingShape">
                          <wps:wsp>
                            <wps:cNvSpPr txBox="1"/>
                            <wps:spPr>
                              <a:xfrm>
                                <a:off x="0" y="0"/>
                                <a:ext cx="74231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检验化验</w:t>
                                  </w:r>
                                </w:p>
                              </w:txbxContent>
                            </wps:txbx>
                            <wps:bodyPr upright="1"/>
                          </wps:wsp>
                        </a:graphicData>
                      </a:graphic>
                    </wp:anchor>
                  </w:drawing>
                </mc:Choice>
                <mc:Fallback>
                  <w:pict>
                    <v:shape id="文本框 62" o:spid="_x0000_s1026" o:spt="202" type="#_x0000_t202" style="position:absolute;left:0pt;margin-left:159.8pt;margin-top:120.05pt;height:21.9pt;width:58.45pt;z-index:251761664;mso-width-relative:page;mso-height-relative:page;" fillcolor="#FFFFFF" filled="t" stroked="t" coordsize="21600,21600" o:gfxdata="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miyTtoAAAALAQAADwAAAAAAAAAB&#10;ACAAAAAiAAAAZHJzL2Rvd25yZXYueG1sUEsBAhQAFAAAAAgAh07iQCEJxOIOAgAAOAQAAA4AAAAA&#10;AAAAAQAgAAAAKQEAAGRycy9lMm9Eb2MueG1sUEsFBgAAAAAGAAYAWQEAAKkFA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检验化验</w:t>
                            </w:r>
                          </w:p>
                        </w:txbxContent>
                      </v:textbox>
                    </v:shape>
                  </w:pict>
                </mc:Fallback>
              </mc:AlternateContent>
            </w:r>
            <w:r>
              <w:rPr>
                <w:rFonts w:hint="eastAsia" w:hAnsi="宋体"/>
                <w:b/>
                <w:bCs/>
                <w:color w:val="auto"/>
                <w:szCs w:val="21"/>
                <w:highlight w:val="none"/>
              </w:rPr>
              <mc:AlternateContent>
                <mc:Choice Requires="wps">
                  <w:drawing>
                    <wp:anchor distT="0" distB="0" distL="114300" distR="114300" simplePos="0" relativeHeight="251760640" behindDoc="0" locked="0" layoutInCell="1" allowOverlap="1">
                      <wp:simplePos x="0" y="0"/>
                      <wp:positionH relativeFrom="column">
                        <wp:posOffset>2014855</wp:posOffset>
                      </wp:positionH>
                      <wp:positionV relativeFrom="paragraph">
                        <wp:posOffset>1067435</wp:posOffset>
                      </wp:positionV>
                      <wp:extent cx="756920" cy="300355"/>
                      <wp:effectExtent l="4445" t="5080" r="19685" b="18415"/>
                      <wp:wrapNone/>
                      <wp:docPr id="131" name="文本框 63"/>
                      <wp:cNvGraphicFramePr/>
                      <a:graphic xmlns:a="http://schemas.openxmlformats.org/drawingml/2006/main">
                        <a:graphicData uri="http://schemas.microsoft.com/office/word/2010/wordprocessingShape">
                          <wps:wsp>
                            <wps:cNvSpPr txBox="1"/>
                            <wps:spPr>
                              <a:xfrm>
                                <a:off x="0" y="0"/>
                                <a:ext cx="756920" cy="300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val="en-US" w:eastAsia="zh-CN"/>
                                    </w:rPr>
                                    <w:t>治疗</w:t>
                                  </w:r>
                                </w:p>
                              </w:txbxContent>
                            </wps:txbx>
                            <wps:bodyPr upright="1"/>
                          </wps:wsp>
                        </a:graphicData>
                      </a:graphic>
                    </wp:anchor>
                  </w:drawing>
                </mc:Choice>
                <mc:Fallback>
                  <w:pict>
                    <v:shape id="文本框 63" o:spid="_x0000_s1026" o:spt="202" type="#_x0000_t202" style="position:absolute;left:0pt;margin-left:158.65pt;margin-top:84.05pt;height:23.65pt;width:59.6pt;z-index:251760640;mso-width-relative:page;mso-height-relative:page;" fillcolor="#FFFFFF" filled="t" stroked="t" coordsize="21600,21600" o:gfxdata="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Mrjk3aAAAACwEAAA8AAAAAAAAAAQAg&#10;AAAAIgAAAGRycy9kb3ducmV2LnhtbFBLAQIUABQAAAAIAIdO4kD/O02rDAIAADgEAAAOAAAAAAAA&#10;AAEAIAAAACkBAABkcnMvZTJvRG9jLnhtbFBLBQYAAAAABgAGAFkBAACnBQAAAAA=&#10;">
                      <v:fill on="t" focussize="0,0"/>
                      <v:stroke color="#000000" joinstyle="miter"/>
                      <v:imagedata o:title=""/>
                      <o:lock v:ext="edit" aspectratio="f"/>
                      <v:textbox>
                        <w:txbxContent>
                          <w:p>
                            <w:pPr>
                              <w:jc w:val="center"/>
                              <w:rPr>
                                <w:rFonts w:hint="eastAsia" w:eastAsia="宋体"/>
                                <w:lang w:eastAsia="zh-CN"/>
                              </w:rPr>
                            </w:pPr>
                            <w:r>
                              <w:rPr>
                                <w:rFonts w:hint="eastAsia"/>
                                <w:lang w:val="en-US" w:eastAsia="zh-CN"/>
                              </w:rPr>
                              <w:t>治疗</w:t>
                            </w:r>
                          </w:p>
                        </w:txbxContent>
                      </v:textbox>
                    </v:shape>
                  </w:pict>
                </mc:Fallback>
              </mc:AlternateContent>
            </w:r>
            <w:r>
              <w:rPr>
                <w:rFonts w:hint="eastAsia" w:hAnsi="宋体"/>
                <w:b/>
                <w:bCs/>
                <w:color w:val="auto"/>
                <w:szCs w:val="21"/>
                <w:highlight w:val="none"/>
              </w:rPr>
              <mc:AlternateContent>
                <mc:Choice Requires="wps">
                  <w:drawing>
                    <wp:anchor distT="0" distB="0" distL="114300" distR="114300" simplePos="0" relativeHeight="251759616" behindDoc="0" locked="0" layoutInCell="1" allowOverlap="1">
                      <wp:simplePos x="0" y="0"/>
                      <wp:positionH relativeFrom="column">
                        <wp:posOffset>2029460</wp:posOffset>
                      </wp:positionH>
                      <wp:positionV relativeFrom="paragraph">
                        <wp:posOffset>617220</wp:posOffset>
                      </wp:positionV>
                      <wp:extent cx="721995" cy="300355"/>
                      <wp:effectExtent l="4445" t="5080" r="16510" b="18415"/>
                      <wp:wrapNone/>
                      <wp:docPr id="130" name="文本框 64"/>
                      <wp:cNvGraphicFramePr/>
                      <a:graphic xmlns:a="http://schemas.openxmlformats.org/drawingml/2006/main">
                        <a:graphicData uri="http://schemas.microsoft.com/office/word/2010/wordprocessingShape">
                          <wps:wsp>
                            <wps:cNvSpPr txBox="1"/>
                            <wps:spPr>
                              <a:xfrm>
                                <a:off x="0" y="0"/>
                                <a:ext cx="721995" cy="300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住院</w:t>
                                  </w:r>
                                </w:p>
                              </w:txbxContent>
                            </wps:txbx>
                            <wps:bodyPr upright="1"/>
                          </wps:wsp>
                        </a:graphicData>
                      </a:graphic>
                    </wp:anchor>
                  </w:drawing>
                </mc:Choice>
                <mc:Fallback>
                  <w:pict>
                    <v:shape id="文本框 64" o:spid="_x0000_s1026" o:spt="202" type="#_x0000_t202" style="position:absolute;left:0pt;margin-left:159.8pt;margin-top:48.6pt;height:23.65pt;width:56.85pt;z-index:251759616;mso-width-relative:page;mso-height-relative:page;" fillcolor="#FFFFFF" filled="t" stroked="t" coordsize="21600,21600" o:gfxdata="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24qW2QAAAAoBAAAPAAAAAAAAAAEAIAAA&#10;ACIAAABkcnMvZG93bnJldi54bWxQSwECFAAUAAAACACHTuJAGlTBwQsCAAA4BAAADgAAAAAAAAAB&#10;ACAAAAAoAQAAZHJzL2Uyb0RvYy54bWxQSwUGAAAAAAYABgBZAQAApQU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住院</w:t>
                            </w:r>
                          </w:p>
                        </w:txbxContent>
                      </v:textbox>
                    </v:shape>
                  </w:pict>
                </mc:Fallback>
              </mc:AlternateContent>
            </w:r>
          </w:p>
          <w:p>
            <w:pPr>
              <w:adjustRightInd w:val="0"/>
              <w:snapToGrid w:val="0"/>
              <w:spacing w:line="360" w:lineRule="auto"/>
              <w:ind w:firstLine="422" w:firstLineChars="200"/>
              <w:jc w:val="left"/>
              <w:rPr>
                <w:rFonts w:hint="eastAsia"/>
                <w:bCs/>
                <w:color w:val="auto"/>
                <w:szCs w:val="21"/>
                <w:highlight w:val="none"/>
              </w:rPr>
            </w:pPr>
            <w:r>
              <w:rPr>
                <w:rFonts w:hint="eastAsia" w:hAnsi="宋体"/>
                <w:b/>
                <w:bCs/>
                <w:color w:val="auto"/>
                <w:szCs w:val="21"/>
                <w:highlight w:val="none"/>
              </w:rPr>
              <mc:AlternateContent>
                <mc:Choice Requires="wps">
                  <w:drawing>
                    <wp:anchor distT="0" distB="0" distL="114300" distR="114300" simplePos="0" relativeHeight="251774976" behindDoc="0" locked="0" layoutInCell="1" allowOverlap="1">
                      <wp:simplePos x="0" y="0"/>
                      <wp:positionH relativeFrom="column">
                        <wp:posOffset>2795905</wp:posOffset>
                      </wp:positionH>
                      <wp:positionV relativeFrom="paragraph">
                        <wp:posOffset>57150</wp:posOffset>
                      </wp:positionV>
                      <wp:extent cx="579120" cy="0"/>
                      <wp:effectExtent l="0" t="48895" r="11430" b="65405"/>
                      <wp:wrapNone/>
                      <wp:docPr id="145" name="自选图形 65"/>
                      <wp:cNvGraphicFramePr/>
                      <a:graphic xmlns:a="http://schemas.openxmlformats.org/drawingml/2006/main">
                        <a:graphicData uri="http://schemas.microsoft.com/office/word/2010/wordprocessingShape">
                          <wps:wsp>
                            <wps:cNvCnPr/>
                            <wps:spPr>
                              <a:xfrm>
                                <a:off x="0" y="0"/>
                                <a:ext cx="579120" cy="0"/>
                              </a:xfrm>
                              <a:prstGeom prst="straightConnector1">
                                <a:avLst/>
                              </a:prstGeom>
                              <a:ln w="9525" cap="flat" cmpd="sng">
                                <a:solidFill>
                                  <a:srgbClr val="000000"/>
                                </a:solidFill>
                                <a:prstDash val="dashDot"/>
                                <a:headEnd type="none" w="med" len="med"/>
                                <a:tailEnd type="arrow" w="med" len="med"/>
                              </a:ln>
                            </wps:spPr>
                            <wps:bodyPr/>
                          </wps:wsp>
                        </a:graphicData>
                      </a:graphic>
                    </wp:anchor>
                  </w:drawing>
                </mc:Choice>
                <mc:Fallback>
                  <w:pict>
                    <v:shape id="自选图形 65" o:spid="_x0000_s1026" o:spt="32" type="#_x0000_t32" style="position:absolute;left:0pt;margin-left:220.15pt;margin-top:4.5pt;height:0pt;width:45.6pt;z-index:251774976;mso-width-relative:page;mso-height-relative:page;" filled="f" stroked="t" coordsize="21600,21600" o:gfxdata="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N9/VK1AAAAAcBAAAPAAAAAAAAAAEAIAAAACIAAABkcnMvZG93bnJldi54&#10;bWxQSwECFAAUAAAACACHTuJAYjT+dP4BAADoAwAADgAAAAAAAAABACAAAAAjAQAAZHJzL2Uyb0Rv&#10;Yy54bWxQSwUGAAAAAAYABgBZAQAAkwUAAAAA&#10;">
                      <v:fill on="f" focussize="0,0"/>
                      <v:stroke color="#000000" joinstyle="round" dashstyle="dashDot" endarrow="open"/>
                      <v:imagedata o:title=""/>
                      <o:lock v:ext="edit" aspectratio="f"/>
                    </v:shape>
                  </w:pict>
                </mc:Fallback>
              </mc:AlternateContent>
            </w:r>
          </w:p>
          <w:p>
            <w:pPr>
              <w:adjustRightInd w:val="0"/>
              <w:snapToGrid w:val="0"/>
              <w:spacing w:line="360" w:lineRule="auto"/>
              <w:ind w:firstLine="422" w:firstLineChars="200"/>
              <w:jc w:val="left"/>
              <w:rPr>
                <w:rFonts w:hint="eastAsia"/>
                <w:bCs/>
                <w:color w:val="auto"/>
                <w:szCs w:val="21"/>
                <w:highlight w:val="none"/>
              </w:rPr>
            </w:pPr>
            <w:r>
              <w:rPr>
                <w:rFonts w:hint="eastAsia" w:hAnsi="宋体"/>
                <w:b/>
                <w:bCs/>
                <w:color w:val="auto"/>
                <w:szCs w:val="21"/>
                <w:highlight w:val="none"/>
              </w:rPr>
              <mc:AlternateContent>
                <mc:Choice Requires="wps">
                  <w:drawing>
                    <wp:anchor distT="0" distB="0" distL="114300" distR="114300" simplePos="0" relativeHeight="251779072" behindDoc="0" locked="0" layoutInCell="1" allowOverlap="1">
                      <wp:simplePos x="0" y="0"/>
                      <wp:positionH relativeFrom="column">
                        <wp:posOffset>3381375</wp:posOffset>
                      </wp:positionH>
                      <wp:positionV relativeFrom="paragraph">
                        <wp:posOffset>90170</wp:posOffset>
                      </wp:positionV>
                      <wp:extent cx="1000760" cy="467360"/>
                      <wp:effectExtent l="0" t="0" r="0" b="0"/>
                      <wp:wrapNone/>
                      <wp:docPr id="149" name="文本框 66"/>
                      <wp:cNvGraphicFramePr/>
                      <a:graphic xmlns:a="http://schemas.openxmlformats.org/drawingml/2006/main">
                        <a:graphicData uri="http://schemas.microsoft.com/office/word/2010/wordprocessingShape">
                          <wps:wsp>
                            <wps:cNvSpPr txBox="1"/>
                            <wps:spPr>
                              <a:xfrm>
                                <a:off x="0" y="0"/>
                                <a:ext cx="1000760" cy="467360"/>
                              </a:xfrm>
                              <a:prstGeom prst="rect">
                                <a:avLst/>
                              </a:prstGeom>
                              <a:noFill/>
                              <a:ln>
                                <a:noFill/>
                              </a:ln>
                            </wps:spPr>
                            <wps:txbx>
                              <w:txbxContent>
                                <w:p>
                                  <w:pPr>
                                    <w:rPr>
                                      <w:rFonts w:hint="default" w:eastAsia="宋体"/>
                                      <w:lang w:val="en-US" w:eastAsia="zh-CN"/>
                                    </w:rPr>
                                  </w:pPr>
                                  <w:r>
                                    <w:rPr>
                                      <w:rFonts w:hint="eastAsia"/>
                                    </w:rPr>
                                    <w:t>废</w:t>
                                  </w:r>
                                  <w:r>
                                    <w:rPr>
                                      <w:rFonts w:hint="eastAsia"/>
                                      <w:lang w:val="en-US" w:eastAsia="zh-CN"/>
                                    </w:rPr>
                                    <w:t>水</w:t>
                                  </w:r>
                                  <w:r>
                                    <w:rPr>
                                      <w:rFonts w:hint="eastAsia"/>
                                    </w:rPr>
                                    <w:t>、</w:t>
                                  </w:r>
                                  <w:r>
                                    <w:rPr>
                                      <w:rFonts w:hint="eastAsia"/>
                                      <w:lang w:val="en-US" w:eastAsia="zh-CN"/>
                                    </w:rPr>
                                    <w:t>医疗废物、生活垃圾</w:t>
                                  </w:r>
                                </w:p>
                              </w:txbxContent>
                            </wps:txbx>
                            <wps:bodyPr upright="1"/>
                          </wps:wsp>
                        </a:graphicData>
                      </a:graphic>
                    </wp:anchor>
                  </w:drawing>
                </mc:Choice>
                <mc:Fallback>
                  <w:pict>
                    <v:shape id="文本框 66" o:spid="_x0000_s1026" o:spt="202" type="#_x0000_t202" style="position:absolute;left:0pt;margin-left:266.25pt;margin-top:7.1pt;height:36.8pt;width:78.8pt;z-index:251779072;mso-width-relative:page;mso-height-relative:page;" filled="f" stroked="f" coordsize="21600,21600" o:gfxdata="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vZTXc1wAA&#10;AAkBAAAPAAAAAAAAAAEAIAAAACIAAABkcnMvZG93bnJldi54bWxQSwECFAAUAAAACACHTuJAaeEX&#10;rq0BAABRAwAADgAAAAAAAAABACAAAAAmAQAAZHJzL2Uyb0RvYy54bWxQSwUGAAAAAAYABgBZAQAA&#10;RQUAAAAA&#10;">
                      <v:fill on="f" focussize="0,0"/>
                      <v:stroke on="f"/>
                      <v:imagedata o:title=""/>
                      <o:lock v:ext="edit" aspectratio="f"/>
                      <v:textbox>
                        <w:txbxContent>
                          <w:p>
                            <w:pPr>
                              <w:rPr>
                                <w:rFonts w:hint="default" w:eastAsia="宋体"/>
                                <w:lang w:val="en-US" w:eastAsia="zh-CN"/>
                              </w:rPr>
                            </w:pPr>
                            <w:r>
                              <w:rPr>
                                <w:rFonts w:hint="eastAsia"/>
                              </w:rPr>
                              <w:t>废</w:t>
                            </w:r>
                            <w:r>
                              <w:rPr>
                                <w:rFonts w:hint="eastAsia"/>
                                <w:lang w:val="en-US" w:eastAsia="zh-CN"/>
                              </w:rPr>
                              <w:t>水</w:t>
                            </w:r>
                            <w:r>
                              <w:rPr>
                                <w:rFonts w:hint="eastAsia"/>
                              </w:rPr>
                              <w:t>、</w:t>
                            </w:r>
                            <w:r>
                              <w:rPr>
                                <w:rFonts w:hint="eastAsia"/>
                                <w:lang w:val="en-US" w:eastAsia="zh-CN"/>
                              </w:rPr>
                              <w:t>医疗废物、生活垃圾</w:t>
                            </w:r>
                          </w:p>
                        </w:txbxContent>
                      </v:textbox>
                    </v:shape>
                  </w:pict>
                </mc:Fallback>
              </mc:AlternateContent>
            </w:r>
          </w:p>
          <w:p>
            <w:pPr>
              <w:adjustRightInd w:val="0"/>
              <w:snapToGrid w:val="0"/>
              <w:spacing w:line="360" w:lineRule="auto"/>
              <w:ind w:firstLine="422" w:firstLineChars="200"/>
              <w:jc w:val="left"/>
              <w:rPr>
                <w:rFonts w:hint="eastAsia"/>
                <w:bCs/>
                <w:color w:val="auto"/>
                <w:szCs w:val="21"/>
                <w:highlight w:val="none"/>
              </w:rPr>
            </w:pPr>
            <w:r>
              <w:rPr>
                <w:rFonts w:hint="eastAsia" w:hAnsi="宋体"/>
                <w:b/>
                <w:bCs/>
                <w:color w:val="auto"/>
                <w:szCs w:val="21"/>
                <w:highlight w:val="none"/>
              </w:rPr>
              <mc:AlternateContent>
                <mc:Choice Requires="wps">
                  <w:drawing>
                    <wp:anchor distT="0" distB="0" distL="114300" distR="114300" simplePos="0" relativeHeight="251777024" behindDoc="0" locked="0" layoutInCell="1" allowOverlap="1">
                      <wp:simplePos x="0" y="0"/>
                      <wp:positionH relativeFrom="column">
                        <wp:posOffset>2795905</wp:posOffset>
                      </wp:positionH>
                      <wp:positionV relativeFrom="paragraph">
                        <wp:posOffset>97155</wp:posOffset>
                      </wp:positionV>
                      <wp:extent cx="579120" cy="0"/>
                      <wp:effectExtent l="0" t="48895" r="11430" b="65405"/>
                      <wp:wrapNone/>
                      <wp:docPr id="147" name="自选图形 67"/>
                      <wp:cNvGraphicFramePr/>
                      <a:graphic xmlns:a="http://schemas.openxmlformats.org/drawingml/2006/main">
                        <a:graphicData uri="http://schemas.microsoft.com/office/word/2010/wordprocessingShape">
                          <wps:wsp>
                            <wps:cNvCnPr/>
                            <wps:spPr>
                              <a:xfrm>
                                <a:off x="0" y="0"/>
                                <a:ext cx="579120" cy="0"/>
                              </a:xfrm>
                              <a:prstGeom prst="straightConnector1">
                                <a:avLst/>
                              </a:prstGeom>
                              <a:ln w="9525" cap="flat" cmpd="sng">
                                <a:solidFill>
                                  <a:srgbClr val="000000"/>
                                </a:solidFill>
                                <a:prstDash val="dashDot"/>
                                <a:headEnd type="none" w="med" len="med"/>
                                <a:tailEnd type="arrow" w="med" len="med"/>
                              </a:ln>
                            </wps:spPr>
                            <wps:bodyPr/>
                          </wps:wsp>
                        </a:graphicData>
                      </a:graphic>
                    </wp:anchor>
                  </w:drawing>
                </mc:Choice>
                <mc:Fallback>
                  <w:pict>
                    <v:shape id="自选图形 67" o:spid="_x0000_s1026" o:spt="32" type="#_x0000_t32" style="position:absolute;left:0pt;margin-left:220.15pt;margin-top:7.65pt;height:0pt;width:45.6pt;z-index:251777024;mso-width-relative:page;mso-height-relative:page;" filled="f" stroked="t" coordsize="21600,21600" o:gfxdata="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G5Wr1gAAAAkBAAAPAAAAAAAAAAEAIAAAACIAAABkcnMvZG93bnJl&#10;di54bWxQSwECFAAUAAAACACHTuJAkw1H8v8BAADoAwAADgAAAAAAAAABACAAAAAlAQAAZHJzL2Uy&#10;b0RvYy54bWxQSwUGAAAAAAYABgBZAQAAlgUAAAAA&#10;">
                      <v:fill on="f" focussize="0,0"/>
                      <v:stroke color="#000000" joinstyle="round" dashstyle="dashDot" endarrow="open"/>
                      <v:imagedata o:title=""/>
                      <o:lock v:ext="edit" aspectratio="f"/>
                    </v:shape>
                  </w:pict>
                </mc:Fallback>
              </mc:AlternateContent>
            </w:r>
          </w:p>
          <w:p>
            <w:pPr>
              <w:adjustRightInd w:val="0"/>
              <w:snapToGrid w:val="0"/>
              <w:spacing w:line="360" w:lineRule="auto"/>
              <w:ind w:firstLine="422" w:firstLineChars="200"/>
              <w:jc w:val="left"/>
              <w:rPr>
                <w:rFonts w:hint="eastAsia"/>
                <w:bCs/>
                <w:color w:val="auto"/>
                <w:szCs w:val="21"/>
                <w:highlight w:val="none"/>
              </w:rPr>
            </w:pPr>
            <w:r>
              <w:rPr>
                <w:rFonts w:hint="eastAsia" w:hAnsi="宋体"/>
                <w:b/>
                <w:bCs/>
                <w:color w:val="auto"/>
                <w:szCs w:val="21"/>
                <w:highlight w:val="none"/>
              </w:rPr>
              <mc:AlternateContent>
                <mc:Choice Requires="wps">
                  <w:drawing>
                    <wp:anchor distT="0" distB="0" distL="114300" distR="114300" simplePos="0" relativeHeight="251780096" behindDoc="0" locked="0" layoutInCell="1" allowOverlap="1">
                      <wp:simplePos x="0" y="0"/>
                      <wp:positionH relativeFrom="column">
                        <wp:posOffset>3373755</wp:posOffset>
                      </wp:positionH>
                      <wp:positionV relativeFrom="paragraph">
                        <wp:posOffset>106680</wp:posOffset>
                      </wp:positionV>
                      <wp:extent cx="1000760" cy="467360"/>
                      <wp:effectExtent l="0" t="0" r="0" b="0"/>
                      <wp:wrapNone/>
                      <wp:docPr id="150" name="文本框 68"/>
                      <wp:cNvGraphicFramePr/>
                      <a:graphic xmlns:a="http://schemas.openxmlformats.org/drawingml/2006/main">
                        <a:graphicData uri="http://schemas.microsoft.com/office/word/2010/wordprocessingShape">
                          <wps:wsp>
                            <wps:cNvSpPr txBox="1"/>
                            <wps:spPr>
                              <a:xfrm>
                                <a:off x="0" y="0"/>
                                <a:ext cx="1000760" cy="467360"/>
                              </a:xfrm>
                              <a:prstGeom prst="rect">
                                <a:avLst/>
                              </a:prstGeom>
                              <a:noFill/>
                              <a:ln>
                                <a:noFill/>
                              </a:ln>
                            </wps:spPr>
                            <wps:txbx>
                              <w:txbxContent>
                                <w:p>
                                  <w:pPr>
                                    <w:rPr>
                                      <w:rFonts w:hint="default" w:eastAsia="宋体"/>
                                      <w:lang w:val="en-US" w:eastAsia="zh-CN"/>
                                    </w:rPr>
                                  </w:pPr>
                                  <w:r>
                                    <w:rPr>
                                      <w:rFonts w:hint="eastAsia"/>
                                    </w:rPr>
                                    <w:t>废</w:t>
                                  </w:r>
                                  <w:r>
                                    <w:rPr>
                                      <w:rFonts w:hint="eastAsia"/>
                                      <w:lang w:val="en-US" w:eastAsia="zh-CN"/>
                                    </w:rPr>
                                    <w:t>水</w:t>
                                  </w:r>
                                  <w:r>
                                    <w:rPr>
                                      <w:rFonts w:hint="eastAsia"/>
                                    </w:rPr>
                                    <w:t>、</w:t>
                                  </w:r>
                                  <w:r>
                                    <w:rPr>
                                      <w:rFonts w:hint="eastAsia"/>
                                      <w:lang w:val="en-US" w:eastAsia="zh-CN"/>
                                    </w:rPr>
                                    <w:t>医疗废物、生活垃圾</w:t>
                                  </w:r>
                                </w:p>
                              </w:txbxContent>
                            </wps:txbx>
                            <wps:bodyPr upright="1"/>
                          </wps:wsp>
                        </a:graphicData>
                      </a:graphic>
                    </wp:anchor>
                  </w:drawing>
                </mc:Choice>
                <mc:Fallback>
                  <w:pict>
                    <v:shape id="文本框 68" o:spid="_x0000_s1026" o:spt="202" type="#_x0000_t202" style="position:absolute;left:0pt;margin-left:265.65pt;margin-top:8.4pt;height:36.8pt;width:78.8pt;z-index:251780096;mso-width-relative:page;mso-height-relative:page;" filled="f" stroked="f" coordsize="21600,21600" o:gfxdata="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gbtJ21wAA&#10;AAkBAAAPAAAAAAAAAAEAIAAAACIAAABkcnMvZG93bnJldi54bWxQSwECFAAUAAAACACHTuJAN2iQ&#10;Sa0BAABRAwAADgAAAAAAAAABACAAAAAmAQAAZHJzL2Uyb0RvYy54bWxQSwUGAAAAAAYABgBZAQAA&#10;RQUAAAAA&#10;">
                      <v:fill on="f" focussize="0,0"/>
                      <v:stroke on="f"/>
                      <v:imagedata o:title=""/>
                      <o:lock v:ext="edit" aspectratio="f"/>
                      <v:textbox>
                        <w:txbxContent>
                          <w:p>
                            <w:pPr>
                              <w:rPr>
                                <w:rFonts w:hint="default" w:eastAsia="宋体"/>
                                <w:lang w:val="en-US" w:eastAsia="zh-CN"/>
                              </w:rPr>
                            </w:pPr>
                            <w:r>
                              <w:rPr>
                                <w:rFonts w:hint="eastAsia"/>
                              </w:rPr>
                              <w:t>废</w:t>
                            </w:r>
                            <w:r>
                              <w:rPr>
                                <w:rFonts w:hint="eastAsia"/>
                                <w:lang w:val="en-US" w:eastAsia="zh-CN"/>
                              </w:rPr>
                              <w:t>水</w:t>
                            </w:r>
                            <w:r>
                              <w:rPr>
                                <w:rFonts w:hint="eastAsia"/>
                              </w:rPr>
                              <w:t>、</w:t>
                            </w:r>
                            <w:r>
                              <w:rPr>
                                <w:rFonts w:hint="eastAsia"/>
                                <w:lang w:val="en-US" w:eastAsia="zh-CN"/>
                              </w:rPr>
                              <w:t>医疗废物、生活垃圾</w:t>
                            </w:r>
                          </w:p>
                        </w:txbxContent>
                      </v:textbox>
                    </v:shape>
                  </w:pict>
                </mc:Fallback>
              </mc:AlternateContent>
            </w:r>
          </w:p>
          <w:p>
            <w:pPr>
              <w:adjustRightInd w:val="0"/>
              <w:snapToGrid w:val="0"/>
              <w:spacing w:line="360" w:lineRule="auto"/>
              <w:ind w:firstLine="422" w:firstLineChars="200"/>
              <w:jc w:val="left"/>
              <w:rPr>
                <w:rFonts w:hint="eastAsia"/>
                <w:bCs/>
                <w:color w:val="auto"/>
                <w:szCs w:val="21"/>
                <w:highlight w:val="none"/>
              </w:rPr>
            </w:pPr>
            <w:r>
              <w:rPr>
                <w:rFonts w:hint="eastAsia" w:hAnsi="宋体"/>
                <w:b/>
                <w:bCs/>
                <w:color w:val="auto"/>
                <w:szCs w:val="21"/>
                <w:highlight w:val="none"/>
              </w:rPr>
              <mc:AlternateContent>
                <mc:Choice Requires="wps">
                  <w:drawing>
                    <wp:anchor distT="0" distB="0" distL="114300" distR="114300" simplePos="0" relativeHeight="251778048" behindDoc="0" locked="0" layoutInCell="1" allowOverlap="1">
                      <wp:simplePos x="0" y="0"/>
                      <wp:positionH relativeFrom="column">
                        <wp:posOffset>2795905</wp:posOffset>
                      </wp:positionH>
                      <wp:positionV relativeFrom="paragraph">
                        <wp:posOffset>73025</wp:posOffset>
                      </wp:positionV>
                      <wp:extent cx="579120" cy="0"/>
                      <wp:effectExtent l="0" t="48895" r="11430" b="65405"/>
                      <wp:wrapNone/>
                      <wp:docPr id="148" name="自选图形 69"/>
                      <wp:cNvGraphicFramePr/>
                      <a:graphic xmlns:a="http://schemas.openxmlformats.org/drawingml/2006/main">
                        <a:graphicData uri="http://schemas.microsoft.com/office/word/2010/wordprocessingShape">
                          <wps:wsp>
                            <wps:cNvCnPr/>
                            <wps:spPr>
                              <a:xfrm>
                                <a:off x="0" y="0"/>
                                <a:ext cx="579120" cy="0"/>
                              </a:xfrm>
                              <a:prstGeom prst="straightConnector1">
                                <a:avLst/>
                              </a:prstGeom>
                              <a:ln w="9525" cap="flat" cmpd="sng">
                                <a:solidFill>
                                  <a:srgbClr val="000000"/>
                                </a:solidFill>
                                <a:prstDash val="dashDot"/>
                                <a:headEnd type="none" w="med" len="med"/>
                                <a:tailEnd type="arrow" w="med" len="med"/>
                              </a:ln>
                            </wps:spPr>
                            <wps:bodyPr/>
                          </wps:wsp>
                        </a:graphicData>
                      </a:graphic>
                    </wp:anchor>
                  </w:drawing>
                </mc:Choice>
                <mc:Fallback>
                  <w:pict>
                    <v:shape id="自选图形 69" o:spid="_x0000_s1026" o:spt="32" type="#_x0000_t32" style="position:absolute;left:0pt;margin-left:220.15pt;margin-top:5.75pt;height:0pt;width:45.6pt;z-index:251778048;mso-width-relative:page;mso-height-relative:page;" filled="f" stroked="t" coordsize="21600,21600" o:gfxdata="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4lo339UAAAAJAQAADwAAAAAAAAABACAAAAAiAAAAZHJzL2Rvd25yZXYu&#10;eG1sUEsBAhQAFAAAAAgAh07iQCViVOz+AQAA6AMAAA4AAAAAAAAAAQAgAAAAJAEAAGRycy9lMm9E&#10;b2MueG1sUEsFBgAAAAAGAAYAWQEAAJQFAAAAAA==&#10;">
                      <v:fill on="f" focussize="0,0"/>
                      <v:stroke color="#000000" joinstyle="round" dashstyle="dashDot" endarrow="open"/>
                      <v:imagedata o:title=""/>
                      <o:lock v:ext="edit" aspectratio="f"/>
                    </v:shape>
                  </w:pict>
                </mc:Fallback>
              </mc:AlternateContent>
            </w:r>
          </w:p>
          <w:p>
            <w:pPr>
              <w:adjustRightInd w:val="0"/>
              <w:snapToGrid w:val="0"/>
              <w:spacing w:line="360" w:lineRule="auto"/>
              <w:ind w:firstLine="422" w:firstLineChars="200"/>
              <w:jc w:val="left"/>
              <w:rPr>
                <w:rFonts w:hint="eastAsia"/>
                <w:bCs/>
                <w:color w:val="auto"/>
                <w:szCs w:val="21"/>
                <w:highlight w:val="none"/>
              </w:rPr>
            </w:pPr>
            <w:r>
              <w:rPr>
                <w:rFonts w:hint="eastAsia" w:hAnsi="宋体"/>
                <w:b/>
                <w:bCs/>
                <w:color w:val="auto"/>
                <w:szCs w:val="21"/>
                <w:highlight w:val="none"/>
              </w:rPr>
              <mc:AlternateContent>
                <mc:Choice Requires="wps">
                  <w:drawing>
                    <wp:anchor distT="0" distB="0" distL="114300" distR="114300" simplePos="0" relativeHeight="251773952" behindDoc="0" locked="0" layoutInCell="1" allowOverlap="1">
                      <wp:simplePos x="0" y="0"/>
                      <wp:positionH relativeFrom="column">
                        <wp:posOffset>3357245</wp:posOffset>
                      </wp:positionH>
                      <wp:positionV relativeFrom="paragraph">
                        <wp:posOffset>85725</wp:posOffset>
                      </wp:positionV>
                      <wp:extent cx="929005" cy="435610"/>
                      <wp:effectExtent l="0" t="0" r="0" b="0"/>
                      <wp:wrapNone/>
                      <wp:docPr id="144" name="文本框 70"/>
                      <wp:cNvGraphicFramePr/>
                      <a:graphic xmlns:a="http://schemas.openxmlformats.org/drawingml/2006/main">
                        <a:graphicData uri="http://schemas.microsoft.com/office/word/2010/wordprocessingShape">
                          <wps:wsp>
                            <wps:cNvSpPr txBox="1"/>
                            <wps:spPr>
                              <a:xfrm>
                                <a:off x="0" y="0"/>
                                <a:ext cx="929005" cy="435610"/>
                              </a:xfrm>
                              <a:prstGeom prst="rect">
                                <a:avLst/>
                              </a:prstGeom>
                              <a:noFill/>
                              <a:ln>
                                <a:noFill/>
                              </a:ln>
                            </wps:spPr>
                            <wps:txbx>
                              <w:txbxContent>
                                <w:p>
                                  <w:pPr>
                                    <w:rPr>
                                      <w:rFonts w:hint="default" w:eastAsia="宋体"/>
                                      <w:color w:val="auto"/>
                                      <w:lang w:val="en-US" w:eastAsia="zh-CN"/>
                                    </w:rPr>
                                  </w:pPr>
                                  <w:r>
                                    <w:rPr>
                                      <w:rFonts w:hint="eastAsia"/>
                                      <w:color w:val="auto"/>
                                    </w:rPr>
                                    <w:t>废</w:t>
                                  </w:r>
                                  <w:r>
                                    <w:rPr>
                                      <w:rFonts w:hint="eastAsia"/>
                                      <w:color w:val="auto"/>
                                      <w:lang w:val="en-US" w:eastAsia="zh-CN"/>
                                    </w:rPr>
                                    <w:t>水、医疗废物</w:t>
                                  </w:r>
                                </w:p>
                              </w:txbxContent>
                            </wps:txbx>
                            <wps:bodyPr upright="1"/>
                          </wps:wsp>
                        </a:graphicData>
                      </a:graphic>
                    </wp:anchor>
                  </w:drawing>
                </mc:Choice>
                <mc:Fallback>
                  <w:pict>
                    <v:shape id="文本框 70" o:spid="_x0000_s1026" o:spt="202" type="#_x0000_t202" style="position:absolute;left:0pt;margin-left:264.35pt;margin-top:6.75pt;height:34.3pt;width:73.15pt;z-index:251773952;mso-width-relative:page;mso-height-relative:page;" filled="f" stroked="f" coordsize="21600,21600" o:gfxdata="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hiQ+81gAA&#10;AAkBAAAPAAAAAAAAAAEAIAAAACIAAABkcnMvZG93bnJldi54bWxQSwECFAAUAAAACACHTuJAMBCP&#10;ba4BAABQAwAADgAAAAAAAAABACAAAAAlAQAAZHJzL2Uyb0RvYy54bWxQSwUGAAAAAAYABgBZAQAA&#10;RQUAAAAA&#10;">
                      <v:fill on="f" focussize="0,0"/>
                      <v:stroke on="f"/>
                      <v:imagedata o:title=""/>
                      <o:lock v:ext="edit" aspectratio="f"/>
                      <v:textbox>
                        <w:txbxContent>
                          <w:p>
                            <w:pPr>
                              <w:rPr>
                                <w:rFonts w:hint="default" w:eastAsia="宋体"/>
                                <w:color w:val="auto"/>
                                <w:lang w:val="en-US" w:eastAsia="zh-CN"/>
                              </w:rPr>
                            </w:pPr>
                            <w:r>
                              <w:rPr>
                                <w:rFonts w:hint="eastAsia"/>
                                <w:color w:val="auto"/>
                              </w:rPr>
                              <w:t>废</w:t>
                            </w:r>
                            <w:r>
                              <w:rPr>
                                <w:rFonts w:hint="eastAsia"/>
                                <w:color w:val="auto"/>
                                <w:lang w:val="en-US" w:eastAsia="zh-CN"/>
                              </w:rPr>
                              <w:t>水、医疗废物</w:t>
                            </w:r>
                          </w:p>
                        </w:txbxContent>
                      </v:textbox>
                    </v:shape>
                  </w:pict>
                </mc:Fallback>
              </mc:AlternateContent>
            </w:r>
            <w:r>
              <w:rPr>
                <w:rFonts w:hint="eastAsia" w:hAnsi="宋体"/>
                <w:b/>
                <w:bCs/>
                <w:color w:val="auto"/>
                <w:szCs w:val="21"/>
                <w:highlight w:val="none"/>
              </w:rPr>
              <mc:AlternateContent>
                <mc:Choice Requires="wps">
                  <w:drawing>
                    <wp:anchor distT="0" distB="0" distL="114300" distR="114300" simplePos="0" relativeHeight="251772928" behindDoc="0" locked="0" layoutInCell="1" allowOverlap="1">
                      <wp:simplePos x="0" y="0"/>
                      <wp:positionH relativeFrom="column">
                        <wp:posOffset>2771775</wp:posOffset>
                      </wp:positionH>
                      <wp:positionV relativeFrom="paragraph">
                        <wp:posOffset>272415</wp:posOffset>
                      </wp:positionV>
                      <wp:extent cx="579120" cy="0"/>
                      <wp:effectExtent l="0" t="48895" r="11430" b="65405"/>
                      <wp:wrapNone/>
                      <wp:docPr id="143" name="自选图形 74"/>
                      <wp:cNvGraphicFramePr/>
                      <a:graphic xmlns:a="http://schemas.openxmlformats.org/drawingml/2006/main">
                        <a:graphicData uri="http://schemas.microsoft.com/office/word/2010/wordprocessingShape">
                          <wps:wsp>
                            <wps:cNvCnPr/>
                            <wps:spPr>
                              <a:xfrm>
                                <a:off x="0" y="0"/>
                                <a:ext cx="579120" cy="0"/>
                              </a:xfrm>
                              <a:prstGeom prst="straightConnector1">
                                <a:avLst/>
                              </a:prstGeom>
                              <a:ln w="9525" cap="flat" cmpd="sng">
                                <a:solidFill>
                                  <a:srgbClr val="000000"/>
                                </a:solidFill>
                                <a:prstDash val="dashDot"/>
                                <a:headEnd type="none" w="med" len="med"/>
                                <a:tailEnd type="arrow" w="med" len="med"/>
                              </a:ln>
                            </wps:spPr>
                            <wps:bodyPr/>
                          </wps:wsp>
                        </a:graphicData>
                      </a:graphic>
                    </wp:anchor>
                  </w:drawing>
                </mc:Choice>
                <mc:Fallback>
                  <w:pict>
                    <v:shape id="自选图形 74" o:spid="_x0000_s1026" o:spt="32" type="#_x0000_t32" style="position:absolute;left:0pt;margin-left:218.25pt;margin-top:21.45pt;height:0pt;width:45.6pt;z-index:251772928;mso-width-relative:page;mso-height-relative:page;" filled="f" stroked="t" coordsize="21600,21600" o:gfxdata="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sHxVF1gAAAAkBAAAPAAAAAAAAAAEAIAAAACIAAABkcnMvZG93bnJl&#10;di54bWxQSwECFAAUAAAACACHTuJA5pCexv8BAADoAwAADgAAAAAAAAABACAAAAAlAQAAZHJzL2Uy&#10;b0RvYy54bWxQSwUGAAAAAAYABgBZAQAAlgUAAAAA&#10;">
                      <v:fill on="f" focussize="0,0"/>
                      <v:stroke color="#000000" joinstyle="round" dashstyle="dashDot" endarrow="open"/>
                      <v:imagedata o:title=""/>
                      <o:lock v:ext="edit" aspectratio="f"/>
                    </v:shape>
                  </w:pict>
                </mc:Fallback>
              </mc:AlternateContent>
            </w:r>
          </w:p>
          <w:p>
            <w:pPr>
              <w:adjustRightInd w:val="0"/>
              <w:snapToGrid w:val="0"/>
              <w:spacing w:line="360" w:lineRule="auto"/>
              <w:ind w:firstLine="422" w:firstLineChars="200"/>
              <w:jc w:val="left"/>
              <w:rPr>
                <w:rFonts w:hint="eastAsia"/>
                <w:bCs/>
                <w:color w:val="auto"/>
                <w:szCs w:val="21"/>
                <w:highlight w:val="none"/>
              </w:rPr>
            </w:pPr>
            <w:r>
              <w:rPr>
                <w:rFonts w:hint="eastAsia" w:hAnsi="宋体"/>
                <w:b/>
                <w:bCs/>
                <w:color w:val="auto"/>
                <w:szCs w:val="21"/>
                <w:highlight w:val="none"/>
              </w:rPr>
              <mc:AlternateContent>
                <mc:Choice Requires="wps">
                  <w:drawing>
                    <wp:anchor distT="0" distB="0" distL="114300" distR="114300" simplePos="0" relativeHeight="251770880" behindDoc="0" locked="0" layoutInCell="1" allowOverlap="1">
                      <wp:simplePos x="0" y="0"/>
                      <wp:positionH relativeFrom="column">
                        <wp:posOffset>2402205</wp:posOffset>
                      </wp:positionH>
                      <wp:positionV relativeFrom="paragraph">
                        <wp:posOffset>193040</wp:posOffset>
                      </wp:positionV>
                      <wp:extent cx="6985" cy="177165"/>
                      <wp:effectExtent l="34290" t="0" r="34925" b="13335"/>
                      <wp:wrapNone/>
                      <wp:docPr id="141" name="自选图形 105"/>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05" o:spid="_x0000_s1026" o:spt="32" type="#_x0000_t32" style="position:absolute;left:0pt;margin-left:189.15pt;margin-top:15.2pt;height:13.95pt;width:0.55pt;z-index:251770880;mso-width-relative:page;mso-height-relative:page;" filled="f" stroked="t" coordsize="21600,21600" o:gfxdata="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WX1We2QAAAAkBAAAPAAAAAAAAAAEAIAAAACIAAABkcnMv&#10;ZG93bnJldi54bWxQSwECFAAUAAAACACHTuJADDz5YAICAADtAwAADgAAAAAAAAABACAAAAAoAQAA&#10;ZHJzL2Uyb0RvYy54bWxQSwUGAAAAAAYABgBZAQAAnAUAAAAA&#10;">
                      <v:fill on="f" focussize="0,0"/>
                      <v:stroke color="#000000" joinstyle="round" endarrow="block"/>
                      <v:imagedata o:title=""/>
                      <o:lock v:ext="edit" aspectratio="f"/>
                    </v:shape>
                  </w:pict>
                </mc:Fallback>
              </mc:AlternateContent>
            </w:r>
            <w:r>
              <w:rPr>
                <w:rFonts w:hint="eastAsia" w:hAnsi="宋体"/>
                <w:b/>
                <w:bCs/>
                <w:color w:val="auto"/>
                <w:szCs w:val="21"/>
                <w:highlight w:val="none"/>
              </w:rPr>
              <mc:AlternateContent>
                <mc:Choice Requires="wps">
                  <w:drawing>
                    <wp:anchor distT="0" distB="0" distL="114300" distR="114300" simplePos="0" relativeHeight="251769856" behindDoc="0" locked="0" layoutInCell="1" allowOverlap="1">
                      <wp:simplePos x="0" y="0"/>
                      <wp:positionH relativeFrom="column">
                        <wp:posOffset>2014855</wp:posOffset>
                      </wp:positionH>
                      <wp:positionV relativeFrom="paragraph">
                        <wp:posOffset>349885</wp:posOffset>
                      </wp:positionV>
                      <wp:extent cx="742315" cy="278130"/>
                      <wp:effectExtent l="4445" t="4445" r="15240" b="22225"/>
                      <wp:wrapNone/>
                      <wp:docPr id="140" name="文本框 108"/>
                      <wp:cNvGraphicFramePr/>
                      <a:graphic xmlns:a="http://schemas.openxmlformats.org/drawingml/2006/main">
                        <a:graphicData uri="http://schemas.microsoft.com/office/word/2010/wordprocessingShape">
                          <wps:wsp>
                            <wps:cNvSpPr txBox="1"/>
                            <wps:spPr>
                              <a:xfrm>
                                <a:off x="0" y="0"/>
                                <a:ext cx="74231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val="en-US" w:eastAsia="zh-CN"/>
                                    </w:rPr>
                                    <w:t>复诊</w:t>
                                  </w:r>
                                </w:p>
                              </w:txbxContent>
                            </wps:txbx>
                            <wps:bodyPr upright="1"/>
                          </wps:wsp>
                        </a:graphicData>
                      </a:graphic>
                    </wp:anchor>
                  </w:drawing>
                </mc:Choice>
                <mc:Fallback>
                  <w:pict>
                    <v:shape id="文本框 108" o:spid="_x0000_s1026" o:spt="202" type="#_x0000_t202" style="position:absolute;left:0pt;margin-left:158.65pt;margin-top:27.55pt;height:21.9pt;width:58.45pt;z-index:251769856;mso-width-relative:page;mso-height-relative:page;" fillcolor="#FFFFFF" filled="t" stroked="t" coordsize="21600,21600" o:gfxdata="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GQDpfaAAAACQEAAA8AAAAAAAAA&#10;AQAgAAAAIgAAAGRycy9kb3ducmV2LnhtbFBLAQIUABQAAAAIAIdO4kDvWbSmDwIAADkEAAAOAAAA&#10;AAAAAAEAIAAAACkBAABkcnMvZTJvRG9jLnhtbFBLBQYAAAAABgAGAFkBAACqBQAAAAA=&#10;">
                      <v:fill on="t" focussize="0,0"/>
                      <v:stroke color="#000000" joinstyle="miter"/>
                      <v:imagedata o:title=""/>
                      <o:lock v:ext="edit" aspectratio="f"/>
                      <v:textbox>
                        <w:txbxContent>
                          <w:p>
                            <w:pPr>
                              <w:jc w:val="center"/>
                              <w:rPr>
                                <w:rFonts w:hint="eastAsia" w:eastAsia="宋体"/>
                                <w:lang w:eastAsia="zh-CN"/>
                              </w:rPr>
                            </w:pPr>
                            <w:r>
                              <w:rPr>
                                <w:rFonts w:hint="eastAsia"/>
                                <w:lang w:val="en-US" w:eastAsia="zh-CN"/>
                              </w:rPr>
                              <w:t>复诊</w:t>
                            </w:r>
                          </w:p>
                        </w:txbxContent>
                      </v:textbox>
                    </v:shape>
                  </w:pict>
                </mc:Fallback>
              </mc:AlternateContent>
            </w:r>
          </w:p>
          <w:p>
            <w:pPr>
              <w:adjustRightInd w:val="0"/>
              <w:snapToGrid w:val="0"/>
              <w:spacing w:line="360" w:lineRule="auto"/>
              <w:ind w:firstLine="422" w:firstLineChars="200"/>
              <w:jc w:val="left"/>
              <w:rPr>
                <w:rFonts w:hint="eastAsia"/>
                <w:bCs/>
                <w:color w:val="auto"/>
                <w:szCs w:val="21"/>
                <w:highlight w:val="none"/>
              </w:rPr>
            </w:pPr>
            <w:r>
              <w:rPr>
                <w:rFonts w:hint="eastAsia" w:hAnsi="宋体"/>
                <w:b/>
                <w:bCs/>
                <w:color w:val="auto"/>
                <w:szCs w:val="21"/>
                <w:highlight w:val="none"/>
              </w:rPr>
              <mc:AlternateContent>
                <mc:Choice Requires="wps">
                  <w:drawing>
                    <wp:anchor distT="0" distB="0" distL="114300" distR="114300" simplePos="0" relativeHeight="251781120" behindDoc="0" locked="0" layoutInCell="1" allowOverlap="1">
                      <wp:simplePos x="0" y="0"/>
                      <wp:positionH relativeFrom="column">
                        <wp:posOffset>3349625</wp:posOffset>
                      </wp:positionH>
                      <wp:positionV relativeFrom="paragraph">
                        <wp:posOffset>52070</wp:posOffset>
                      </wp:positionV>
                      <wp:extent cx="1000760" cy="467360"/>
                      <wp:effectExtent l="0" t="0" r="0" b="0"/>
                      <wp:wrapNone/>
                      <wp:docPr id="151" name="文本框 109"/>
                      <wp:cNvGraphicFramePr/>
                      <a:graphic xmlns:a="http://schemas.openxmlformats.org/drawingml/2006/main">
                        <a:graphicData uri="http://schemas.microsoft.com/office/word/2010/wordprocessingShape">
                          <wps:wsp>
                            <wps:cNvSpPr txBox="1"/>
                            <wps:spPr>
                              <a:xfrm>
                                <a:off x="0" y="0"/>
                                <a:ext cx="1000760" cy="467360"/>
                              </a:xfrm>
                              <a:prstGeom prst="rect">
                                <a:avLst/>
                              </a:prstGeom>
                              <a:noFill/>
                              <a:ln>
                                <a:noFill/>
                              </a:ln>
                            </wps:spPr>
                            <wps:txbx>
                              <w:txbxContent>
                                <w:p>
                                  <w:pPr>
                                    <w:rPr>
                                      <w:rFonts w:hint="default" w:eastAsia="宋体"/>
                                      <w:lang w:val="en-US" w:eastAsia="zh-CN"/>
                                    </w:rPr>
                                  </w:pPr>
                                  <w:r>
                                    <w:rPr>
                                      <w:rFonts w:hint="eastAsia"/>
                                    </w:rPr>
                                    <w:t>废</w:t>
                                  </w:r>
                                  <w:r>
                                    <w:rPr>
                                      <w:rFonts w:hint="eastAsia"/>
                                      <w:lang w:val="en-US" w:eastAsia="zh-CN"/>
                                    </w:rPr>
                                    <w:t>水</w:t>
                                  </w:r>
                                  <w:r>
                                    <w:rPr>
                                      <w:rFonts w:hint="eastAsia"/>
                                    </w:rPr>
                                    <w:t>、</w:t>
                                  </w:r>
                                  <w:r>
                                    <w:rPr>
                                      <w:rFonts w:hint="eastAsia"/>
                                      <w:lang w:val="en-US" w:eastAsia="zh-CN"/>
                                    </w:rPr>
                                    <w:t>医疗废物、生活垃圾</w:t>
                                  </w:r>
                                </w:p>
                              </w:txbxContent>
                            </wps:txbx>
                            <wps:bodyPr upright="1"/>
                          </wps:wsp>
                        </a:graphicData>
                      </a:graphic>
                    </wp:anchor>
                  </w:drawing>
                </mc:Choice>
                <mc:Fallback>
                  <w:pict>
                    <v:shape id="文本框 109" o:spid="_x0000_s1026" o:spt="202" type="#_x0000_t202" style="position:absolute;left:0pt;margin-left:263.75pt;margin-top:4.1pt;height:36.8pt;width:78.8pt;z-index:251781120;mso-width-relative:page;mso-height-relative:page;" filled="f" stroked="f" coordsize="21600,21600" o:gfxdata="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a+jo7VAAAA&#10;CAEAAA8AAAAAAAAAAQAgAAAAIgAAAGRycy9kb3ducmV2LnhtbFBLAQIUABQAAAAIAIdO4kADAZ7M&#10;rgEAAFIDAAAOAAAAAAAAAAEAIAAAACQBAABkcnMvZTJvRG9jLnhtbFBLBQYAAAAABgAGAFkBAABE&#10;BQAAAAA=&#10;">
                      <v:fill on="f" focussize="0,0"/>
                      <v:stroke on="f"/>
                      <v:imagedata o:title=""/>
                      <o:lock v:ext="edit" aspectratio="f"/>
                      <v:textbox>
                        <w:txbxContent>
                          <w:p>
                            <w:pPr>
                              <w:rPr>
                                <w:rFonts w:hint="default" w:eastAsia="宋体"/>
                                <w:lang w:val="en-US" w:eastAsia="zh-CN"/>
                              </w:rPr>
                            </w:pPr>
                            <w:r>
                              <w:rPr>
                                <w:rFonts w:hint="eastAsia"/>
                              </w:rPr>
                              <w:t>废</w:t>
                            </w:r>
                            <w:r>
                              <w:rPr>
                                <w:rFonts w:hint="eastAsia"/>
                                <w:lang w:val="en-US" w:eastAsia="zh-CN"/>
                              </w:rPr>
                              <w:t>水</w:t>
                            </w:r>
                            <w:r>
                              <w:rPr>
                                <w:rFonts w:hint="eastAsia"/>
                              </w:rPr>
                              <w:t>、</w:t>
                            </w:r>
                            <w:r>
                              <w:rPr>
                                <w:rFonts w:hint="eastAsia"/>
                                <w:lang w:val="en-US" w:eastAsia="zh-CN"/>
                              </w:rPr>
                              <w:t>医疗废物、生活垃圾</w:t>
                            </w:r>
                          </w:p>
                        </w:txbxContent>
                      </v:textbox>
                    </v:shape>
                  </w:pict>
                </mc:Fallback>
              </mc:AlternateContent>
            </w:r>
          </w:p>
          <w:p>
            <w:pPr>
              <w:adjustRightInd w:val="0"/>
              <w:snapToGrid w:val="0"/>
              <w:spacing w:line="360" w:lineRule="auto"/>
              <w:ind w:firstLine="422" w:firstLineChars="200"/>
              <w:jc w:val="left"/>
              <w:rPr>
                <w:rFonts w:hint="eastAsia"/>
                <w:bCs/>
                <w:color w:val="auto"/>
                <w:szCs w:val="21"/>
                <w:highlight w:val="none"/>
              </w:rPr>
            </w:pPr>
            <w:r>
              <w:rPr>
                <w:rFonts w:hint="eastAsia" w:hAnsi="宋体"/>
                <w:b/>
                <w:bCs/>
                <w:color w:val="auto"/>
                <w:szCs w:val="21"/>
                <w:highlight w:val="none"/>
              </w:rPr>
              <mc:AlternateContent>
                <mc:Choice Requires="wps">
                  <w:drawing>
                    <wp:anchor distT="0" distB="0" distL="114300" distR="114300" simplePos="0" relativeHeight="251771904" behindDoc="0" locked="0" layoutInCell="1" allowOverlap="1">
                      <wp:simplePos x="0" y="0"/>
                      <wp:positionH relativeFrom="column">
                        <wp:posOffset>2771775</wp:posOffset>
                      </wp:positionH>
                      <wp:positionV relativeFrom="paragraph">
                        <wp:posOffset>39370</wp:posOffset>
                      </wp:positionV>
                      <wp:extent cx="579120" cy="0"/>
                      <wp:effectExtent l="0" t="48895" r="11430" b="65405"/>
                      <wp:wrapNone/>
                      <wp:docPr id="142" name="自选图形 110"/>
                      <wp:cNvGraphicFramePr/>
                      <a:graphic xmlns:a="http://schemas.openxmlformats.org/drawingml/2006/main">
                        <a:graphicData uri="http://schemas.microsoft.com/office/word/2010/wordprocessingShape">
                          <wps:wsp>
                            <wps:cNvCnPr/>
                            <wps:spPr>
                              <a:xfrm>
                                <a:off x="0" y="0"/>
                                <a:ext cx="579120" cy="0"/>
                              </a:xfrm>
                              <a:prstGeom prst="straightConnector1">
                                <a:avLst/>
                              </a:prstGeom>
                              <a:ln w="9525" cap="flat" cmpd="sng">
                                <a:solidFill>
                                  <a:srgbClr val="000000"/>
                                </a:solidFill>
                                <a:prstDash val="dashDot"/>
                                <a:headEnd type="none" w="med" len="med"/>
                                <a:tailEnd type="arrow" w="med" len="med"/>
                              </a:ln>
                            </wps:spPr>
                            <wps:bodyPr/>
                          </wps:wsp>
                        </a:graphicData>
                      </a:graphic>
                    </wp:anchor>
                  </w:drawing>
                </mc:Choice>
                <mc:Fallback>
                  <w:pict>
                    <v:shape id="自选图形 110" o:spid="_x0000_s1026" o:spt="32" type="#_x0000_t32" style="position:absolute;left:0pt;margin-left:218.25pt;margin-top:3.1pt;height:0pt;width:45.6pt;z-index:251771904;mso-width-relative:page;mso-height-relative:page;" filled="f" stroked="t" coordsize="21600,21600" o:gfxdata="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tXpNt1QAAAAcBAAAPAAAAAAAAAAEAIAAAACIAAABkcnMvZG93bnJldi54&#10;bWxQSwECFAAUAAAACACHTuJAlBGoC/0BAADpAwAADgAAAAAAAAABACAAAAAkAQAAZHJzL2Uyb0Rv&#10;Yy54bWxQSwUGAAAAAAYABgBZAQAAkwUAAAAA&#10;">
                      <v:fill on="f" focussize="0,0"/>
                      <v:stroke color="#000000" joinstyle="round" dashstyle="dashDot" endarrow="open"/>
                      <v:imagedata o:title=""/>
                      <o:lock v:ext="edit" aspectratio="f"/>
                    </v:shape>
                  </w:pict>
                </mc:Fallback>
              </mc:AlternateContent>
            </w:r>
            <w:r>
              <w:rPr>
                <w:rFonts w:hint="eastAsia" w:hAnsi="宋体"/>
                <w:b/>
                <w:bCs/>
                <w:color w:val="auto"/>
                <w:szCs w:val="21"/>
                <w:highlight w:val="none"/>
              </w:rPr>
              <mc:AlternateContent>
                <mc:Choice Requires="wps">
                  <w:drawing>
                    <wp:anchor distT="0" distB="0" distL="114300" distR="114300" simplePos="0" relativeHeight="251768832" behindDoc="0" locked="0" layoutInCell="1" allowOverlap="1">
                      <wp:simplePos x="0" y="0"/>
                      <wp:positionH relativeFrom="column">
                        <wp:posOffset>2416810</wp:posOffset>
                      </wp:positionH>
                      <wp:positionV relativeFrom="paragraph">
                        <wp:posOffset>627380</wp:posOffset>
                      </wp:positionV>
                      <wp:extent cx="6985" cy="177165"/>
                      <wp:effectExtent l="34290" t="0" r="34925" b="13335"/>
                      <wp:wrapNone/>
                      <wp:docPr id="139" name="自选图形 111"/>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1" o:spid="_x0000_s1026" o:spt="32" type="#_x0000_t32" style="position:absolute;left:0pt;margin-left:190.3pt;margin-top:49.4pt;height:13.95pt;width:0.55pt;z-index:251768832;mso-width-relative:page;mso-height-relative:page;" filled="f" stroked="t" coordsize="21600,21600" o:gfxdata="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QWnhvaAAAACgEAAA8AAAAAAAAAAQAgAAAAIgAAAGRycy9k&#10;b3ducmV2LnhtbFBLAQIUABQAAAAIAIdO4kAht2LtAAIAAO0DAAAOAAAAAAAAAAEAIAAAACkBAABk&#10;cnMvZTJvRG9jLnhtbFBLBQYAAAAABgAGAFkBAACbBQAAAAA=&#10;">
                      <v:fill on="f" focussize="0,0"/>
                      <v:stroke color="#000000" joinstyle="round" endarrow="block"/>
                      <v:imagedata o:title=""/>
                      <o:lock v:ext="edit" aspectratio="f"/>
                    </v:shape>
                  </w:pict>
                </mc:Fallback>
              </mc:AlternateContent>
            </w:r>
            <w:r>
              <w:rPr>
                <w:rFonts w:hint="eastAsia" w:hAnsi="宋体"/>
                <w:b/>
                <w:bCs/>
                <w:color w:val="auto"/>
                <w:szCs w:val="21"/>
                <w:highlight w:val="none"/>
              </w:rPr>
              <mc:AlternateContent>
                <mc:Choice Requires="wps">
                  <w:drawing>
                    <wp:anchor distT="0" distB="0" distL="114300" distR="114300" simplePos="0" relativeHeight="251767808" behindDoc="0" locked="0" layoutInCell="1" allowOverlap="1">
                      <wp:simplePos x="0" y="0"/>
                      <wp:positionH relativeFrom="column">
                        <wp:posOffset>2029460</wp:posOffset>
                      </wp:positionH>
                      <wp:positionV relativeFrom="paragraph">
                        <wp:posOffset>804545</wp:posOffset>
                      </wp:positionV>
                      <wp:extent cx="742315" cy="278130"/>
                      <wp:effectExtent l="4445" t="4445" r="15240" b="22225"/>
                      <wp:wrapNone/>
                      <wp:docPr id="138" name="文本框 113"/>
                      <wp:cNvGraphicFramePr/>
                      <a:graphic xmlns:a="http://schemas.openxmlformats.org/drawingml/2006/main">
                        <a:graphicData uri="http://schemas.microsoft.com/office/word/2010/wordprocessingShape">
                          <wps:wsp>
                            <wps:cNvSpPr txBox="1"/>
                            <wps:spPr>
                              <a:xfrm>
                                <a:off x="0" y="0"/>
                                <a:ext cx="74231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出院</w:t>
                                  </w:r>
                                </w:p>
                              </w:txbxContent>
                            </wps:txbx>
                            <wps:bodyPr upright="1"/>
                          </wps:wsp>
                        </a:graphicData>
                      </a:graphic>
                    </wp:anchor>
                  </w:drawing>
                </mc:Choice>
                <mc:Fallback>
                  <w:pict>
                    <v:shape id="文本框 113" o:spid="_x0000_s1026" o:spt="202" type="#_x0000_t202" style="position:absolute;left:0pt;margin-left:159.8pt;margin-top:63.35pt;height:21.9pt;width:58.45pt;z-index:251767808;mso-width-relative:page;mso-height-relative:page;" fillcolor="#FFFFFF" filled="t" stroked="t" coordsize="21600,21600" o:gfxdata="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TmVg3aAAAACwEAAA8AAAAAAAAA&#10;AQAgAAAAIgAAAGRycy9kb3ducmV2LnhtbFBLAQIUABQAAAAIAIdO4kCrqu3FDwIAADkEAAAOAAAA&#10;AAAAAAEAIAAAACkBAABkcnMvZTJvRG9jLnhtbFBLBQYAAAAABgAGAFkBAACqBQ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出院</w:t>
                            </w:r>
                          </w:p>
                        </w:txbxContent>
                      </v:textbox>
                    </v:shape>
                  </w:pict>
                </mc:Fallback>
              </mc:AlternateContent>
            </w:r>
            <w:r>
              <w:rPr>
                <w:rFonts w:hint="eastAsia" w:hAnsi="宋体"/>
                <w:b/>
                <w:bCs/>
                <w:color w:val="auto"/>
                <w:szCs w:val="21"/>
                <w:highlight w:val="none"/>
              </w:rPr>
              <mc:AlternateContent>
                <mc:Choice Requires="wps">
                  <w:drawing>
                    <wp:anchor distT="0" distB="0" distL="114300" distR="114300" simplePos="0" relativeHeight="251766784" behindDoc="0" locked="0" layoutInCell="1" allowOverlap="1">
                      <wp:simplePos x="0" y="0"/>
                      <wp:positionH relativeFrom="column">
                        <wp:posOffset>2416810</wp:posOffset>
                      </wp:positionH>
                      <wp:positionV relativeFrom="paragraph">
                        <wp:posOffset>192405</wp:posOffset>
                      </wp:positionV>
                      <wp:extent cx="6985" cy="177165"/>
                      <wp:effectExtent l="34290" t="0" r="34925" b="13335"/>
                      <wp:wrapNone/>
                      <wp:docPr id="137" name="自选图形 114"/>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14" o:spid="_x0000_s1026" o:spt="32" type="#_x0000_t32" style="position:absolute;left:0pt;margin-left:190.3pt;margin-top:15.15pt;height:13.95pt;width:0.55pt;z-index:251766784;mso-width-relative:page;mso-height-relative:page;" filled="f" stroked="t" coordsize="21600,21600" o:gfxdata="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xpS4XaAAAACQEAAA8AAAAAAAAAAQAgAAAAIgAAAGRycy9k&#10;b3ducmV2LnhtbFBLAQIUABQAAAAIAIdO4kDxga/2AAIAAO0DAAAOAAAAAAAAAAEAIAAAACkBAABk&#10;cnMvZTJvRG9jLnhtbFBLBQYAAAAABgAGAFkBAACbBQAAAAA=&#10;">
                      <v:fill on="f" focussize="0,0"/>
                      <v:stroke color="#000000" joinstyle="round" endarrow="block"/>
                      <v:imagedata o:title=""/>
                      <o:lock v:ext="edit" aspectratio="f"/>
                    </v:shape>
                  </w:pict>
                </mc:Fallback>
              </mc:AlternateContent>
            </w:r>
            <w:r>
              <w:rPr>
                <w:rFonts w:hint="eastAsia" w:hAnsi="宋体"/>
                <w:b/>
                <w:bCs/>
                <w:color w:val="auto"/>
                <w:szCs w:val="21"/>
                <w:highlight w:val="none"/>
              </w:rPr>
              <mc:AlternateContent>
                <mc:Choice Requires="wps">
                  <w:drawing>
                    <wp:anchor distT="0" distB="0" distL="114300" distR="114300" simplePos="0" relativeHeight="251765760" behindDoc="0" locked="0" layoutInCell="1" allowOverlap="1">
                      <wp:simplePos x="0" y="0"/>
                      <wp:positionH relativeFrom="column">
                        <wp:posOffset>2029460</wp:posOffset>
                      </wp:positionH>
                      <wp:positionV relativeFrom="paragraph">
                        <wp:posOffset>349250</wp:posOffset>
                      </wp:positionV>
                      <wp:extent cx="742315" cy="278130"/>
                      <wp:effectExtent l="4445" t="4445" r="15240" b="22225"/>
                      <wp:wrapNone/>
                      <wp:docPr id="136" name="文本框 115"/>
                      <wp:cNvGraphicFramePr/>
                      <a:graphic xmlns:a="http://schemas.openxmlformats.org/drawingml/2006/main">
                        <a:graphicData uri="http://schemas.microsoft.com/office/word/2010/wordprocessingShape">
                          <wps:wsp>
                            <wps:cNvSpPr txBox="1"/>
                            <wps:spPr>
                              <a:xfrm>
                                <a:off x="0" y="0"/>
                                <a:ext cx="74231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val="en-US" w:eastAsia="zh-CN"/>
                                    </w:rPr>
                                    <w:t>取药</w:t>
                                  </w:r>
                                </w:p>
                              </w:txbxContent>
                            </wps:txbx>
                            <wps:bodyPr upright="1"/>
                          </wps:wsp>
                        </a:graphicData>
                      </a:graphic>
                    </wp:anchor>
                  </w:drawing>
                </mc:Choice>
                <mc:Fallback>
                  <w:pict>
                    <v:shape id="文本框 115" o:spid="_x0000_s1026" o:spt="202" type="#_x0000_t202" style="position:absolute;left:0pt;margin-left:159.8pt;margin-top:27.5pt;height:21.9pt;width:58.45pt;z-index:251765760;mso-width-relative:page;mso-height-relative:page;" fillcolor="#FFFFFF" filled="t" stroked="t" coordsize="21600,21600" o:gfxdata="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nDdrl2QAAAAkBAAAPAAAAAAAAAAEA&#10;IAAAACIAAABkcnMvZG93bnJldi54bWxQSwECFAAUAAAACACHTuJAbdGGOg4CAAA5BAAADgAAAAAA&#10;AAABACAAAAAoAQAAZHJzL2Uyb0RvYy54bWxQSwUGAAAAAAYABgBZAQAAqAUAAAAA&#10;">
                      <v:fill on="t" focussize="0,0"/>
                      <v:stroke color="#000000" joinstyle="miter"/>
                      <v:imagedata o:title=""/>
                      <o:lock v:ext="edit" aspectratio="f"/>
                      <v:textbox>
                        <w:txbxContent>
                          <w:p>
                            <w:pPr>
                              <w:jc w:val="center"/>
                              <w:rPr>
                                <w:rFonts w:hint="eastAsia" w:eastAsia="宋体"/>
                                <w:lang w:eastAsia="zh-CN"/>
                              </w:rPr>
                            </w:pPr>
                            <w:r>
                              <w:rPr>
                                <w:rFonts w:hint="eastAsia"/>
                                <w:lang w:val="en-US" w:eastAsia="zh-CN"/>
                              </w:rPr>
                              <w:t>取药</w:t>
                            </w:r>
                          </w:p>
                        </w:txbxContent>
                      </v:textbox>
                    </v:shape>
                  </w:pict>
                </mc:Fallback>
              </mc:AlternateContent>
            </w:r>
          </w:p>
          <w:p>
            <w:pPr>
              <w:adjustRightInd w:val="0"/>
              <w:snapToGrid w:val="0"/>
              <w:spacing w:line="360" w:lineRule="auto"/>
              <w:ind w:firstLine="420" w:firstLineChars="200"/>
              <w:jc w:val="left"/>
              <w:rPr>
                <w:rFonts w:hint="eastAsia"/>
                <w:bCs/>
                <w:color w:val="auto"/>
                <w:szCs w:val="21"/>
                <w:highlight w:val="none"/>
              </w:rPr>
            </w:pPr>
          </w:p>
          <w:p>
            <w:pPr>
              <w:adjustRightInd w:val="0"/>
              <w:snapToGrid w:val="0"/>
              <w:spacing w:line="360" w:lineRule="auto"/>
              <w:ind w:firstLine="420" w:firstLineChars="200"/>
              <w:jc w:val="left"/>
              <w:rPr>
                <w:rFonts w:hint="eastAsia"/>
                <w:bCs/>
                <w:color w:val="auto"/>
                <w:szCs w:val="21"/>
                <w:highlight w:val="none"/>
              </w:rPr>
            </w:pPr>
          </w:p>
          <w:p>
            <w:pPr>
              <w:adjustRightInd w:val="0"/>
              <w:snapToGrid w:val="0"/>
              <w:spacing w:line="360" w:lineRule="auto"/>
              <w:ind w:firstLine="420" w:firstLineChars="200"/>
              <w:jc w:val="left"/>
              <w:rPr>
                <w:rFonts w:hint="eastAsia"/>
                <w:bCs/>
                <w:color w:val="auto"/>
                <w:szCs w:val="21"/>
                <w:highlight w:val="none"/>
              </w:rPr>
            </w:pPr>
          </w:p>
          <w:p>
            <w:pPr>
              <w:spacing w:line="480" w:lineRule="exact"/>
              <w:jc w:val="both"/>
              <w:rPr>
                <w:rFonts w:hint="default" w:ascii="Times New Roman" w:hAnsi="Times New Roman" w:eastAsia="宋体" w:cs="Times New Roman"/>
                <w:b/>
                <w:bCs/>
                <w:color w:val="auto"/>
                <w:sz w:val="24"/>
              </w:rPr>
            </w:pP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hint="default"/>
                <w:color w:val="auto"/>
              </w:rPr>
            </w:pPr>
            <w:r>
              <w:rPr>
                <w:rFonts w:hint="default" w:ascii="Times New Roman" w:hAnsi="Times New Roman" w:eastAsia="宋体" w:cs="Times New Roman"/>
                <w:b/>
                <w:bCs/>
                <w:color w:val="auto"/>
                <w:sz w:val="24"/>
              </w:rPr>
              <w:t>图2-3医院运营期工艺流程及产污节点图</w:t>
            </w:r>
          </w:p>
          <w:p>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工程为医院建设项目，只是普通的医院，没有传染病和特殊性质的医院污水。故在运营期对环境的主要影响因素有医疗废水、医护人员产生的生活污水；食堂产生的油烟废气，污水处理站产生的恶臭；空调、引风机、水泵等产生的设备噪声；医疗垃圾、生活垃圾、厨余垃圾、污泥等。</w:t>
            </w:r>
          </w:p>
          <w:p>
            <w:pPr>
              <w:pStyle w:val="12"/>
              <w:rPr>
                <w:rFonts w:hint="default" w:ascii="Times New Roman" w:hAnsi="Times New Roman" w:eastAsia="宋体" w:cs="Times New Roman"/>
                <w:color w:val="auto"/>
                <w:sz w:val="24"/>
              </w:rPr>
            </w:pPr>
          </w:p>
          <w:p>
            <w:pPr>
              <w:pStyle w:val="13"/>
              <w:rPr>
                <w:rFonts w:hint="default" w:ascii="Times New Roman" w:hAnsi="Times New Roman" w:eastAsia="宋体" w:cs="Times New Roman"/>
                <w:color w:val="auto"/>
                <w:sz w:val="24"/>
              </w:rPr>
            </w:pPr>
          </w:p>
          <w:p>
            <w:pPr>
              <w:pStyle w:val="13"/>
              <w:rPr>
                <w:rFonts w:hint="default" w:ascii="Times New Roman" w:hAnsi="Times New Roman" w:eastAsia="宋体" w:cs="Times New Roman"/>
                <w:color w:val="auto"/>
                <w:sz w:val="24"/>
              </w:rPr>
            </w:pPr>
          </w:p>
          <w:p>
            <w:pPr>
              <w:pStyle w:val="13"/>
              <w:rPr>
                <w:rFonts w:hint="default" w:ascii="Times New Roman" w:hAnsi="Times New Roman" w:eastAsia="宋体" w:cs="Times New Roman"/>
                <w:color w:val="auto"/>
                <w:sz w:val="24"/>
              </w:rPr>
            </w:pPr>
          </w:p>
          <w:p>
            <w:pPr>
              <w:pStyle w:val="13"/>
              <w:rPr>
                <w:rFonts w:hint="default" w:ascii="Times New Roman" w:hAnsi="Times New Roman" w:eastAsia="宋体" w:cs="Times New Roman"/>
                <w:color w:val="auto"/>
                <w:sz w:val="24"/>
              </w:rPr>
            </w:pPr>
          </w:p>
          <w:p>
            <w:pPr>
              <w:pStyle w:val="13"/>
              <w:rPr>
                <w:rFonts w:hint="default" w:ascii="Times New Roman" w:hAnsi="Times New Roman" w:eastAsia="宋体" w:cs="Times New Roman"/>
                <w:color w:val="auto"/>
                <w:sz w:val="24"/>
              </w:rPr>
            </w:pPr>
          </w:p>
          <w:p>
            <w:pPr>
              <w:pStyle w:val="13"/>
              <w:rPr>
                <w:rFonts w:hint="default" w:ascii="Times New Roman" w:hAnsi="Times New Roman" w:eastAsia="宋体" w:cs="Times New Roman"/>
                <w:color w:val="auto"/>
                <w:sz w:val="24"/>
              </w:rPr>
            </w:pPr>
          </w:p>
          <w:p>
            <w:pPr>
              <w:pStyle w:val="13"/>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bCs/>
                <w:color w:val="auto"/>
                <w:spacing w:val="6"/>
                <w:kern w:val="2"/>
                <w:sz w:val="24"/>
                <w:szCs w:val="24"/>
                <w:lang w:val="en-US" w:eastAsia="zh-CN" w:bidi="ar-SA"/>
              </w:rPr>
            </w:pPr>
            <w:bookmarkStart w:id="5" w:name="_Hlk71785298"/>
          </w:p>
          <w:p>
            <w:pPr>
              <w:pStyle w:val="13"/>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cs="Times New Roman"/>
                <w:b/>
                <w:bCs/>
                <w:color w:val="auto"/>
                <w:spacing w:val="6"/>
                <w:kern w:val="2"/>
                <w:sz w:val="24"/>
                <w:szCs w:val="24"/>
                <w:lang w:val="en-US" w:eastAsia="zh-CN" w:bidi="ar-SA"/>
              </w:rPr>
            </w:pPr>
          </w:p>
          <w:p>
            <w:pPr>
              <w:pStyle w:val="13"/>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06" w:firstLineChars="200"/>
              <w:jc w:val="both"/>
              <w:textAlignment w:val="auto"/>
              <w:rPr>
                <w:rFonts w:hint="default" w:ascii="Times New Roman" w:hAnsi="Times New Roman" w:eastAsia="宋体" w:cs="Times New Roman"/>
                <w:b/>
                <w:bCs/>
                <w:color w:val="auto"/>
                <w:spacing w:val="6"/>
                <w:kern w:val="2"/>
                <w:sz w:val="24"/>
                <w:szCs w:val="24"/>
                <w:lang w:val="en-US" w:eastAsia="zh-CN" w:bidi="ar-SA"/>
              </w:rPr>
            </w:pPr>
            <w:r>
              <w:rPr>
                <w:rFonts w:hint="eastAsia" w:cs="Times New Roman"/>
                <w:b/>
                <w:bCs/>
                <w:color w:val="auto"/>
                <w:spacing w:val="6"/>
                <w:kern w:val="2"/>
                <w:sz w:val="24"/>
                <w:szCs w:val="24"/>
                <w:lang w:val="en-US" w:eastAsia="zh-CN" w:bidi="ar-SA"/>
              </w:rPr>
              <w:t>2、</w:t>
            </w:r>
            <w:r>
              <w:rPr>
                <w:rFonts w:hint="eastAsia" w:ascii="Times New Roman" w:hAnsi="Times New Roman" w:eastAsia="宋体" w:cs="Times New Roman"/>
                <w:b/>
                <w:bCs/>
                <w:color w:val="auto"/>
                <w:spacing w:val="6"/>
                <w:kern w:val="2"/>
                <w:sz w:val="24"/>
                <w:szCs w:val="24"/>
                <w:lang w:val="en-US" w:eastAsia="zh-CN" w:bidi="ar-SA"/>
              </w:rPr>
              <w:t>人工煎药工艺流程</w:t>
            </w:r>
            <w:r>
              <w:rPr>
                <w:rFonts w:hint="default" w:ascii="Times New Roman" w:hAnsi="Times New Roman" w:eastAsia="宋体" w:cs="Times New Roman"/>
                <w:b/>
                <w:bCs/>
                <w:color w:val="auto"/>
                <w:spacing w:val="6"/>
                <w:kern w:val="2"/>
                <w:sz w:val="24"/>
                <w:szCs w:val="24"/>
                <w:lang w:val="en-US" w:eastAsia="zh-CN" w:bidi="ar-SA"/>
              </w:rPr>
              <w:t>简述及产污环节</w:t>
            </w:r>
          </w:p>
          <w:p>
            <w:pPr>
              <w:adjustRightInd w:val="0"/>
              <w:snapToGrid w:val="0"/>
              <w:spacing w:line="360" w:lineRule="auto"/>
              <w:ind w:firstLine="422" w:firstLineChars="200"/>
              <w:jc w:val="left"/>
              <w:rPr>
                <w:rFonts w:hint="default"/>
                <w:bCs/>
                <w:szCs w:val="21"/>
                <w:lang w:val="en-US"/>
              </w:rPr>
            </w:pPr>
            <w:r>
              <w:rPr>
                <w:rFonts w:hint="eastAsia" w:hAnsi="宋体"/>
                <w:b/>
                <w:bCs/>
                <w:szCs w:val="21"/>
              </w:rPr>
              <mc:AlternateContent>
                <mc:Choice Requires="wps">
                  <w:drawing>
                    <wp:anchor distT="0" distB="0" distL="114300" distR="114300" simplePos="0" relativeHeight="251699200" behindDoc="0" locked="0" layoutInCell="1" allowOverlap="1">
                      <wp:simplePos x="0" y="0"/>
                      <wp:positionH relativeFrom="column">
                        <wp:posOffset>1880235</wp:posOffset>
                      </wp:positionH>
                      <wp:positionV relativeFrom="paragraph">
                        <wp:posOffset>12700</wp:posOffset>
                      </wp:positionV>
                      <wp:extent cx="1017270" cy="300355"/>
                      <wp:effectExtent l="4445" t="5080" r="6985" b="18415"/>
                      <wp:wrapNone/>
                      <wp:docPr id="56" name="文本框 2"/>
                      <wp:cNvGraphicFramePr/>
                      <a:graphic xmlns:a="http://schemas.openxmlformats.org/drawingml/2006/main">
                        <a:graphicData uri="http://schemas.microsoft.com/office/word/2010/wordprocessingShape">
                          <wps:wsp>
                            <wps:cNvSpPr txBox="1"/>
                            <wps:spPr>
                              <a:xfrm>
                                <a:off x="0" y="0"/>
                                <a:ext cx="1017270" cy="300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t>饮片称量配料</w:t>
                                  </w:r>
                                </w:p>
                              </w:txbxContent>
                            </wps:txbx>
                            <wps:bodyPr upright="1"/>
                          </wps:wsp>
                        </a:graphicData>
                      </a:graphic>
                    </wp:anchor>
                  </w:drawing>
                </mc:Choice>
                <mc:Fallback>
                  <w:pict>
                    <v:shape id="文本框 2" o:spid="_x0000_s1026" o:spt="202" type="#_x0000_t202" style="position:absolute;left:0pt;margin-left:148.05pt;margin-top:1pt;height:23.65pt;width:80.1pt;z-index:251699200;mso-width-relative:page;mso-height-relative:page;" fillcolor="#FFFFFF" filled="t" stroked="t" coordsize="21600,21600" o:gfxdata="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2skf9cAAAAIAQAADwAAAAAAAAABACAAAAAi&#10;AAAAZHJzL2Rvd25yZXYueG1sUEsBAhQAFAAAAAgAh07iQBYPEOgLAgAANwQAAA4AAAAAAAAAAQAg&#10;AAAAJgEAAGRycy9lMm9Eb2MueG1sUEsFBgAAAAAGAAYAWQEAAKMFAAAAAA==&#10;">
                      <v:fill on="t" focussize="0,0"/>
                      <v:stroke color="#000000" joinstyle="miter"/>
                      <v:imagedata o:title=""/>
                      <o:lock v:ext="edit" aspectratio="f"/>
                      <v:textbox>
                        <w:txbxContent>
                          <w:p>
                            <w:pPr>
                              <w:jc w:val="center"/>
                            </w:pPr>
                            <w:r>
                              <w:t>饮片称量配料</w:t>
                            </w:r>
                          </w:p>
                        </w:txbxContent>
                      </v:textbox>
                    </v:shape>
                  </w:pict>
                </mc:Fallback>
              </mc:AlternateContent>
            </w:r>
            <w:r>
              <w:rPr>
                <w:rFonts w:hint="eastAsia"/>
                <w:bCs/>
                <w:szCs w:val="21"/>
                <w:lang w:val="en-US" w:eastAsia="zh-CN"/>
              </w:rPr>
              <w:t xml:space="preserve">   </w:t>
            </w:r>
          </w:p>
          <w:p>
            <w:pPr>
              <w:adjustRightInd w:val="0"/>
              <w:snapToGrid w:val="0"/>
              <w:spacing w:line="360" w:lineRule="auto"/>
              <w:ind w:firstLine="422" w:firstLineChars="200"/>
              <w:jc w:val="left"/>
              <w:rPr>
                <w:rFonts w:hint="eastAsia"/>
                <w:bCs/>
                <w:szCs w:val="21"/>
              </w:rPr>
            </w:pPr>
            <w:r>
              <w:rPr>
                <w:rFonts w:hint="eastAsia" w:hAnsi="宋体"/>
                <w:b/>
                <w:bCs/>
                <w:szCs w:val="21"/>
              </w:rPr>
              <mc:AlternateContent>
                <mc:Choice Requires="wps">
                  <w:drawing>
                    <wp:anchor distT="0" distB="0" distL="114300" distR="114300" simplePos="0" relativeHeight="251703296" behindDoc="0" locked="0" layoutInCell="1" allowOverlap="1">
                      <wp:simplePos x="0" y="0"/>
                      <wp:positionH relativeFrom="column">
                        <wp:posOffset>2320290</wp:posOffset>
                      </wp:positionH>
                      <wp:positionV relativeFrom="paragraph">
                        <wp:posOffset>102235</wp:posOffset>
                      </wp:positionV>
                      <wp:extent cx="6985" cy="177165"/>
                      <wp:effectExtent l="34290" t="0" r="34925" b="13335"/>
                      <wp:wrapNone/>
                      <wp:docPr id="60" name="自选图形 3"/>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margin-left:182.7pt;margin-top:8.05pt;height:13.95pt;width:0.55pt;z-index:251703296;mso-width-relative:page;mso-height-relative:page;" filled="f" stroked="t" coordsize="21600,21600" o:gfxdata="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ZR6lnZAAAACQEAAA8AAAAAAAAAAQAgAAAAIgAAAGRycy9kb3du&#10;cmV2LnhtbFBLAQIUABQAAAAIAIdO4kAKBsvQ/gEAAOoDAAAOAAAAAAAAAAEAIAAAACgBAABkcnMv&#10;ZTJvRG9jLnhtbFBLBQYAAAAABgAGAFkBAACYBQAAAAA=&#10;">
                      <v:fill on="f" focussize="0,0"/>
                      <v:stroke color="#000000" joinstyle="round" endarrow="block"/>
                      <v:imagedata o:title=""/>
                      <o:lock v:ext="edit" aspectratio="f"/>
                    </v:shape>
                  </w:pict>
                </mc:Fallback>
              </mc:AlternateContent>
            </w:r>
          </w:p>
          <w:p>
            <w:pPr>
              <w:adjustRightInd w:val="0"/>
              <w:snapToGrid w:val="0"/>
              <w:spacing w:line="360" w:lineRule="auto"/>
              <w:ind w:firstLine="422" w:firstLineChars="200"/>
              <w:jc w:val="left"/>
              <w:rPr>
                <w:rFonts w:hint="eastAsia"/>
                <w:bCs/>
                <w:szCs w:val="21"/>
              </w:rPr>
            </w:pPr>
            <w:r>
              <w:rPr>
                <w:rFonts w:hint="eastAsia" w:hAnsi="宋体"/>
                <w:b/>
                <w:bCs/>
                <w:szCs w:val="21"/>
              </w:rPr>
              <mc:AlternateContent>
                <mc:Choice Requires="wps">
                  <w:drawing>
                    <wp:anchor distT="0" distB="0" distL="114300" distR="114300" simplePos="0" relativeHeight="251700224" behindDoc="0" locked="0" layoutInCell="1" allowOverlap="1">
                      <wp:simplePos x="0" y="0"/>
                      <wp:positionH relativeFrom="column">
                        <wp:posOffset>1987550</wp:posOffset>
                      </wp:positionH>
                      <wp:positionV relativeFrom="paragraph">
                        <wp:posOffset>49530</wp:posOffset>
                      </wp:positionV>
                      <wp:extent cx="721995" cy="300355"/>
                      <wp:effectExtent l="4445" t="5080" r="16510" b="18415"/>
                      <wp:wrapNone/>
                      <wp:docPr id="57" name="文本框 4"/>
                      <wp:cNvGraphicFramePr/>
                      <a:graphic xmlns:a="http://schemas.openxmlformats.org/drawingml/2006/main">
                        <a:graphicData uri="http://schemas.microsoft.com/office/word/2010/wordprocessingShape">
                          <wps:wsp>
                            <wps:cNvSpPr txBox="1"/>
                            <wps:spPr>
                              <a:xfrm>
                                <a:off x="0" y="0"/>
                                <a:ext cx="721995" cy="300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复核</w:t>
                                  </w:r>
                                </w:p>
                              </w:txbxContent>
                            </wps:txbx>
                            <wps:bodyPr upright="1"/>
                          </wps:wsp>
                        </a:graphicData>
                      </a:graphic>
                    </wp:anchor>
                  </w:drawing>
                </mc:Choice>
                <mc:Fallback>
                  <w:pict>
                    <v:shape id="文本框 4" o:spid="_x0000_s1026" o:spt="202" type="#_x0000_t202" style="position:absolute;left:0pt;margin-left:156.5pt;margin-top:3.9pt;height:23.65pt;width:56.85pt;z-index:251700224;mso-width-relative:page;mso-height-relative:page;" fillcolor="#FFFFFF" filled="t" stroked="t" coordsize="21600,21600" o:gfxdata="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Sk7OzYAAAACAEAAA8AAAAAAAAAAQAgAAAA&#10;IgAAAGRycy9kb3ducmV2LnhtbFBLAQIUABQAAAAIAIdO4kAc/oSVCwIAADYEAAAOAAAAAAAAAAEA&#10;IAAAACcBAABkcnMvZTJvRG9jLnhtbFBLBQYAAAAABgAGAFkBAACkBQAAAAA=&#10;">
                      <v:fill on="t" focussize="0,0"/>
                      <v:stroke color="#000000" joinstyle="miter"/>
                      <v:imagedata o:title=""/>
                      <o:lock v:ext="edit" aspectratio="f"/>
                      <v:textbox>
                        <w:txbxContent>
                          <w:p>
                            <w:pPr>
                              <w:jc w:val="center"/>
                            </w:pPr>
                            <w:r>
                              <w:rPr>
                                <w:rFonts w:hint="eastAsia"/>
                              </w:rPr>
                              <w:t>复核</w:t>
                            </w:r>
                          </w:p>
                        </w:txbxContent>
                      </v:textbox>
                    </v:shape>
                  </w:pict>
                </mc:Fallback>
              </mc:AlternateContent>
            </w:r>
          </w:p>
          <w:p>
            <w:pPr>
              <w:adjustRightInd w:val="0"/>
              <w:snapToGrid w:val="0"/>
              <w:spacing w:line="360" w:lineRule="auto"/>
              <w:ind w:firstLine="422" w:firstLineChars="200"/>
              <w:jc w:val="left"/>
              <w:rPr>
                <w:rFonts w:hint="eastAsia"/>
                <w:bCs/>
                <w:szCs w:val="21"/>
              </w:rPr>
            </w:pPr>
            <w:r>
              <w:rPr>
                <w:rFonts w:hint="eastAsia" w:hAnsi="宋体"/>
                <w:b/>
                <w:bCs/>
                <w:szCs w:val="21"/>
              </w:rPr>
              <mc:AlternateContent>
                <mc:Choice Requires="wps">
                  <w:drawing>
                    <wp:anchor distT="0" distB="0" distL="114300" distR="114300" simplePos="0" relativeHeight="251704320" behindDoc="0" locked="0" layoutInCell="1" allowOverlap="1">
                      <wp:simplePos x="0" y="0"/>
                      <wp:positionH relativeFrom="column">
                        <wp:posOffset>2332355</wp:posOffset>
                      </wp:positionH>
                      <wp:positionV relativeFrom="paragraph">
                        <wp:posOffset>158115</wp:posOffset>
                      </wp:positionV>
                      <wp:extent cx="6985" cy="177165"/>
                      <wp:effectExtent l="34290" t="0" r="34925" b="13335"/>
                      <wp:wrapNone/>
                      <wp:docPr id="61" name="自选图形 5"/>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margin-left:183.65pt;margin-top:12.45pt;height:13.95pt;width:0.55pt;z-index:251704320;mso-width-relative:page;mso-height-relative:page;" filled="f" stroked="t" coordsize="21600,21600" o:gfxdata="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7JcYDbAAAACQEAAA8AAAAAAAAAAQAgAAAAIgAAAGRycy9k&#10;b3ducmV2LnhtbFBLAQIUABQAAAAIAIdO4kCMdyZh/wEAAOoDAAAOAAAAAAAAAAEAIAAAACoBAABk&#10;cnMvZTJvRG9jLnhtbFBLBQYAAAAABgAGAFkBAACbBQAAAAA=&#10;">
                      <v:fill on="f" focussize="0,0"/>
                      <v:stroke color="#000000" joinstyle="round" endarrow="block"/>
                      <v:imagedata o:title=""/>
                      <o:lock v:ext="edit" aspectratio="f"/>
                    </v:shape>
                  </w:pict>
                </mc:Fallback>
              </mc:AlternateContent>
            </w:r>
          </w:p>
          <w:p>
            <w:pPr>
              <w:adjustRightInd w:val="0"/>
              <w:snapToGrid w:val="0"/>
              <w:spacing w:line="360" w:lineRule="auto"/>
              <w:ind w:firstLine="422" w:firstLineChars="200"/>
              <w:jc w:val="left"/>
              <w:rPr>
                <w:rFonts w:hint="eastAsia"/>
                <w:bCs/>
                <w:szCs w:val="21"/>
              </w:rPr>
            </w:pPr>
            <w:r>
              <w:rPr>
                <w:rFonts w:hint="eastAsia" w:hAnsi="宋体"/>
                <w:b/>
                <w:bCs/>
                <w:szCs w:val="21"/>
              </w:rPr>
              <mc:AlternateContent>
                <mc:Choice Requires="wps">
                  <w:drawing>
                    <wp:anchor distT="0" distB="0" distL="114300" distR="114300" simplePos="0" relativeHeight="251713536" behindDoc="0" locked="0" layoutInCell="1" allowOverlap="1">
                      <wp:simplePos x="0" y="0"/>
                      <wp:positionH relativeFrom="column">
                        <wp:posOffset>3335020</wp:posOffset>
                      </wp:positionH>
                      <wp:positionV relativeFrom="paragraph">
                        <wp:posOffset>1270</wp:posOffset>
                      </wp:positionV>
                      <wp:extent cx="688340" cy="293370"/>
                      <wp:effectExtent l="0" t="0" r="0" b="0"/>
                      <wp:wrapNone/>
                      <wp:docPr id="70" name="文本框 6"/>
                      <wp:cNvGraphicFramePr/>
                      <a:graphic xmlns:a="http://schemas.openxmlformats.org/drawingml/2006/main">
                        <a:graphicData uri="http://schemas.microsoft.com/office/word/2010/wordprocessingShape">
                          <wps:wsp>
                            <wps:cNvSpPr txBox="1"/>
                            <wps:spPr>
                              <a:xfrm>
                                <a:off x="0" y="0"/>
                                <a:ext cx="688340" cy="293370"/>
                              </a:xfrm>
                              <a:prstGeom prst="rect">
                                <a:avLst/>
                              </a:prstGeom>
                              <a:noFill/>
                              <a:ln>
                                <a:noFill/>
                              </a:ln>
                            </wps:spPr>
                            <wps:txbx>
                              <w:txbxContent>
                                <w:p>
                                  <w:r>
                                    <w:rPr>
                                      <w:rFonts w:hint="eastAsia"/>
                                    </w:rPr>
                                    <w:t>固废</w:t>
                                  </w:r>
                                </w:p>
                              </w:txbxContent>
                            </wps:txbx>
                            <wps:bodyPr upright="1"/>
                          </wps:wsp>
                        </a:graphicData>
                      </a:graphic>
                    </wp:anchor>
                  </w:drawing>
                </mc:Choice>
                <mc:Fallback>
                  <w:pict>
                    <v:shape id="文本框 6" o:spid="_x0000_s1026" o:spt="202" type="#_x0000_t202" style="position:absolute;left:0pt;margin-left:262.6pt;margin-top:0.1pt;height:23.1pt;width:54.2pt;z-index:251713536;mso-width-relative:page;mso-height-relative:page;" filled="f" stroked="f" coordsize="21600,21600" o:gfxdata="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w1/lO1QAAAAcB&#10;AAAPAAAAAAAAAAEAIAAAACIAAABkcnMvZG93bnJldi54bWxQSwECFAAUAAAACACHTuJAdLOn+awB&#10;AABOAwAADgAAAAAAAAABACAAAAAkAQAAZHJzL2Uyb0RvYy54bWxQSwUGAAAAAAYABgBZAQAAQgUA&#10;AAAA&#10;">
                      <v:fill on="f" focussize="0,0"/>
                      <v:stroke on="f"/>
                      <v:imagedata o:title=""/>
                      <o:lock v:ext="edit" aspectratio="f"/>
                      <v:textbox>
                        <w:txbxContent>
                          <w:p>
                            <w:r>
                              <w:rPr>
                                <w:rFonts w:hint="eastAsia"/>
                              </w:rPr>
                              <w:t>固废</w:t>
                            </w:r>
                          </w:p>
                        </w:txbxContent>
                      </v:textbox>
                    </v:shape>
                  </w:pict>
                </mc:Fallback>
              </mc:AlternateContent>
            </w:r>
            <w:r>
              <w:rPr>
                <w:rFonts w:hint="eastAsia" w:hAnsi="宋体"/>
                <w:b/>
                <w:bCs/>
                <w:szCs w:val="21"/>
              </w:rPr>
              <mc:AlternateContent>
                <mc:Choice Requires="wps">
                  <w:drawing>
                    <wp:anchor distT="0" distB="0" distL="114300" distR="114300" simplePos="0" relativeHeight="251701248" behindDoc="0" locked="0" layoutInCell="1" allowOverlap="1">
                      <wp:simplePos x="0" y="0"/>
                      <wp:positionH relativeFrom="column">
                        <wp:posOffset>1963420</wp:posOffset>
                      </wp:positionH>
                      <wp:positionV relativeFrom="paragraph">
                        <wp:posOffset>96520</wp:posOffset>
                      </wp:positionV>
                      <wp:extent cx="756920" cy="300355"/>
                      <wp:effectExtent l="4445" t="5080" r="19685" b="18415"/>
                      <wp:wrapNone/>
                      <wp:docPr id="58" name="文本框 7"/>
                      <wp:cNvGraphicFramePr/>
                      <a:graphic xmlns:a="http://schemas.openxmlformats.org/drawingml/2006/main">
                        <a:graphicData uri="http://schemas.microsoft.com/office/word/2010/wordprocessingShape">
                          <wps:wsp>
                            <wps:cNvSpPr txBox="1"/>
                            <wps:spPr>
                              <a:xfrm>
                                <a:off x="0" y="0"/>
                                <a:ext cx="756920" cy="300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浸药</w:t>
                                  </w:r>
                                </w:p>
                              </w:txbxContent>
                            </wps:txbx>
                            <wps:bodyPr upright="1"/>
                          </wps:wsp>
                        </a:graphicData>
                      </a:graphic>
                    </wp:anchor>
                  </w:drawing>
                </mc:Choice>
                <mc:Fallback>
                  <w:pict>
                    <v:shape id="文本框 7" o:spid="_x0000_s1026" o:spt="202" type="#_x0000_t202" style="position:absolute;left:0pt;margin-left:154.6pt;margin-top:7.6pt;height:23.65pt;width:59.6pt;z-index:251701248;mso-width-relative:page;mso-height-relative:page;" fillcolor="#FFFFFF" filled="t" stroked="t" coordsize="21600,21600" o:gfxdata="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C+ILHZAAAACQEAAA8AAAAAAAAAAQAgAAAA&#10;IgAAAGRycy9kb3ducmV2LnhtbFBLAQIUABQAAAAIAIdO4kA0vFiuCgIAADYEAAAOAAAAAAAAAAEA&#10;IAAAACgBAABkcnMvZTJvRG9jLnhtbFBLBQYAAAAABgAGAFkBAACkBQAAAAA=&#10;">
                      <v:fill on="t" focussize="0,0"/>
                      <v:stroke color="#000000" joinstyle="miter"/>
                      <v:imagedata o:title=""/>
                      <o:lock v:ext="edit" aspectratio="f"/>
                      <v:textbox>
                        <w:txbxContent>
                          <w:p>
                            <w:pPr>
                              <w:jc w:val="center"/>
                            </w:pPr>
                            <w:r>
                              <w:rPr>
                                <w:rFonts w:hint="eastAsia"/>
                              </w:rPr>
                              <w:t>浸药</w:t>
                            </w:r>
                          </w:p>
                        </w:txbxContent>
                      </v:textbox>
                    </v:shape>
                  </w:pict>
                </mc:Fallback>
              </mc:AlternateContent>
            </w:r>
          </w:p>
          <w:p>
            <w:pPr>
              <w:adjustRightInd w:val="0"/>
              <w:snapToGrid w:val="0"/>
              <w:spacing w:line="360" w:lineRule="auto"/>
              <w:ind w:firstLine="422" w:firstLineChars="200"/>
              <w:jc w:val="left"/>
              <w:rPr>
                <w:rFonts w:hint="eastAsia"/>
                <w:bCs/>
                <w:szCs w:val="21"/>
              </w:rPr>
            </w:pPr>
            <w:r>
              <w:rPr>
                <w:rFonts w:hint="eastAsia" w:hAnsi="宋体"/>
                <w:b/>
                <w:bCs/>
                <w:szCs w:val="21"/>
              </w:rPr>
              <mc:AlternateContent>
                <mc:Choice Requires="wps">
                  <w:drawing>
                    <wp:anchor distT="0" distB="0" distL="114300" distR="114300" simplePos="0" relativeHeight="251712512" behindDoc="0" locked="0" layoutInCell="1" allowOverlap="1">
                      <wp:simplePos x="0" y="0"/>
                      <wp:positionH relativeFrom="column">
                        <wp:posOffset>3557270</wp:posOffset>
                      </wp:positionH>
                      <wp:positionV relativeFrom="paragraph">
                        <wp:posOffset>73025</wp:posOffset>
                      </wp:positionV>
                      <wp:extent cx="0" cy="224790"/>
                      <wp:effectExtent l="48895" t="0" r="65405" b="3810"/>
                      <wp:wrapNone/>
                      <wp:docPr id="69" name="自选图形 8"/>
                      <wp:cNvGraphicFramePr/>
                      <a:graphic xmlns:a="http://schemas.openxmlformats.org/drawingml/2006/main">
                        <a:graphicData uri="http://schemas.microsoft.com/office/word/2010/wordprocessingShape">
                          <wps:wsp>
                            <wps:cNvCnPr/>
                            <wps:spPr>
                              <a:xfrm flipV="1">
                                <a:off x="0" y="0"/>
                                <a:ext cx="0" cy="224790"/>
                              </a:xfrm>
                              <a:prstGeom prst="straightConnector1">
                                <a:avLst/>
                              </a:prstGeom>
                              <a:ln w="9525" cap="flat" cmpd="sng">
                                <a:solidFill>
                                  <a:srgbClr val="000000"/>
                                </a:solidFill>
                                <a:prstDash val="dashDot"/>
                                <a:headEnd type="none" w="med" len="med"/>
                                <a:tailEnd type="arrow" w="med" len="med"/>
                              </a:ln>
                            </wps:spPr>
                            <wps:bodyPr/>
                          </wps:wsp>
                        </a:graphicData>
                      </a:graphic>
                    </wp:anchor>
                  </w:drawing>
                </mc:Choice>
                <mc:Fallback>
                  <w:pict>
                    <v:shape id="自选图形 8" o:spid="_x0000_s1026" o:spt="32" type="#_x0000_t32" style="position:absolute;left:0pt;flip:y;margin-left:280.1pt;margin-top:5.75pt;height:17.7pt;width:0pt;z-index:251712512;mso-width-relative:page;mso-height-relative:page;" filled="f" stroked="t" coordsize="21600,21600" o:gfxdata="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OFtM3WAAAACQEAAA8AAAAAAAAAAQAgAAAAIgAAAGRycy9k&#10;b3ducmV2LnhtbFBLAQIUABQAAAAIAIdO4kB8HYCWBAIAAPADAAAOAAAAAAAAAAEAIAAAACUBAABk&#10;cnMvZTJvRG9jLnhtbFBLBQYAAAAABgAGAFkBAACbBQAAAAA=&#10;">
                      <v:fill on="f" focussize="0,0"/>
                      <v:stroke color="#000000" joinstyle="round" dashstyle="dashDot" endarrow="open"/>
                      <v:imagedata o:title=""/>
                      <o:lock v:ext="edit" aspectratio="f"/>
                    </v:shape>
                  </w:pict>
                </mc:Fallback>
              </mc:AlternateContent>
            </w:r>
            <w:r>
              <w:rPr>
                <w:rFonts w:hint="eastAsia" w:hAnsi="宋体"/>
                <w:b/>
                <w:bCs/>
                <w:szCs w:val="21"/>
              </w:rPr>
              <mc:AlternateContent>
                <mc:Choice Requires="wps">
                  <w:drawing>
                    <wp:anchor distT="0" distB="0" distL="114300" distR="114300" simplePos="0" relativeHeight="251705344" behindDoc="0" locked="0" layoutInCell="1" allowOverlap="1">
                      <wp:simplePos x="0" y="0"/>
                      <wp:positionH relativeFrom="column">
                        <wp:posOffset>2336800</wp:posOffset>
                      </wp:positionH>
                      <wp:positionV relativeFrom="paragraph">
                        <wp:posOffset>157480</wp:posOffset>
                      </wp:positionV>
                      <wp:extent cx="6985" cy="177165"/>
                      <wp:effectExtent l="34290" t="0" r="34925" b="13335"/>
                      <wp:wrapNone/>
                      <wp:docPr id="62" name="自选图形 9"/>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9" o:spid="_x0000_s1026" o:spt="32" type="#_x0000_t32" style="position:absolute;left:0pt;margin-left:184pt;margin-top:12.4pt;height:13.95pt;width:0.55pt;z-index:251705344;mso-width-relative:page;mso-height-relative:page;" filled="f" stroked="t" coordsize="21600,21600" o:gfxdata="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vKeObaAAAACQEAAA8AAAAAAAAAAQAgAAAAIgAAAGRycy9kb3du&#10;cmV2LnhtbFBLAQIUABQAAAAIAIdO4kAS+TtG/QEAAOoDAAAOAAAAAAAAAAEAIAAAACkBAABkcnMv&#10;ZTJvRG9jLnhtbFBLBQYAAAAABgAGAFkBAACYBQAAAAA=&#10;">
                      <v:fill on="f" focussize="0,0"/>
                      <v:stroke color="#000000" joinstyle="round" endarrow="block"/>
                      <v:imagedata o:title=""/>
                      <o:lock v:ext="edit" aspectratio="f"/>
                    </v:shape>
                  </w:pict>
                </mc:Fallback>
              </mc:AlternateContent>
            </w:r>
          </w:p>
          <w:p>
            <w:pPr>
              <w:adjustRightInd w:val="0"/>
              <w:snapToGrid w:val="0"/>
              <w:spacing w:line="360" w:lineRule="auto"/>
              <w:ind w:firstLine="422" w:firstLineChars="200"/>
              <w:jc w:val="left"/>
              <w:rPr>
                <w:rFonts w:hint="eastAsia"/>
                <w:bCs/>
                <w:szCs w:val="21"/>
              </w:rPr>
            </w:pPr>
            <w:r>
              <w:rPr>
                <w:rFonts w:hint="eastAsia" w:hAnsi="宋体"/>
                <w:b/>
                <w:bCs/>
                <w:szCs w:val="21"/>
              </w:rPr>
              <mc:AlternateContent>
                <mc:Choice Requires="wps">
                  <w:drawing>
                    <wp:anchor distT="0" distB="0" distL="114300" distR="114300" simplePos="0" relativeHeight="251711488" behindDoc="0" locked="0" layoutInCell="1" allowOverlap="1">
                      <wp:simplePos x="0" y="0"/>
                      <wp:positionH relativeFrom="column">
                        <wp:posOffset>3185795</wp:posOffset>
                      </wp:positionH>
                      <wp:positionV relativeFrom="paragraph">
                        <wp:posOffset>85725</wp:posOffset>
                      </wp:positionV>
                      <wp:extent cx="742315" cy="278130"/>
                      <wp:effectExtent l="4445" t="4445" r="15240" b="22225"/>
                      <wp:wrapNone/>
                      <wp:docPr id="68" name="文本框 10"/>
                      <wp:cNvGraphicFramePr/>
                      <a:graphic xmlns:a="http://schemas.openxmlformats.org/drawingml/2006/main">
                        <a:graphicData uri="http://schemas.microsoft.com/office/word/2010/wordprocessingShape">
                          <wps:wsp>
                            <wps:cNvSpPr txBox="1"/>
                            <wps:spPr>
                              <a:xfrm>
                                <a:off x="0" y="0"/>
                                <a:ext cx="74231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药液过滤</w:t>
                                  </w:r>
                                </w:p>
                              </w:txbxContent>
                            </wps:txbx>
                            <wps:bodyPr upright="1"/>
                          </wps:wsp>
                        </a:graphicData>
                      </a:graphic>
                    </wp:anchor>
                  </w:drawing>
                </mc:Choice>
                <mc:Fallback>
                  <w:pict>
                    <v:shape id="文本框 10" o:spid="_x0000_s1026" o:spt="202" type="#_x0000_t202" style="position:absolute;left:0pt;margin-left:250.85pt;margin-top:6.75pt;height:21.9pt;width:58.45pt;z-index:251711488;mso-width-relative:page;mso-height-relative:page;" fillcolor="#FFFFFF" filled="t" stroked="t" coordsize="21600,21600" o:gfxdata="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alMKm2AAAAAkBAAAPAAAAAAAAAAEAIAAA&#10;ACIAAABkcnMvZG93bnJldi54bWxQSwECFAAUAAAACACHTuJAWeiuwAwCAAA3BAAADgAAAAAAAAAB&#10;ACAAAAAnAQAAZHJzL2Uyb0RvYy54bWxQSwUGAAAAAAYABgBZAQAApQUAAAAA&#10;">
                      <v:fill on="t" focussize="0,0"/>
                      <v:stroke color="#000000" joinstyle="miter"/>
                      <v:imagedata o:title=""/>
                      <o:lock v:ext="edit" aspectratio="f"/>
                      <v:textbox>
                        <w:txbxContent>
                          <w:p>
                            <w:pPr>
                              <w:jc w:val="center"/>
                            </w:pPr>
                            <w:r>
                              <w:rPr>
                                <w:rFonts w:hint="eastAsia"/>
                              </w:rPr>
                              <w:t>药液过滤</w:t>
                            </w:r>
                          </w:p>
                        </w:txbxContent>
                      </v:textbox>
                    </v:shape>
                  </w:pict>
                </mc:Fallback>
              </mc:AlternateContent>
            </w:r>
            <w:r>
              <w:rPr>
                <w:rFonts w:hint="eastAsia" w:hAnsi="宋体"/>
                <w:b/>
                <w:bCs/>
                <w:szCs w:val="21"/>
              </w:rPr>
              <mc:AlternateContent>
                <mc:Choice Requires="wps">
                  <w:drawing>
                    <wp:anchor distT="0" distB="0" distL="114300" distR="114300" simplePos="0" relativeHeight="251702272" behindDoc="0" locked="0" layoutInCell="1" allowOverlap="1">
                      <wp:simplePos x="0" y="0"/>
                      <wp:positionH relativeFrom="column">
                        <wp:posOffset>1997075</wp:posOffset>
                      </wp:positionH>
                      <wp:positionV relativeFrom="paragraph">
                        <wp:posOffset>113030</wp:posOffset>
                      </wp:positionV>
                      <wp:extent cx="742315" cy="278130"/>
                      <wp:effectExtent l="4445" t="4445" r="15240" b="22225"/>
                      <wp:wrapNone/>
                      <wp:docPr id="59" name="文本框 11"/>
                      <wp:cNvGraphicFramePr/>
                      <a:graphic xmlns:a="http://schemas.openxmlformats.org/drawingml/2006/main">
                        <a:graphicData uri="http://schemas.microsoft.com/office/word/2010/wordprocessingShape">
                          <wps:wsp>
                            <wps:cNvSpPr txBox="1"/>
                            <wps:spPr>
                              <a:xfrm>
                                <a:off x="0" y="0"/>
                                <a:ext cx="74231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t>煎药</w:t>
                                  </w:r>
                                </w:p>
                              </w:txbxContent>
                            </wps:txbx>
                            <wps:bodyPr upright="1"/>
                          </wps:wsp>
                        </a:graphicData>
                      </a:graphic>
                    </wp:anchor>
                  </w:drawing>
                </mc:Choice>
                <mc:Fallback>
                  <w:pict>
                    <v:shape id="文本框 11" o:spid="_x0000_s1026" o:spt="202" type="#_x0000_t202" style="position:absolute;left:0pt;margin-left:157.25pt;margin-top:8.9pt;height:21.9pt;width:58.45pt;z-index:251702272;mso-width-relative:page;mso-height-relative:page;" fillcolor="#FFFFFF" filled="t" stroked="t" coordsize="21600,21600" o:gfxdata="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1vyXzXAAAACQEAAA8AAAAAAAAAAQAg&#10;AAAAIgAAAGRycy9kb3ducmV2LnhtbFBLAQIUABQAAAAIAIdO4kBu1WSaDwIAADcEAAAOAAAAAAAA&#10;AAEAIAAAACYBAABkcnMvZTJvRG9jLnhtbFBLBQYAAAAABgAGAFkBAACnBQAAAAA=&#10;">
                      <v:fill on="t" focussize="0,0"/>
                      <v:stroke color="#000000" joinstyle="miter"/>
                      <v:imagedata o:title=""/>
                      <o:lock v:ext="edit" aspectratio="f"/>
                      <v:textbox>
                        <w:txbxContent>
                          <w:p>
                            <w:pPr>
                              <w:jc w:val="center"/>
                            </w:pPr>
                            <w:r>
                              <w:t>煎药</w:t>
                            </w:r>
                          </w:p>
                        </w:txbxContent>
                      </v:textbox>
                    </v:shape>
                  </w:pict>
                </mc:Fallback>
              </mc:AlternateContent>
            </w:r>
          </w:p>
          <w:p>
            <w:pPr>
              <w:adjustRightInd w:val="0"/>
              <w:snapToGrid w:val="0"/>
              <w:spacing w:line="360" w:lineRule="auto"/>
              <w:ind w:firstLine="422" w:firstLineChars="200"/>
              <w:jc w:val="left"/>
              <w:rPr>
                <w:rFonts w:hint="eastAsia"/>
                <w:bCs/>
                <w:szCs w:val="21"/>
              </w:rPr>
            </w:pPr>
            <w:r>
              <w:rPr>
                <w:rFonts w:hint="eastAsia" w:hAnsi="宋体"/>
                <w:b/>
                <w:bCs/>
                <w:szCs w:val="21"/>
              </w:rPr>
              <mc:AlternateContent>
                <mc:Choice Requires="wps">
                  <w:drawing>
                    <wp:anchor distT="0" distB="0" distL="114300" distR="114300" simplePos="0" relativeHeight="251707392" behindDoc="0" locked="0" layoutInCell="1" allowOverlap="1">
                      <wp:simplePos x="0" y="0"/>
                      <wp:positionH relativeFrom="column">
                        <wp:posOffset>2355850</wp:posOffset>
                      </wp:positionH>
                      <wp:positionV relativeFrom="paragraph">
                        <wp:posOffset>170815</wp:posOffset>
                      </wp:positionV>
                      <wp:extent cx="6985" cy="177165"/>
                      <wp:effectExtent l="34290" t="0" r="34925" b="13335"/>
                      <wp:wrapNone/>
                      <wp:docPr id="64" name="自选图形 14"/>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4" o:spid="_x0000_s1026" o:spt="32" type="#_x0000_t32" style="position:absolute;left:0pt;margin-left:185.5pt;margin-top:13.45pt;height:13.95pt;width:0.55pt;z-index:251707392;mso-width-relative:page;mso-height-relative:page;" filled="f" stroked="t" coordsize="21600,21600" o:gfxdata="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p6sLbAAAACQEAAA8AAAAAAAAAAQAgAAAAIgAAAGRycy9k&#10;b3ducmV2LnhtbFBLAQIUABQAAAAIAIdO4kD40hxn/wEAAOsDAAAOAAAAAAAAAAEAIAAAACoBAABk&#10;cnMvZTJvRG9jLnhtbFBLBQYAAAAABgAGAFkBAACbBQAAAAA=&#10;">
                      <v:fill on="f" focussize="0,0"/>
                      <v:stroke color="#000000" joinstyle="round" endarrow="block"/>
                      <v:imagedata o:title=""/>
                      <o:lock v:ext="edit" aspectratio="f"/>
                    </v:shape>
                  </w:pict>
                </mc:Fallback>
              </mc:AlternateContent>
            </w:r>
            <w:r>
              <w:rPr>
                <w:rFonts w:hint="eastAsia" w:hAnsi="宋体"/>
                <w:b/>
                <w:bCs/>
                <w:szCs w:val="21"/>
              </w:rPr>
              <mc:AlternateContent>
                <mc:Choice Requires="wps">
                  <w:drawing>
                    <wp:anchor distT="0" distB="0" distL="114300" distR="114300" simplePos="0" relativeHeight="251710464" behindDoc="0" locked="0" layoutInCell="1" allowOverlap="1">
                      <wp:simplePos x="0" y="0"/>
                      <wp:positionH relativeFrom="column">
                        <wp:posOffset>2767965</wp:posOffset>
                      </wp:positionH>
                      <wp:positionV relativeFrom="paragraph">
                        <wp:posOffset>15240</wp:posOffset>
                      </wp:positionV>
                      <wp:extent cx="389255" cy="0"/>
                      <wp:effectExtent l="0" t="38100" r="10795" b="38100"/>
                      <wp:wrapNone/>
                      <wp:docPr id="67" name="自选图形 15"/>
                      <wp:cNvGraphicFramePr/>
                      <a:graphic xmlns:a="http://schemas.openxmlformats.org/drawingml/2006/main">
                        <a:graphicData uri="http://schemas.microsoft.com/office/word/2010/wordprocessingShape">
                          <wps:wsp>
                            <wps:cNvCnPr/>
                            <wps:spPr>
                              <a:xfrm>
                                <a:off x="0" y="0"/>
                                <a:ext cx="38925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15" o:spid="_x0000_s1026" o:spt="32" type="#_x0000_t32" style="position:absolute;left:0pt;margin-left:217.95pt;margin-top:1.2pt;height:0pt;width:30.65pt;z-index:251710464;mso-width-relative:page;mso-height-relative:page;" filled="f" stroked="t" coordsize="21600,21600" o:gfxdata="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p+l3TXAAAABwEAAA8AAAAAAAAAAQAgAAAAIgAAAGRycy9kb3ducmV2&#10;LnhtbFBLAQIUABQAAAAIAIdO4kChvYVa/QEAAOgDAAAOAAAAAAAAAAEAIAAAACYBAABkcnMvZTJv&#10;RG9jLnhtbFBLBQYAAAAABgAGAFkBAACVBQAAAAA=&#10;">
                      <v:fill on="f" focussize="0,0"/>
                      <v:stroke color="#000000" joinstyle="round" endarrow="block"/>
                      <v:imagedata o:title=""/>
                      <o:lock v:ext="edit" aspectratio="f"/>
                    </v:shape>
                  </w:pict>
                </mc:Fallback>
              </mc:AlternateContent>
            </w:r>
          </w:p>
          <w:p>
            <w:pPr>
              <w:adjustRightInd w:val="0"/>
              <w:snapToGrid w:val="0"/>
              <w:spacing w:line="360" w:lineRule="auto"/>
              <w:ind w:firstLine="422" w:firstLineChars="200"/>
              <w:jc w:val="left"/>
              <w:rPr>
                <w:rFonts w:hint="eastAsia"/>
                <w:bCs/>
                <w:szCs w:val="21"/>
              </w:rPr>
            </w:pPr>
            <w:r>
              <w:rPr>
                <w:rFonts w:hint="eastAsia" w:hAnsi="宋体"/>
                <w:b/>
                <w:bCs/>
                <w:szCs w:val="21"/>
              </w:rPr>
              <mc:AlternateContent>
                <mc:Choice Requires="wps">
                  <w:drawing>
                    <wp:anchor distT="0" distB="0" distL="114300" distR="114300" simplePos="0" relativeHeight="251715584" behindDoc="0" locked="0" layoutInCell="1" allowOverlap="1">
                      <wp:simplePos x="0" y="0"/>
                      <wp:positionH relativeFrom="column">
                        <wp:posOffset>716280</wp:posOffset>
                      </wp:positionH>
                      <wp:positionV relativeFrom="paragraph">
                        <wp:posOffset>135255</wp:posOffset>
                      </wp:positionV>
                      <wp:extent cx="925830" cy="293370"/>
                      <wp:effectExtent l="0" t="0" r="0" b="0"/>
                      <wp:wrapNone/>
                      <wp:docPr id="72" name="文本框 16"/>
                      <wp:cNvGraphicFramePr/>
                      <a:graphic xmlns:a="http://schemas.openxmlformats.org/drawingml/2006/main">
                        <a:graphicData uri="http://schemas.microsoft.com/office/word/2010/wordprocessingShape">
                          <wps:wsp>
                            <wps:cNvSpPr txBox="1"/>
                            <wps:spPr>
                              <a:xfrm>
                                <a:off x="0" y="0"/>
                                <a:ext cx="925830" cy="293370"/>
                              </a:xfrm>
                              <a:prstGeom prst="rect">
                                <a:avLst/>
                              </a:prstGeom>
                              <a:noFill/>
                              <a:ln>
                                <a:noFill/>
                              </a:ln>
                            </wps:spPr>
                            <wps:txbx>
                              <w:txbxContent>
                                <w:p>
                                  <w:r>
                                    <w:rPr>
                                      <w:rFonts w:hint="eastAsia"/>
                                    </w:rPr>
                                    <w:t>废水、固废</w:t>
                                  </w:r>
                                </w:p>
                              </w:txbxContent>
                            </wps:txbx>
                            <wps:bodyPr upright="1"/>
                          </wps:wsp>
                        </a:graphicData>
                      </a:graphic>
                    </wp:anchor>
                  </w:drawing>
                </mc:Choice>
                <mc:Fallback>
                  <w:pict>
                    <v:shape id="文本框 16" o:spid="_x0000_s1026" o:spt="202" type="#_x0000_t202" style="position:absolute;left:0pt;margin-left:56.4pt;margin-top:10.65pt;height:23.1pt;width:72.9pt;z-index:251715584;mso-width-relative:page;mso-height-relative:page;" filled="f" stroked="f" coordsize="21600,21600" o:gfxdata="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fpH1DX&#10;AAAACQEAAA8AAAAAAAAAAQAgAAAAIgAAAGRycy9kb3ducmV2LnhtbFBLAQIUABQAAAAIAIdO4kBH&#10;bgLurwEAAE8DAAAOAAAAAAAAAAEAIAAAACYBAABkcnMvZTJvRG9jLnhtbFBLBQYAAAAABgAGAFkB&#10;AABHBQAAAAA=&#10;">
                      <v:fill on="f" focussize="0,0"/>
                      <v:stroke on="f"/>
                      <v:imagedata o:title=""/>
                      <o:lock v:ext="edit" aspectratio="f"/>
                      <v:textbox>
                        <w:txbxContent>
                          <w:p>
                            <w:r>
                              <w:rPr>
                                <w:rFonts w:hint="eastAsia"/>
                              </w:rPr>
                              <w:t>废水、固废</w:t>
                            </w:r>
                          </w:p>
                        </w:txbxContent>
                      </v:textbox>
                    </v:shape>
                  </w:pict>
                </mc:Fallback>
              </mc:AlternateContent>
            </w:r>
            <w:r>
              <w:rPr>
                <w:rFonts w:hint="eastAsia" w:hAnsi="宋体"/>
                <w:b/>
                <w:bCs/>
                <w:szCs w:val="21"/>
              </w:rPr>
              <mc:AlternateContent>
                <mc:Choice Requires="wps">
                  <w:drawing>
                    <wp:anchor distT="0" distB="0" distL="114300" distR="114300" simplePos="0" relativeHeight="251706368" behindDoc="0" locked="0" layoutInCell="1" allowOverlap="1">
                      <wp:simplePos x="0" y="0"/>
                      <wp:positionH relativeFrom="column">
                        <wp:posOffset>1987550</wp:posOffset>
                      </wp:positionH>
                      <wp:positionV relativeFrom="paragraph">
                        <wp:posOffset>116840</wp:posOffset>
                      </wp:positionV>
                      <wp:extent cx="742315" cy="278130"/>
                      <wp:effectExtent l="4445" t="4445" r="15240" b="22225"/>
                      <wp:wrapNone/>
                      <wp:docPr id="63" name="文本框 17"/>
                      <wp:cNvGraphicFramePr/>
                      <a:graphic xmlns:a="http://schemas.openxmlformats.org/drawingml/2006/main">
                        <a:graphicData uri="http://schemas.microsoft.com/office/word/2010/wordprocessingShape">
                          <wps:wsp>
                            <wps:cNvSpPr txBox="1"/>
                            <wps:spPr>
                              <a:xfrm>
                                <a:off x="0" y="0"/>
                                <a:ext cx="74231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放药</w:t>
                                  </w:r>
                                </w:p>
                              </w:txbxContent>
                            </wps:txbx>
                            <wps:bodyPr upright="1"/>
                          </wps:wsp>
                        </a:graphicData>
                      </a:graphic>
                    </wp:anchor>
                  </w:drawing>
                </mc:Choice>
                <mc:Fallback>
                  <w:pict>
                    <v:shape id="文本框 17" o:spid="_x0000_s1026" o:spt="202" type="#_x0000_t202" style="position:absolute;left:0pt;margin-left:156.5pt;margin-top:9.2pt;height:21.9pt;width:58.45pt;z-index:251706368;mso-width-relative:page;mso-height-relative:page;" fillcolor="#FFFFFF" filled="t" stroked="t" coordsize="21600,21600" o:gfxdata="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OZA2fYAAAACQEAAA8AAAAAAAAAAQAg&#10;AAAAIgAAAGRycy9kb3ducmV2LnhtbFBLAQIUABQAAAAIAIdO4kBe33RjDgIAADcEAAAOAAAAAAAA&#10;AAEAIAAAACcBAABkcnMvZTJvRG9jLnhtbFBLBQYAAAAABgAGAFkBAACnBQAAAAA=&#10;">
                      <v:fill on="t" focussize="0,0"/>
                      <v:stroke color="#000000" joinstyle="miter"/>
                      <v:imagedata o:title=""/>
                      <o:lock v:ext="edit" aspectratio="f"/>
                      <v:textbox>
                        <w:txbxContent>
                          <w:p>
                            <w:pPr>
                              <w:jc w:val="center"/>
                            </w:pPr>
                            <w:r>
                              <w:rPr>
                                <w:rFonts w:hint="eastAsia"/>
                              </w:rPr>
                              <w:t>放药</w:t>
                            </w:r>
                          </w:p>
                        </w:txbxContent>
                      </v:textbox>
                    </v:shape>
                  </w:pict>
                </mc:Fallback>
              </mc:AlternateContent>
            </w:r>
          </w:p>
          <w:p>
            <w:pPr>
              <w:adjustRightInd w:val="0"/>
              <w:snapToGrid w:val="0"/>
              <w:spacing w:line="360" w:lineRule="auto"/>
              <w:ind w:firstLine="422" w:firstLineChars="200"/>
              <w:jc w:val="left"/>
              <w:rPr>
                <w:rFonts w:hint="eastAsia"/>
                <w:bCs/>
                <w:szCs w:val="21"/>
              </w:rPr>
            </w:pPr>
            <w:r>
              <w:rPr>
                <w:rFonts w:hint="eastAsia" w:hAnsi="宋体"/>
                <w:b/>
                <w:bCs/>
                <w:szCs w:val="21"/>
              </w:rPr>
              <mc:AlternateContent>
                <mc:Choice Requires="wps">
                  <w:drawing>
                    <wp:anchor distT="0" distB="0" distL="114300" distR="114300" simplePos="0" relativeHeight="251714560" behindDoc="0" locked="0" layoutInCell="1" allowOverlap="1">
                      <wp:simplePos x="0" y="0"/>
                      <wp:positionH relativeFrom="column">
                        <wp:posOffset>1682115</wp:posOffset>
                      </wp:positionH>
                      <wp:positionV relativeFrom="paragraph">
                        <wp:posOffset>45085</wp:posOffset>
                      </wp:positionV>
                      <wp:extent cx="295910" cy="0"/>
                      <wp:effectExtent l="0" t="48895" r="8890" b="65405"/>
                      <wp:wrapNone/>
                      <wp:docPr id="71" name="自选图形 19"/>
                      <wp:cNvGraphicFramePr/>
                      <a:graphic xmlns:a="http://schemas.openxmlformats.org/drawingml/2006/main">
                        <a:graphicData uri="http://schemas.microsoft.com/office/word/2010/wordprocessingShape">
                          <wps:wsp>
                            <wps:cNvCnPr/>
                            <wps:spPr>
                              <a:xfrm flipH="1">
                                <a:off x="0" y="0"/>
                                <a:ext cx="295910" cy="0"/>
                              </a:xfrm>
                              <a:prstGeom prst="straightConnector1">
                                <a:avLst/>
                              </a:prstGeom>
                              <a:ln w="9525" cap="flat" cmpd="sng">
                                <a:solidFill>
                                  <a:srgbClr val="000000"/>
                                </a:solidFill>
                                <a:prstDash val="dashDot"/>
                                <a:headEnd type="none" w="med" len="med"/>
                                <a:tailEnd type="arrow" w="med" len="med"/>
                              </a:ln>
                            </wps:spPr>
                            <wps:bodyPr/>
                          </wps:wsp>
                        </a:graphicData>
                      </a:graphic>
                    </wp:anchor>
                  </w:drawing>
                </mc:Choice>
                <mc:Fallback>
                  <w:pict>
                    <v:shape id="自选图形 19" o:spid="_x0000_s1026" o:spt="32" type="#_x0000_t32" style="position:absolute;left:0pt;flip:x;margin-left:132.45pt;margin-top:3.55pt;height:0pt;width:23.3pt;z-index:251714560;mso-width-relative:page;mso-height-relative:page;" filled="f" stroked="t" coordsize="21600,21600" o:gfxdata="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mQQX7VAAAABwEAAA8AAAAAAAAAAQAgAAAAIgAAAGRycy9k&#10;b3ducmV2LnhtbFBLAQIUABQAAAAIAIdO4kD5rrT4BQIAAPEDAAAOAAAAAAAAAAEAIAAAACQBAABk&#10;cnMvZTJvRG9jLnhtbFBLBQYAAAAABgAGAFkBAACbBQAAAAA=&#10;">
                      <v:fill on="f" focussize="0,0"/>
                      <v:stroke color="#000000" joinstyle="round" dashstyle="dashDot" endarrow="open"/>
                      <v:imagedata o:title=""/>
                      <o:lock v:ext="edit" aspectratio="f"/>
                    </v:shape>
                  </w:pict>
                </mc:Fallback>
              </mc:AlternateContent>
            </w:r>
            <w:r>
              <w:rPr>
                <w:rFonts w:hint="eastAsia" w:hAnsi="宋体"/>
                <w:b/>
                <w:bCs/>
                <w:szCs w:val="21"/>
              </w:rPr>
              <mc:AlternateContent>
                <mc:Choice Requires="wps">
                  <w:drawing>
                    <wp:anchor distT="0" distB="0" distL="114300" distR="114300" simplePos="0" relativeHeight="251709440" behindDoc="0" locked="0" layoutInCell="1" allowOverlap="1">
                      <wp:simplePos x="0" y="0"/>
                      <wp:positionH relativeFrom="column">
                        <wp:posOffset>2384425</wp:posOffset>
                      </wp:positionH>
                      <wp:positionV relativeFrom="paragraph">
                        <wp:posOffset>173990</wp:posOffset>
                      </wp:positionV>
                      <wp:extent cx="6985" cy="177165"/>
                      <wp:effectExtent l="34290" t="0" r="34925" b="13335"/>
                      <wp:wrapNone/>
                      <wp:docPr id="66" name="自选图形 20"/>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0" o:spid="_x0000_s1026" o:spt="32" type="#_x0000_t32" style="position:absolute;left:0pt;margin-left:187.75pt;margin-top:13.7pt;height:13.95pt;width:0.55pt;z-index:251709440;mso-width-relative:page;mso-height-relative:page;" filled="f" stroked="t" coordsize="21600,21600" o:gfxdata="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K6NL5doAAAAJAQAADwAAAAAAAAABACAAAAAiAAAAZHJzL2Rvd25y&#10;ZXYueG1sUEsBAhQAFAAAAAgAh07iQIQo1I38AQAA6wMAAA4AAAAAAAAAAQAgAAAAKQEAAGRycy9l&#10;Mm9Eb2MueG1sUEsFBgAAAAAGAAYAWQEAAJcFAAAAAA==&#10;">
                      <v:fill on="f" focussize="0,0"/>
                      <v:stroke color="#000000" joinstyle="round" endarrow="block"/>
                      <v:imagedata o:title=""/>
                      <o:lock v:ext="edit" aspectratio="f"/>
                    </v:shape>
                  </w:pict>
                </mc:Fallback>
              </mc:AlternateContent>
            </w:r>
          </w:p>
          <w:p>
            <w:pPr>
              <w:adjustRightInd w:val="0"/>
              <w:snapToGrid w:val="0"/>
              <w:spacing w:line="360" w:lineRule="auto"/>
              <w:ind w:firstLine="422" w:firstLineChars="200"/>
              <w:jc w:val="left"/>
              <w:rPr>
                <w:rFonts w:hint="eastAsia"/>
                <w:bCs/>
                <w:szCs w:val="21"/>
                <w:lang w:val="en-US" w:eastAsia="zh-CN"/>
              </w:rPr>
            </w:pPr>
            <w:r>
              <w:rPr>
                <w:rFonts w:hint="eastAsia" w:hAnsi="宋体"/>
                <w:b/>
                <w:bCs/>
                <w:szCs w:val="21"/>
              </w:rPr>
              <mc:AlternateContent>
                <mc:Choice Requires="wps">
                  <w:drawing>
                    <wp:anchor distT="0" distB="0" distL="114300" distR="114300" simplePos="0" relativeHeight="251708416" behindDoc="0" locked="0" layoutInCell="1" allowOverlap="1">
                      <wp:simplePos x="0" y="0"/>
                      <wp:positionH relativeFrom="column">
                        <wp:posOffset>1978025</wp:posOffset>
                      </wp:positionH>
                      <wp:positionV relativeFrom="paragraph">
                        <wp:posOffset>111760</wp:posOffset>
                      </wp:positionV>
                      <wp:extent cx="742315" cy="278130"/>
                      <wp:effectExtent l="4445" t="4445" r="15240" b="22225"/>
                      <wp:wrapNone/>
                      <wp:docPr id="65" name="文本框 21"/>
                      <wp:cNvGraphicFramePr/>
                      <a:graphic xmlns:a="http://schemas.openxmlformats.org/drawingml/2006/main">
                        <a:graphicData uri="http://schemas.microsoft.com/office/word/2010/wordprocessingShape">
                          <wps:wsp>
                            <wps:cNvSpPr txBox="1"/>
                            <wps:spPr>
                              <a:xfrm>
                                <a:off x="0" y="0"/>
                                <a:ext cx="74231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煎药包装</w:t>
                                  </w:r>
                                </w:p>
                              </w:txbxContent>
                            </wps:txbx>
                            <wps:bodyPr upright="1"/>
                          </wps:wsp>
                        </a:graphicData>
                      </a:graphic>
                    </wp:anchor>
                  </w:drawing>
                </mc:Choice>
                <mc:Fallback>
                  <w:pict>
                    <v:shape id="文本框 21" o:spid="_x0000_s1026" o:spt="202" type="#_x0000_t202" style="position:absolute;left:0pt;margin-left:155.75pt;margin-top:8.8pt;height:21.9pt;width:58.45pt;z-index:251708416;mso-width-relative:page;mso-height-relative:page;" fillcolor="#FFFFFF" filled="t" stroked="t" coordsize="21600,21600" o:gfxdata="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QYF2e2QAAAAkBAAAPAAAAAAAAAAEA&#10;IAAAACIAAABkcnMvZG93bnJldi54bWxQSwECFAAUAAAACACHTuJAHCcg/A4CAAA3BAAADgAAAAAA&#10;AAABACAAAAAoAQAAZHJzL2Uyb0RvYy54bWxQSwUGAAAAAAYABgBZAQAAqAUAAAAA&#10;">
                      <v:fill on="t" focussize="0,0"/>
                      <v:stroke color="#000000" joinstyle="miter"/>
                      <v:imagedata o:title=""/>
                      <o:lock v:ext="edit" aspectratio="f"/>
                      <v:textbox>
                        <w:txbxContent>
                          <w:p>
                            <w:pPr>
                              <w:jc w:val="center"/>
                            </w:pPr>
                            <w:r>
                              <w:rPr>
                                <w:rFonts w:hint="eastAsia"/>
                              </w:rPr>
                              <w:t>煎药包装</w:t>
                            </w:r>
                          </w:p>
                        </w:txbxContent>
                      </v:textbox>
                    </v:shape>
                  </w:pict>
                </mc:Fallback>
              </mc:AlternateContent>
            </w:r>
          </w:p>
          <w:p>
            <w:pPr>
              <w:pStyle w:val="13"/>
              <w:rPr>
                <w:rFonts w:hint="eastAsia"/>
                <w:bCs/>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bCs/>
                <w:szCs w:val="21"/>
              </w:rPr>
            </w:pPr>
            <w:r>
              <w:rPr>
                <w:rFonts w:hint="default" w:ascii="Times New Roman" w:hAnsi="Times New Roman" w:eastAsia="宋体" w:cs="Times New Roman"/>
                <w:b/>
                <w:bCs/>
                <w:color w:val="auto"/>
                <w:sz w:val="24"/>
              </w:rPr>
              <w:t>图2-</w:t>
            </w:r>
            <w:r>
              <w:rPr>
                <w:rFonts w:hint="eastAsia" w:ascii="Times New Roman" w:hAnsi="Times New Roman" w:eastAsia="宋体" w:cs="Times New Roman"/>
                <w:b/>
                <w:bCs/>
                <w:color w:val="auto"/>
                <w:sz w:val="24"/>
                <w:lang w:val="en-US" w:eastAsia="zh-CN"/>
              </w:rPr>
              <w:t>4  人工煎药</w:t>
            </w:r>
            <w:r>
              <w:rPr>
                <w:rFonts w:hint="eastAsia" w:ascii="Times New Roman" w:hAnsi="Times New Roman" w:eastAsia="宋体" w:cs="Times New Roman"/>
                <w:b/>
                <w:bCs/>
                <w:color w:val="auto"/>
                <w:sz w:val="24"/>
              </w:rPr>
              <w:t>工艺流程图</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0"/>
                <w:lang w:val="en-US" w:eastAsia="zh-CN" w:bidi="ar-SA"/>
              </w:rPr>
            </w:pP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人工煎药工艺流程说明：</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配料：饮片进厂后，根据医院开的处方，调剂员配料（有些大块饮片和种子类饮片需轧扁机轧变成小块易煎）后装包。</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复核：复核人员按照处方要求，逐味核对所配饮片，核对完毕后流转下一工序。</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浸药：根据药袋大小加入饮用水，要求水浸没药袋5cm，浸药时间不低于30分钟，浸药水直接倒入煎药机中，故无废水排放。</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煎药：煎药温度120℃，煎煮时间为60分钟，煎药在密闭煎药机中进行。煎药锅需进行清洗。</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放药：煎药完成后，挤压药袋，将药液充分排出，药液充分排出后打开煎药机的排气阀排气，药袋收集后放入铜锅中，蒸发其水分后当做固废处理。</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0"/>
                <w:lang w:val="en-US" w:eastAsia="zh-CN" w:bidi="ar-SA"/>
              </w:rPr>
            </w:pPr>
            <w:r>
              <w:rPr>
                <w:rFonts w:hint="eastAsia" w:ascii="Times New Roman" w:hAnsi="Times New Roman" w:eastAsia="宋体" w:cs="Times New Roman"/>
                <w:color w:val="auto"/>
                <w:kern w:val="0"/>
                <w:sz w:val="24"/>
                <w:szCs w:val="20"/>
                <w:lang w:val="en-US" w:eastAsia="zh-CN" w:bidi="ar-SA"/>
              </w:rPr>
              <w:t>煎药包装：将煎好的药液倒入常压煎药包装一体机，封包成小袋。</w:t>
            </w:r>
          </w:p>
          <w:p>
            <w:pPr>
              <w:adjustRightInd w:val="0"/>
              <w:snapToGrid w:val="0"/>
              <w:spacing w:line="360" w:lineRule="auto"/>
              <w:ind w:firstLine="420" w:firstLineChars="200"/>
              <w:jc w:val="left"/>
              <w:rPr>
                <w:rFonts w:hint="eastAsia"/>
                <w:bCs/>
                <w:szCs w:val="21"/>
              </w:rPr>
            </w:pPr>
          </w:p>
          <w:p>
            <w:pPr>
              <w:pStyle w:val="13"/>
              <w:rPr>
                <w:rFonts w:hint="eastAsia"/>
              </w:rPr>
            </w:pPr>
          </w:p>
          <w:p>
            <w:pPr>
              <w:pStyle w:val="13"/>
              <w:rPr>
                <w:rFonts w:hint="eastAsia"/>
              </w:rPr>
            </w:pPr>
          </w:p>
          <w:p>
            <w:pPr>
              <w:pStyle w:val="13"/>
              <w:rPr>
                <w:rFonts w:hint="eastAsia"/>
              </w:rPr>
            </w:pPr>
          </w:p>
          <w:p>
            <w:pPr>
              <w:pStyle w:val="13"/>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06" w:firstLineChars="200"/>
              <w:jc w:val="both"/>
              <w:textAlignment w:val="auto"/>
              <w:rPr>
                <w:rFonts w:hint="default" w:ascii="Times New Roman" w:hAnsi="Times New Roman" w:eastAsia="宋体" w:cs="Times New Roman"/>
                <w:b/>
                <w:bCs/>
                <w:color w:val="auto"/>
                <w:spacing w:val="6"/>
                <w:sz w:val="24"/>
              </w:rPr>
            </w:pPr>
            <w:r>
              <w:rPr>
                <w:rFonts w:hint="eastAsia" w:cs="Times New Roman"/>
                <w:b/>
                <w:bCs/>
                <w:color w:val="auto"/>
                <w:spacing w:val="6"/>
                <w:kern w:val="2"/>
                <w:sz w:val="24"/>
                <w:szCs w:val="24"/>
                <w:lang w:val="en-US" w:eastAsia="zh-CN" w:bidi="ar-SA"/>
              </w:rPr>
              <w:t>3、</w:t>
            </w:r>
            <w:r>
              <w:rPr>
                <w:rFonts w:hint="eastAsia" w:ascii="Times New Roman" w:hAnsi="Times New Roman" w:eastAsia="宋体" w:cs="Times New Roman"/>
                <w:b/>
                <w:bCs/>
                <w:color w:val="auto"/>
                <w:spacing w:val="6"/>
                <w:kern w:val="2"/>
                <w:sz w:val="24"/>
                <w:szCs w:val="24"/>
                <w:lang w:val="en-US" w:eastAsia="zh-CN" w:bidi="ar-SA"/>
              </w:rPr>
              <w:t>中药散剂工艺流程</w:t>
            </w:r>
            <w:r>
              <w:rPr>
                <w:rFonts w:hint="default" w:ascii="Times New Roman" w:hAnsi="Times New Roman" w:eastAsia="宋体" w:cs="Times New Roman"/>
                <w:b/>
                <w:bCs/>
                <w:color w:val="auto"/>
                <w:spacing w:val="6"/>
                <w:sz w:val="24"/>
              </w:rPr>
              <w:t>简述及产污环节</w:t>
            </w:r>
          </w:p>
          <w:p>
            <w:pPr>
              <w:adjustRightInd w:val="0"/>
              <w:snapToGrid w:val="0"/>
              <w:spacing w:line="360" w:lineRule="auto"/>
              <w:ind w:firstLine="422" w:firstLineChars="200"/>
              <w:jc w:val="left"/>
              <w:rPr>
                <w:rFonts w:hint="eastAsia"/>
                <w:bCs/>
                <w:szCs w:val="21"/>
              </w:rPr>
            </w:pPr>
            <w:r>
              <w:rPr>
                <w:rFonts w:hint="eastAsia" w:hAnsi="宋体"/>
                <w:b/>
                <w:bCs/>
                <w:szCs w:val="21"/>
              </w:rPr>
              <mc:AlternateContent>
                <mc:Choice Requires="wps">
                  <w:drawing>
                    <wp:anchor distT="0" distB="0" distL="114300" distR="114300" simplePos="0" relativeHeight="251788288" behindDoc="0" locked="0" layoutInCell="1" allowOverlap="1">
                      <wp:simplePos x="0" y="0"/>
                      <wp:positionH relativeFrom="column">
                        <wp:posOffset>2416810</wp:posOffset>
                      </wp:positionH>
                      <wp:positionV relativeFrom="paragraph">
                        <wp:posOffset>1367790</wp:posOffset>
                      </wp:positionV>
                      <wp:extent cx="6985" cy="177165"/>
                      <wp:effectExtent l="34290" t="0" r="34925" b="5715"/>
                      <wp:wrapNone/>
                      <wp:docPr id="55" name="自选图形 293"/>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3" o:spid="_x0000_s1026" o:spt="32" type="#_x0000_t32" style="position:absolute;left:0pt;margin-left:190.3pt;margin-top:107.7pt;height:13.95pt;width:0.55pt;z-index:251788288;mso-width-relative:page;mso-height-relative:page;" filled="f" stroked="t" coordsize="21600,21600" o:gfxdata="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SaTH3AAAAAsBAAAPAAAAAAAAAAEAIAAAACIAAABkcnMv&#10;ZG93bnJldi54bWxQSwECFAAUAAAACACHTuJAcd/qQP8BAADsAwAADgAAAAAAAAABACAAAAArAQAA&#10;ZHJzL2Uyb0RvYy54bWxQSwUGAAAAAAYABgBZAQAAnAUAAAAA&#10;">
                      <v:fill on="f" focussize="0,0"/>
                      <v:stroke color="#000000" joinstyle="round" endarrow="block"/>
                      <v:imagedata o:title=""/>
                      <o:lock v:ext="edit" aspectratio="f"/>
                    </v:shape>
                  </w:pict>
                </mc:Fallback>
              </mc:AlternateContent>
            </w:r>
            <w:r>
              <w:rPr>
                <w:rFonts w:hint="eastAsia" w:hAnsi="宋体"/>
                <w:b/>
                <w:bCs/>
                <w:szCs w:val="21"/>
              </w:rPr>
              <mc:AlternateContent>
                <mc:Choice Requires="wps">
                  <w:drawing>
                    <wp:anchor distT="0" distB="0" distL="114300" distR="114300" simplePos="0" relativeHeight="251787264" behindDoc="0" locked="0" layoutInCell="1" allowOverlap="1">
                      <wp:simplePos x="0" y="0"/>
                      <wp:positionH relativeFrom="column">
                        <wp:posOffset>2402840</wp:posOffset>
                      </wp:positionH>
                      <wp:positionV relativeFrom="paragraph">
                        <wp:posOffset>917575</wp:posOffset>
                      </wp:positionV>
                      <wp:extent cx="6985" cy="177165"/>
                      <wp:effectExtent l="34290" t="0" r="34925" b="5715"/>
                      <wp:wrapNone/>
                      <wp:docPr id="54" name="自选图形 292"/>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2" o:spid="_x0000_s1026" o:spt="32" type="#_x0000_t32" style="position:absolute;left:0pt;margin-left:189.2pt;margin-top:72.25pt;height:13.95pt;width:0.55pt;z-index:251787264;mso-width-relative:page;mso-height-relative:page;" filled="f" stroked="t" coordsize="21600,21600" o:gfxdata="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6EyhtwAAAALAQAADwAAAAAAAAABACAAAAAiAAAAZHJz&#10;L2Rvd25yZXYueG1sUEsBAhQAFAAAAAgAh07iQPKWPNAAAgAA7AMAAA4AAAAAAAAAAQAgAAAAKwEA&#10;AGRycy9lMm9Eb2MueG1sUEsFBgAAAAAGAAYAWQEAAJ0FAAAAAA==&#10;">
                      <v:fill on="f" focussize="0,0"/>
                      <v:stroke color="#000000" joinstyle="round" endarrow="block"/>
                      <v:imagedata o:title=""/>
                      <o:lock v:ext="edit" aspectratio="f"/>
                    </v:shape>
                  </w:pict>
                </mc:Fallback>
              </mc:AlternateContent>
            </w:r>
            <w:r>
              <w:rPr>
                <w:rFonts w:hint="eastAsia" w:hAnsi="宋体"/>
                <w:b/>
                <w:bCs/>
                <w:szCs w:val="21"/>
              </w:rPr>
              <mc:AlternateContent>
                <mc:Choice Requires="wps">
                  <w:drawing>
                    <wp:anchor distT="0" distB="0" distL="114300" distR="114300" simplePos="0" relativeHeight="251786240" behindDoc="0" locked="0" layoutInCell="1" allowOverlap="1">
                      <wp:simplePos x="0" y="0"/>
                      <wp:positionH relativeFrom="column">
                        <wp:posOffset>2409825</wp:posOffset>
                      </wp:positionH>
                      <wp:positionV relativeFrom="paragraph">
                        <wp:posOffset>440055</wp:posOffset>
                      </wp:positionV>
                      <wp:extent cx="6985" cy="177165"/>
                      <wp:effectExtent l="34290" t="0" r="34925" b="5715"/>
                      <wp:wrapNone/>
                      <wp:docPr id="53" name="自选图形 291"/>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1" o:spid="_x0000_s1026" o:spt="32" type="#_x0000_t32" style="position:absolute;left:0pt;margin-left:189.75pt;margin-top:34.65pt;height:13.95pt;width:0.55pt;z-index:251786240;mso-width-relative:page;mso-height-relative:page;" filled="f" stroked="t" coordsize="21600,21600" o:gfxdata="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bSMG2wAAAAkBAAAPAAAAAAAAAAEAIAAAACIAAABkcnMv&#10;ZG93bnJldi54bWxQSwECFAAUAAAACACHTuJAn4qQoAACAADsAwAADgAAAAAAAAABACAAAAAqAQAA&#10;ZHJzL2Uyb0RvYy54bWxQSwUGAAAAAAYABgBZAQAAnAUAAAAA&#10;">
                      <v:fill on="f" focussize="0,0"/>
                      <v:stroke color="#000000" joinstyle="round" endarrow="block"/>
                      <v:imagedata o:title=""/>
                      <o:lock v:ext="edit" aspectratio="f"/>
                    </v:shape>
                  </w:pict>
                </mc:Fallback>
              </mc:AlternateContent>
            </w:r>
            <w:r>
              <w:rPr>
                <w:rFonts w:hint="eastAsia" w:hAnsi="宋体"/>
                <w:b/>
                <w:bCs/>
                <w:szCs w:val="21"/>
              </w:rPr>
              <mc:AlternateContent>
                <mc:Choice Requires="wps">
                  <w:drawing>
                    <wp:anchor distT="0" distB="0" distL="114300" distR="114300" simplePos="0" relativeHeight="251785216" behindDoc="0" locked="0" layoutInCell="1" allowOverlap="1">
                      <wp:simplePos x="0" y="0"/>
                      <wp:positionH relativeFrom="column">
                        <wp:posOffset>2029460</wp:posOffset>
                      </wp:positionH>
                      <wp:positionV relativeFrom="paragraph">
                        <wp:posOffset>1524635</wp:posOffset>
                      </wp:positionV>
                      <wp:extent cx="742315" cy="278130"/>
                      <wp:effectExtent l="4445" t="4445" r="15240" b="6985"/>
                      <wp:wrapNone/>
                      <wp:docPr id="52" name="文本框 290"/>
                      <wp:cNvGraphicFramePr/>
                      <a:graphic xmlns:a="http://schemas.openxmlformats.org/drawingml/2006/main">
                        <a:graphicData uri="http://schemas.microsoft.com/office/word/2010/wordprocessingShape">
                          <wps:wsp>
                            <wps:cNvSpPr txBox="1"/>
                            <wps:spPr>
                              <a:xfrm>
                                <a:off x="0" y="0"/>
                                <a:ext cx="74231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混合</w:t>
                                  </w:r>
                                </w:p>
                              </w:txbxContent>
                            </wps:txbx>
                            <wps:bodyPr upright="1"/>
                          </wps:wsp>
                        </a:graphicData>
                      </a:graphic>
                    </wp:anchor>
                  </w:drawing>
                </mc:Choice>
                <mc:Fallback>
                  <w:pict>
                    <v:shape id="文本框 290" o:spid="_x0000_s1026" o:spt="202" type="#_x0000_t202" style="position:absolute;left:0pt;margin-left:159.8pt;margin-top:120.05pt;height:21.9pt;width:58.45pt;z-index:251785216;mso-width-relative:page;mso-height-relative:page;" fillcolor="#FFFFFF" filled="t" stroked="t" coordsize="21600,21600" o:gfxdata="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miyTtoAAAALAQAADwAAAAAAAAAB&#10;ACAAAAAiAAAAZHJzL2Rvd25yZXYueG1sUEsBAhQAFAAAAAgAh07iQIioD4kOAgAAOAQAAA4AAAAA&#10;AAAAAQAgAAAAKQEAAGRycy9lMm9Eb2MueG1sUEsFBgAAAAAGAAYAWQEAAKkF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混合</w:t>
                            </w:r>
                          </w:p>
                        </w:txbxContent>
                      </v:textbox>
                    </v:shape>
                  </w:pict>
                </mc:Fallback>
              </mc:AlternateContent>
            </w:r>
            <w:r>
              <w:rPr>
                <w:rFonts w:hint="eastAsia" w:hAnsi="宋体"/>
                <w:b/>
                <w:bCs/>
                <w:szCs w:val="21"/>
              </w:rPr>
              <mc:AlternateContent>
                <mc:Choice Requires="wps">
                  <w:drawing>
                    <wp:anchor distT="0" distB="0" distL="114300" distR="114300" simplePos="0" relativeHeight="251784192" behindDoc="0" locked="0" layoutInCell="1" allowOverlap="1">
                      <wp:simplePos x="0" y="0"/>
                      <wp:positionH relativeFrom="column">
                        <wp:posOffset>2014855</wp:posOffset>
                      </wp:positionH>
                      <wp:positionV relativeFrom="paragraph">
                        <wp:posOffset>1067435</wp:posOffset>
                      </wp:positionV>
                      <wp:extent cx="756920" cy="300355"/>
                      <wp:effectExtent l="4445" t="5080" r="15875" b="14605"/>
                      <wp:wrapNone/>
                      <wp:docPr id="51" name="文本框 289"/>
                      <wp:cNvGraphicFramePr/>
                      <a:graphic xmlns:a="http://schemas.openxmlformats.org/drawingml/2006/main">
                        <a:graphicData uri="http://schemas.microsoft.com/office/word/2010/wordprocessingShape">
                          <wps:wsp>
                            <wps:cNvSpPr txBox="1"/>
                            <wps:spPr>
                              <a:xfrm>
                                <a:off x="0" y="0"/>
                                <a:ext cx="756920" cy="300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过筛</w:t>
                                  </w:r>
                                </w:p>
                              </w:txbxContent>
                            </wps:txbx>
                            <wps:bodyPr upright="1"/>
                          </wps:wsp>
                        </a:graphicData>
                      </a:graphic>
                    </wp:anchor>
                  </w:drawing>
                </mc:Choice>
                <mc:Fallback>
                  <w:pict>
                    <v:shape id="文本框 289" o:spid="_x0000_s1026" o:spt="202" type="#_x0000_t202" style="position:absolute;left:0pt;margin-left:158.65pt;margin-top:84.05pt;height:23.65pt;width:59.6pt;z-index:251784192;mso-width-relative:page;mso-height-relative:page;" fillcolor="#FFFFFF" filled="t" stroked="t" coordsize="21600,21600" o:gfxdata="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Mrjk3aAAAACwEAAA8AAAAAAAAAAQAg&#10;AAAAIgAAAGRycy9kb3ducmV2LnhtbFBLAQIUABQAAAAIAIdO4kCn3wMSDAIAADgEAAAOAAAAAAAA&#10;AAEAIAAAACkBAABkcnMvZTJvRG9jLnhtbFBLBQYAAAAABgAGAFkBAACn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过筛</w:t>
                            </w:r>
                          </w:p>
                        </w:txbxContent>
                      </v:textbox>
                    </v:shape>
                  </w:pict>
                </mc:Fallback>
              </mc:AlternateContent>
            </w:r>
            <w:r>
              <w:rPr>
                <w:rFonts w:hint="eastAsia" w:hAnsi="宋体"/>
                <w:b/>
                <w:bCs/>
                <w:szCs w:val="21"/>
              </w:rPr>
              <mc:AlternateContent>
                <mc:Choice Requires="wps">
                  <w:drawing>
                    <wp:anchor distT="0" distB="0" distL="114300" distR="114300" simplePos="0" relativeHeight="251783168" behindDoc="0" locked="0" layoutInCell="1" allowOverlap="1">
                      <wp:simplePos x="0" y="0"/>
                      <wp:positionH relativeFrom="column">
                        <wp:posOffset>2029460</wp:posOffset>
                      </wp:positionH>
                      <wp:positionV relativeFrom="paragraph">
                        <wp:posOffset>617220</wp:posOffset>
                      </wp:positionV>
                      <wp:extent cx="721995" cy="300355"/>
                      <wp:effectExtent l="4445" t="5080" r="5080" b="14605"/>
                      <wp:wrapNone/>
                      <wp:docPr id="50" name="文本框 288"/>
                      <wp:cNvGraphicFramePr/>
                      <a:graphic xmlns:a="http://schemas.openxmlformats.org/drawingml/2006/main">
                        <a:graphicData uri="http://schemas.microsoft.com/office/word/2010/wordprocessingShape">
                          <wps:wsp>
                            <wps:cNvSpPr txBox="1"/>
                            <wps:spPr>
                              <a:xfrm>
                                <a:off x="0" y="0"/>
                                <a:ext cx="721995" cy="300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粉碎</w:t>
                                  </w:r>
                                </w:p>
                              </w:txbxContent>
                            </wps:txbx>
                            <wps:bodyPr upright="1"/>
                          </wps:wsp>
                        </a:graphicData>
                      </a:graphic>
                    </wp:anchor>
                  </w:drawing>
                </mc:Choice>
                <mc:Fallback>
                  <w:pict>
                    <v:shape id="文本框 288" o:spid="_x0000_s1026" o:spt="202" type="#_x0000_t202" style="position:absolute;left:0pt;margin-left:159.8pt;margin-top:48.6pt;height:23.65pt;width:56.85pt;z-index:251783168;mso-width-relative:page;mso-height-relative:page;" fillcolor="#FFFFFF" filled="t" stroked="t" coordsize="21600,21600" o:gfxdata="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59uKltkAAAAKAQAADwAAAAAAAAABACAA&#10;AAAiAAAAZHJzL2Rvd25yZXYueG1sUEsBAhQAFAAAAAgAh07iQPzwiBsMAgAAOAQAAA4AAAAAAAAA&#10;AQAgAAAAKAEAAGRycy9lMm9Eb2MueG1sUEsFBgAAAAAGAAYAWQEAAKYF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粉碎</w:t>
                            </w:r>
                          </w:p>
                        </w:txbxContent>
                      </v:textbox>
                    </v:shape>
                  </w:pict>
                </mc:Fallback>
              </mc:AlternateContent>
            </w:r>
            <w:r>
              <w:rPr>
                <w:rFonts w:hint="eastAsia" w:hAnsi="宋体"/>
                <w:b/>
                <w:bCs/>
                <w:szCs w:val="21"/>
              </w:rPr>
              <mc:AlternateContent>
                <mc:Choice Requires="wps">
                  <w:drawing>
                    <wp:anchor distT="0" distB="0" distL="114300" distR="114300" simplePos="0" relativeHeight="251782144" behindDoc="0" locked="0" layoutInCell="1" allowOverlap="1">
                      <wp:simplePos x="0" y="0"/>
                      <wp:positionH relativeFrom="column">
                        <wp:posOffset>1884045</wp:posOffset>
                      </wp:positionH>
                      <wp:positionV relativeFrom="paragraph">
                        <wp:posOffset>139700</wp:posOffset>
                      </wp:positionV>
                      <wp:extent cx="1017270" cy="300355"/>
                      <wp:effectExtent l="4445" t="5080" r="14605" b="14605"/>
                      <wp:wrapNone/>
                      <wp:docPr id="49" name="文本框 287"/>
                      <wp:cNvGraphicFramePr/>
                      <a:graphic xmlns:a="http://schemas.openxmlformats.org/drawingml/2006/main">
                        <a:graphicData uri="http://schemas.microsoft.com/office/word/2010/wordprocessingShape">
                          <wps:wsp>
                            <wps:cNvSpPr txBox="1"/>
                            <wps:spPr>
                              <a:xfrm>
                                <a:off x="0" y="0"/>
                                <a:ext cx="1017270" cy="300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物料前准备</w:t>
                                  </w:r>
                                </w:p>
                              </w:txbxContent>
                            </wps:txbx>
                            <wps:bodyPr upright="1"/>
                          </wps:wsp>
                        </a:graphicData>
                      </a:graphic>
                    </wp:anchor>
                  </w:drawing>
                </mc:Choice>
                <mc:Fallback>
                  <w:pict>
                    <v:shape id="文本框 287" o:spid="_x0000_s1026" o:spt="202" type="#_x0000_t202" style="position:absolute;left:0pt;margin-left:148.35pt;margin-top:11pt;height:23.65pt;width:80.1pt;z-index:251782144;mso-width-relative:page;mso-height-relative:page;" fillcolor="#FFFFFF" filled="t" stroked="t" coordsize="21600,21600" o:gfxdata="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q8jr3ZAAAACQEAAA8AAAAAAAAAAQAg&#10;AAAAIgAAAGRycy9kb3ducmV2LnhtbFBLAQIUABQAAAAIAIdO4kCgtVx6DQIAADkEAAAOAAAAAAAA&#10;AAEAIAAAACgBAABkcnMvZTJvRG9jLnhtbFBLBQYAAAAABgAGAFkBAACn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物料前准备</w:t>
                            </w:r>
                          </w:p>
                        </w:txbxContent>
                      </v:textbox>
                    </v:shape>
                  </w:pict>
                </mc:Fallback>
              </mc:AlternateContent>
            </w:r>
          </w:p>
          <w:p>
            <w:pPr>
              <w:adjustRightInd w:val="0"/>
              <w:snapToGrid w:val="0"/>
              <w:spacing w:line="360" w:lineRule="auto"/>
              <w:ind w:firstLine="420" w:firstLineChars="200"/>
              <w:jc w:val="left"/>
              <w:rPr>
                <w:rFonts w:hint="eastAsia"/>
                <w:bCs/>
                <w:szCs w:val="21"/>
              </w:rPr>
            </w:pPr>
          </w:p>
          <w:p>
            <w:pPr>
              <w:adjustRightInd w:val="0"/>
              <w:snapToGrid w:val="0"/>
              <w:spacing w:line="360" w:lineRule="auto"/>
              <w:ind w:firstLine="422" w:firstLineChars="200"/>
              <w:jc w:val="left"/>
              <w:rPr>
                <w:rFonts w:hint="eastAsia"/>
                <w:bCs/>
                <w:szCs w:val="21"/>
              </w:rPr>
            </w:pPr>
            <w:r>
              <w:rPr>
                <w:rFonts w:hint="eastAsia" w:hAnsi="宋体"/>
                <w:b/>
                <w:bCs/>
                <w:szCs w:val="21"/>
              </w:rPr>
              <mc:AlternateContent>
                <mc:Choice Requires="wps">
                  <w:drawing>
                    <wp:anchor distT="0" distB="0" distL="114300" distR="114300" simplePos="0" relativeHeight="251794432" behindDoc="0" locked="0" layoutInCell="1" allowOverlap="1">
                      <wp:simplePos x="0" y="0"/>
                      <wp:positionH relativeFrom="column">
                        <wp:posOffset>3359150</wp:posOffset>
                      </wp:positionH>
                      <wp:positionV relativeFrom="paragraph">
                        <wp:posOffset>170815</wp:posOffset>
                      </wp:positionV>
                      <wp:extent cx="1017270" cy="300355"/>
                      <wp:effectExtent l="0" t="0" r="0" b="0"/>
                      <wp:wrapNone/>
                      <wp:docPr id="82" name="文本框 39"/>
                      <wp:cNvGraphicFramePr/>
                      <a:graphic xmlns:a="http://schemas.openxmlformats.org/drawingml/2006/main">
                        <a:graphicData uri="http://schemas.microsoft.com/office/word/2010/wordprocessingShape">
                          <wps:wsp>
                            <wps:cNvSpPr txBox="1"/>
                            <wps:spPr>
                              <a:xfrm>
                                <a:off x="0" y="0"/>
                                <a:ext cx="1017270" cy="300355"/>
                              </a:xfrm>
                              <a:prstGeom prst="rect">
                                <a:avLst/>
                              </a:prstGeom>
                              <a:noFill/>
                              <a:ln>
                                <a:noFill/>
                              </a:ln>
                            </wps:spPr>
                            <wps:txbx>
                              <w:txbxContent>
                                <w:p>
                                  <w:r>
                                    <w:rPr>
                                      <w:rFonts w:hint="eastAsia"/>
                                    </w:rPr>
                                    <w:t>废气、</w:t>
                                  </w:r>
                                  <w:r>
                                    <w:t>噪声</w:t>
                                  </w:r>
                                </w:p>
                              </w:txbxContent>
                            </wps:txbx>
                            <wps:bodyPr upright="1"/>
                          </wps:wsp>
                        </a:graphicData>
                      </a:graphic>
                    </wp:anchor>
                  </w:drawing>
                </mc:Choice>
                <mc:Fallback>
                  <w:pict>
                    <v:shape id="文本框 39" o:spid="_x0000_s1026" o:spt="202" type="#_x0000_t202" style="position:absolute;left:0pt;margin-left:264.5pt;margin-top:13.45pt;height:23.65pt;width:80.1pt;z-index:251794432;mso-width-relative:page;mso-height-relative:page;" filled="f" stroked="f" coordsize="21600,21600" o:gfxdata="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tJAw9cA&#10;AAAJAQAADwAAAAAAAAABACAAAAAiAAAAZHJzL2Rvd25yZXYueG1sUEsBAhQAFAAAAAgAh07iQPTp&#10;RBmuAQAAUAMAAA4AAAAAAAAAAQAgAAAAJgEAAGRycy9lMm9Eb2MueG1sUEsFBgAAAAAGAAYAWQEA&#10;AEYFAAAAAA==&#10;">
                      <v:fill on="f" focussize="0,0"/>
                      <v:stroke on="f"/>
                      <v:imagedata o:title=""/>
                      <o:lock v:ext="edit" aspectratio="f"/>
                      <v:textbox>
                        <w:txbxContent>
                          <w:p>
                            <w:r>
                              <w:rPr>
                                <w:rFonts w:hint="eastAsia"/>
                              </w:rPr>
                              <w:t>废气、</w:t>
                            </w:r>
                            <w:r>
                              <w:t>噪声</w:t>
                            </w:r>
                          </w:p>
                        </w:txbxContent>
                      </v:textbox>
                    </v:shape>
                  </w:pict>
                </mc:Fallback>
              </mc:AlternateContent>
            </w:r>
          </w:p>
          <w:p>
            <w:pPr>
              <w:adjustRightInd w:val="0"/>
              <w:snapToGrid w:val="0"/>
              <w:spacing w:line="360" w:lineRule="auto"/>
              <w:ind w:firstLine="422" w:firstLineChars="200"/>
              <w:jc w:val="left"/>
              <w:rPr>
                <w:rFonts w:hint="eastAsia"/>
                <w:bCs/>
                <w:szCs w:val="21"/>
              </w:rPr>
            </w:pPr>
            <w:r>
              <w:rPr>
                <w:rFonts w:hint="eastAsia" w:hAnsi="宋体"/>
                <w:b/>
                <w:bCs/>
                <w:szCs w:val="21"/>
              </w:rPr>
              <mc:AlternateContent>
                <mc:Choice Requires="wps">
                  <w:drawing>
                    <wp:anchor distT="0" distB="0" distL="114300" distR="114300" simplePos="0" relativeHeight="251793408" behindDoc="0" locked="0" layoutInCell="1" allowOverlap="1">
                      <wp:simplePos x="0" y="0"/>
                      <wp:positionH relativeFrom="column">
                        <wp:posOffset>2771775</wp:posOffset>
                      </wp:positionH>
                      <wp:positionV relativeFrom="paragraph">
                        <wp:posOffset>90170</wp:posOffset>
                      </wp:positionV>
                      <wp:extent cx="579120" cy="0"/>
                      <wp:effectExtent l="0" t="48895" r="0" b="57785"/>
                      <wp:wrapNone/>
                      <wp:docPr id="81" name="自选图形 40"/>
                      <wp:cNvGraphicFramePr/>
                      <a:graphic xmlns:a="http://schemas.openxmlformats.org/drawingml/2006/main">
                        <a:graphicData uri="http://schemas.microsoft.com/office/word/2010/wordprocessingShape">
                          <wps:wsp>
                            <wps:cNvCnPr/>
                            <wps:spPr>
                              <a:xfrm>
                                <a:off x="0" y="0"/>
                                <a:ext cx="579120" cy="0"/>
                              </a:xfrm>
                              <a:prstGeom prst="straightConnector1">
                                <a:avLst/>
                              </a:prstGeom>
                              <a:ln w="9525" cap="flat" cmpd="sng">
                                <a:solidFill>
                                  <a:srgbClr val="000000"/>
                                </a:solidFill>
                                <a:prstDash val="dashDot"/>
                                <a:headEnd type="none" w="med" len="med"/>
                                <a:tailEnd type="arrow" w="med" len="med"/>
                              </a:ln>
                            </wps:spPr>
                            <wps:bodyPr/>
                          </wps:wsp>
                        </a:graphicData>
                      </a:graphic>
                    </wp:anchor>
                  </w:drawing>
                </mc:Choice>
                <mc:Fallback>
                  <w:pict>
                    <v:shape id="自选图形 40" o:spid="_x0000_s1026" o:spt="32" type="#_x0000_t32" style="position:absolute;left:0pt;margin-left:218.25pt;margin-top:7.1pt;height:0pt;width:45.6pt;z-index:251793408;mso-width-relative:page;mso-height-relative:page;" filled="f" stroked="t" coordsize="21600,21600" o:gfxdata="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JKliQ1gAAAAkBAAAPAAAAAAAAAAEAIAAAACIAAABkcnMvZG93bnJldi54&#10;bWxQSwECFAAUAAAACACHTuJAd0AIAvwBAADnAwAADgAAAAAAAAABACAAAAAlAQAAZHJzL2Uyb0Rv&#10;Yy54bWxQSwUGAAAAAAYABgBZAQAAkwUAAAAA&#10;">
                      <v:fill on="f" focussize="0,0"/>
                      <v:stroke color="#000000" joinstyle="round" dashstyle="dashDot" endarrow="open"/>
                      <v:imagedata o:title=""/>
                      <o:lock v:ext="edit" aspectratio="f"/>
                    </v:shape>
                  </w:pict>
                </mc:Fallback>
              </mc:AlternateContent>
            </w:r>
          </w:p>
          <w:p>
            <w:pPr>
              <w:adjustRightInd w:val="0"/>
              <w:snapToGrid w:val="0"/>
              <w:spacing w:line="360" w:lineRule="auto"/>
              <w:ind w:firstLine="420" w:firstLineChars="200"/>
              <w:jc w:val="left"/>
              <w:rPr>
                <w:rFonts w:hint="eastAsia"/>
                <w:bCs/>
                <w:szCs w:val="21"/>
              </w:rPr>
            </w:pPr>
          </w:p>
          <w:p>
            <w:pPr>
              <w:adjustRightInd w:val="0"/>
              <w:snapToGrid w:val="0"/>
              <w:spacing w:line="360" w:lineRule="auto"/>
              <w:ind w:firstLine="420" w:firstLineChars="200"/>
              <w:jc w:val="left"/>
              <w:rPr>
                <w:rFonts w:hint="eastAsia"/>
                <w:bCs/>
                <w:szCs w:val="21"/>
              </w:rPr>
            </w:pPr>
          </w:p>
          <w:p>
            <w:pPr>
              <w:adjustRightInd w:val="0"/>
              <w:snapToGrid w:val="0"/>
              <w:spacing w:line="360" w:lineRule="auto"/>
              <w:ind w:firstLine="420" w:firstLineChars="200"/>
              <w:jc w:val="left"/>
              <w:rPr>
                <w:rFonts w:hint="eastAsia"/>
                <w:bCs/>
                <w:szCs w:val="21"/>
              </w:rPr>
            </w:pPr>
          </w:p>
          <w:p>
            <w:pPr>
              <w:adjustRightInd w:val="0"/>
              <w:snapToGrid w:val="0"/>
              <w:spacing w:line="360" w:lineRule="auto"/>
              <w:ind w:firstLine="422" w:firstLineChars="200"/>
              <w:jc w:val="left"/>
              <w:rPr>
                <w:rFonts w:hint="eastAsia"/>
                <w:bCs/>
                <w:szCs w:val="21"/>
              </w:rPr>
            </w:pPr>
            <w:r>
              <w:rPr>
                <w:rFonts w:hint="eastAsia" w:hAnsi="宋体"/>
                <w:b/>
                <w:bCs/>
                <w:szCs w:val="21"/>
              </w:rPr>
              <mc:AlternateContent>
                <mc:Choice Requires="wps">
                  <w:drawing>
                    <wp:anchor distT="0" distB="0" distL="114300" distR="114300" simplePos="0" relativeHeight="251792384" behindDoc="0" locked="0" layoutInCell="1" allowOverlap="1">
                      <wp:simplePos x="0" y="0"/>
                      <wp:positionH relativeFrom="column">
                        <wp:posOffset>2402205</wp:posOffset>
                      </wp:positionH>
                      <wp:positionV relativeFrom="paragraph">
                        <wp:posOffset>193040</wp:posOffset>
                      </wp:positionV>
                      <wp:extent cx="6985" cy="177165"/>
                      <wp:effectExtent l="34290" t="0" r="34925" b="5715"/>
                      <wp:wrapNone/>
                      <wp:docPr id="78" name="自选图形 41"/>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margin-left:189.15pt;margin-top:15.2pt;height:13.95pt;width:0.55pt;z-index:251792384;mso-width-relative:page;mso-height-relative:page;" filled="f" stroked="t" coordsize="21600,21600" o:gfxdata="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X1We2QAAAAkBAAAPAAAAAAAAAAEAIAAAACIAAABkcnMvZG93&#10;bnJldi54bWxQSwECFAAUAAAACACHTuJAUImav/8BAADrAwAADgAAAAAAAAABACAAAAAoAQAAZHJz&#10;L2Uyb0RvYy54bWxQSwUGAAAAAAYABgBZAQAAmQUAAAAA&#10;">
                      <v:fill on="f" focussize="0,0"/>
                      <v:stroke color="#000000" joinstyle="round" endarrow="block"/>
                      <v:imagedata o:title=""/>
                      <o:lock v:ext="edit" aspectratio="f"/>
                    </v:shape>
                  </w:pict>
                </mc:Fallback>
              </mc:AlternateContent>
            </w:r>
            <w:r>
              <w:rPr>
                <w:rFonts w:hint="eastAsia" w:hAnsi="宋体"/>
                <w:b/>
                <w:bCs/>
                <w:szCs w:val="21"/>
              </w:rPr>
              <mc:AlternateContent>
                <mc:Choice Requires="wps">
                  <w:drawing>
                    <wp:anchor distT="0" distB="0" distL="114300" distR="114300" simplePos="0" relativeHeight="251791360" behindDoc="0" locked="0" layoutInCell="1" allowOverlap="1">
                      <wp:simplePos x="0" y="0"/>
                      <wp:positionH relativeFrom="column">
                        <wp:posOffset>2014855</wp:posOffset>
                      </wp:positionH>
                      <wp:positionV relativeFrom="paragraph">
                        <wp:posOffset>349885</wp:posOffset>
                      </wp:positionV>
                      <wp:extent cx="742315" cy="278130"/>
                      <wp:effectExtent l="4445" t="4445" r="15240" b="6985"/>
                      <wp:wrapNone/>
                      <wp:docPr id="77" name="文本框 42"/>
                      <wp:cNvGraphicFramePr/>
                      <a:graphic xmlns:a="http://schemas.openxmlformats.org/drawingml/2006/main">
                        <a:graphicData uri="http://schemas.microsoft.com/office/word/2010/wordprocessingShape">
                          <wps:wsp>
                            <wps:cNvSpPr txBox="1"/>
                            <wps:spPr>
                              <a:xfrm>
                                <a:off x="0" y="0"/>
                                <a:ext cx="74231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分剂量</w:t>
                                  </w:r>
                                </w:p>
                              </w:txbxContent>
                            </wps:txbx>
                            <wps:bodyPr upright="1"/>
                          </wps:wsp>
                        </a:graphicData>
                      </a:graphic>
                    </wp:anchor>
                  </w:drawing>
                </mc:Choice>
                <mc:Fallback>
                  <w:pict>
                    <v:shape id="文本框 42" o:spid="_x0000_s1026" o:spt="202" type="#_x0000_t202" style="position:absolute;left:0pt;margin-left:158.65pt;margin-top:27.55pt;height:21.9pt;width:58.45pt;z-index:251791360;mso-width-relative:page;mso-height-relative:page;" fillcolor="#FFFFFF" filled="t" stroked="t" coordsize="21600,21600" o:gfxdata="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GQDpfaAAAACQEAAA8AAAAAAAAA&#10;AQAgAAAAIgAAAGRycy9kb3ducmV2LnhtbFBLAQIUABQAAAAIAIdO4kBKgqZSDwIAADcEAAAOAAAA&#10;AAAAAAEAIAAAACkBAABkcnMvZTJvRG9jLnhtbFBLBQYAAAAABgAGAFkBAACqBQ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分剂量</w:t>
                            </w:r>
                          </w:p>
                        </w:txbxContent>
                      </v:textbox>
                    </v:shape>
                  </w:pict>
                </mc:Fallback>
              </mc:AlternateContent>
            </w:r>
          </w:p>
          <w:p>
            <w:pPr>
              <w:adjustRightInd w:val="0"/>
              <w:snapToGrid w:val="0"/>
              <w:spacing w:line="360" w:lineRule="auto"/>
              <w:ind w:firstLine="420" w:firstLineChars="200"/>
              <w:jc w:val="left"/>
              <w:rPr>
                <w:rFonts w:hint="eastAsia"/>
                <w:bCs/>
                <w:szCs w:val="21"/>
              </w:rPr>
            </w:pPr>
          </w:p>
          <w:p>
            <w:pPr>
              <w:adjustRightInd w:val="0"/>
              <w:snapToGrid w:val="0"/>
              <w:spacing w:line="360" w:lineRule="auto"/>
              <w:ind w:firstLine="422" w:firstLineChars="200"/>
              <w:jc w:val="left"/>
              <w:rPr>
                <w:rFonts w:hint="eastAsia"/>
                <w:bCs/>
                <w:szCs w:val="21"/>
              </w:rPr>
            </w:pPr>
            <w:r>
              <w:rPr>
                <w:rFonts w:hint="eastAsia" w:hAnsi="宋体"/>
                <w:b/>
                <w:bCs/>
                <w:szCs w:val="21"/>
              </w:rPr>
              <mc:AlternateContent>
                <mc:Choice Requires="wps">
                  <w:drawing>
                    <wp:anchor distT="0" distB="0" distL="114300" distR="114300" simplePos="0" relativeHeight="251790336" behindDoc="0" locked="0" layoutInCell="1" allowOverlap="1">
                      <wp:simplePos x="0" y="0"/>
                      <wp:positionH relativeFrom="column">
                        <wp:posOffset>2416810</wp:posOffset>
                      </wp:positionH>
                      <wp:positionV relativeFrom="paragraph">
                        <wp:posOffset>192405</wp:posOffset>
                      </wp:positionV>
                      <wp:extent cx="6985" cy="177165"/>
                      <wp:effectExtent l="34290" t="0" r="34925" b="5715"/>
                      <wp:wrapNone/>
                      <wp:docPr id="74" name="自选图形 295"/>
                      <wp:cNvGraphicFramePr/>
                      <a:graphic xmlns:a="http://schemas.openxmlformats.org/drawingml/2006/main">
                        <a:graphicData uri="http://schemas.microsoft.com/office/word/2010/wordprocessingShape">
                          <wps:wsp>
                            <wps:cNvCnPr/>
                            <wps:spPr>
                              <a:xfrm>
                                <a:off x="0" y="0"/>
                                <a:ext cx="6985" cy="17716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295" o:spid="_x0000_s1026" o:spt="32" type="#_x0000_t32" style="position:absolute;left:0pt;margin-left:190.3pt;margin-top:15.15pt;height:13.95pt;width:0.55pt;z-index:251790336;mso-width-relative:page;mso-height-relative:page;" filled="f" stroked="t" coordsize="21600,21600" o:gfxdata="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GlLhdoAAAAJAQAADwAAAAAAAAABACAAAAAiAAAAZHJz&#10;L2Rvd25yZXYueG1sUEsBAhQAFAAAAAgAh07iQNgqTEkCAgAA7AMAAA4AAAAAAAAAAQAgAAAAKQEA&#10;AGRycy9lMm9Eb2MueG1sUEsFBgAAAAAGAAYAWQEAAJ0FAAAAAA==&#10;">
                      <v:fill on="f" focussize="0,0"/>
                      <v:stroke color="#000000" joinstyle="round" endarrow="block"/>
                      <v:imagedata o:title=""/>
                      <o:lock v:ext="edit" aspectratio="f"/>
                    </v:shape>
                  </w:pict>
                </mc:Fallback>
              </mc:AlternateContent>
            </w:r>
            <w:r>
              <w:rPr>
                <w:rFonts w:hint="eastAsia" w:hAnsi="宋体"/>
                <w:b/>
                <w:bCs/>
                <w:szCs w:val="21"/>
              </w:rPr>
              <mc:AlternateContent>
                <mc:Choice Requires="wps">
                  <w:drawing>
                    <wp:anchor distT="0" distB="0" distL="114300" distR="114300" simplePos="0" relativeHeight="251789312" behindDoc="0" locked="0" layoutInCell="1" allowOverlap="1">
                      <wp:simplePos x="0" y="0"/>
                      <wp:positionH relativeFrom="column">
                        <wp:posOffset>2029460</wp:posOffset>
                      </wp:positionH>
                      <wp:positionV relativeFrom="paragraph">
                        <wp:posOffset>349250</wp:posOffset>
                      </wp:positionV>
                      <wp:extent cx="742315" cy="278130"/>
                      <wp:effectExtent l="4445" t="4445" r="15240" b="6985"/>
                      <wp:wrapNone/>
                      <wp:docPr id="73" name="文本框 294"/>
                      <wp:cNvGraphicFramePr/>
                      <a:graphic xmlns:a="http://schemas.openxmlformats.org/drawingml/2006/main">
                        <a:graphicData uri="http://schemas.microsoft.com/office/word/2010/wordprocessingShape">
                          <wps:wsp>
                            <wps:cNvSpPr txBox="1"/>
                            <wps:spPr>
                              <a:xfrm>
                                <a:off x="0" y="0"/>
                                <a:ext cx="742315" cy="278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val="en-US" w:eastAsia="zh-CN"/>
                                    </w:rPr>
                                  </w:pPr>
                                  <w:r>
                                    <w:rPr>
                                      <w:rFonts w:hint="eastAsia"/>
                                      <w:lang w:val="en-US" w:eastAsia="zh-CN"/>
                                    </w:rPr>
                                    <w:t>包装</w:t>
                                  </w:r>
                                </w:p>
                              </w:txbxContent>
                            </wps:txbx>
                            <wps:bodyPr upright="1"/>
                          </wps:wsp>
                        </a:graphicData>
                      </a:graphic>
                    </wp:anchor>
                  </w:drawing>
                </mc:Choice>
                <mc:Fallback>
                  <w:pict>
                    <v:shape id="文本框 294" o:spid="_x0000_s1026" o:spt="202" type="#_x0000_t202" style="position:absolute;left:0pt;margin-left:159.8pt;margin-top:27.5pt;height:21.9pt;width:58.45pt;z-index:251789312;mso-width-relative:page;mso-height-relative:page;" fillcolor="#FFFFFF" filled="t" stroked="t" coordsize="21600,21600" o:gfxdata="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cN2uXZAAAACQEAAA8AAAAAAAAA&#10;AQAgAAAAIgAAAGRycy9kb3ducmV2LnhtbFBLAQIUABQAAAAIAIdO4kDR/2a1EAIAADgEAAAOAAAA&#10;AAAAAAEAIAAAACgBAABkcnMvZTJvRG9jLnhtbFBLBQYAAAAABgAGAFkBAACqBQAAAAA=&#10;">
                      <v:fill on="t" focussize="0,0"/>
                      <v:stroke color="#000000" joinstyle="miter"/>
                      <v:imagedata o:title=""/>
                      <o:lock v:ext="edit" aspectratio="f"/>
                      <v:textbox>
                        <w:txbxContent>
                          <w:p>
                            <w:pPr>
                              <w:jc w:val="center"/>
                              <w:rPr>
                                <w:rFonts w:hint="eastAsia" w:eastAsia="宋体"/>
                                <w:lang w:val="en-US" w:eastAsia="zh-CN"/>
                              </w:rPr>
                            </w:pPr>
                            <w:r>
                              <w:rPr>
                                <w:rFonts w:hint="eastAsia"/>
                                <w:lang w:val="en-US" w:eastAsia="zh-CN"/>
                              </w:rPr>
                              <w:t>包装</w:t>
                            </w:r>
                          </w:p>
                        </w:txbxContent>
                      </v:textbox>
                    </v:shape>
                  </w:pict>
                </mc:Fallback>
              </mc:AlternateContent>
            </w:r>
          </w:p>
          <w:p>
            <w:pPr>
              <w:adjustRightInd w:val="0"/>
              <w:snapToGrid w:val="0"/>
              <w:spacing w:line="360" w:lineRule="auto"/>
              <w:ind w:firstLine="420" w:firstLineChars="200"/>
              <w:jc w:val="left"/>
              <w:rPr>
                <w:rFonts w:hint="eastAsia"/>
                <w:bCs/>
                <w:szCs w:val="21"/>
              </w:rPr>
            </w:pPr>
          </w:p>
          <w:p>
            <w:pPr>
              <w:adjustRightInd w:val="0"/>
              <w:snapToGrid w:val="0"/>
              <w:spacing w:line="360" w:lineRule="auto"/>
              <w:jc w:val="left"/>
              <w:rPr>
                <w:rFonts w:hint="eastAsia"/>
                <w:bCs/>
                <w:szCs w:val="21"/>
              </w:rPr>
            </w:pPr>
          </w:p>
          <w:p>
            <w:pPr>
              <w:adjustRightInd w:val="0"/>
              <w:snapToGrid w:val="0"/>
              <w:spacing w:line="360" w:lineRule="auto"/>
              <w:jc w:val="left"/>
              <w:rPr>
                <w:rFonts w:hint="eastAsia"/>
                <w:bCs/>
                <w:szCs w:val="21"/>
              </w:rPr>
            </w:pP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
                <w:bCs/>
                <w:color w:val="auto"/>
                <w:sz w:val="24"/>
              </w:rPr>
            </w:pPr>
            <w:r>
              <w:rPr>
                <w:rFonts w:hint="default" w:ascii="Times New Roman" w:hAnsi="Times New Roman" w:eastAsia="宋体" w:cs="Times New Roman"/>
                <w:b/>
                <w:bCs/>
                <w:color w:val="auto"/>
                <w:sz w:val="24"/>
              </w:rPr>
              <w:t>图2-</w:t>
            </w:r>
            <w:r>
              <w:rPr>
                <w:rFonts w:hint="eastAsia" w:ascii="Times New Roman" w:hAnsi="Times New Roman" w:eastAsia="宋体" w:cs="Times New Roman"/>
                <w:b/>
                <w:bCs/>
                <w:color w:val="auto"/>
                <w:sz w:val="24"/>
                <w:lang w:val="en-US" w:eastAsia="zh-CN"/>
              </w:rPr>
              <w:t>5  中药散剂</w:t>
            </w:r>
            <w:r>
              <w:rPr>
                <w:rFonts w:hint="eastAsia" w:ascii="Times New Roman" w:hAnsi="Times New Roman" w:eastAsia="宋体" w:cs="Times New Roman"/>
                <w:b/>
                <w:bCs/>
                <w:color w:val="auto"/>
                <w:sz w:val="24"/>
              </w:rPr>
              <w:t>工艺流程图</w:t>
            </w:r>
          </w:p>
          <w:p>
            <w:pPr>
              <w:pStyle w:val="12"/>
              <w:rPr>
                <w:rFonts w:hint="eastAsia"/>
              </w:rPr>
            </w:pP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eastAsia="宋体" w:cs="Times New Roman"/>
                <w:b/>
                <w:bCs/>
                <w:color w:val="auto"/>
                <w:sz w:val="24"/>
                <w:lang w:eastAsia="zh-CN"/>
              </w:rPr>
            </w:pPr>
            <w:r>
              <w:rPr>
                <w:rFonts w:hint="eastAsia" w:ascii="Times New Roman" w:hAnsi="Times New Roman" w:eastAsia="宋体" w:cs="Times New Roman"/>
                <w:color w:val="auto"/>
                <w:sz w:val="24"/>
              </w:rPr>
              <w:t>工艺流程简述：将药材库送来的</w:t>
            </w:r>
            <w:r>
              <w:rPr>
                <w:rFonts w:hint="eastAsia" w:ascii="Times New Roman" w:hAnsi="Times New Roman" w:eastAsia="宋体" w:cs="Times New Roman"/>
                <w:color w:val="auto"/>
                <w:sz w:val="24"/>
                <w:lang w:val="en-US" w:eastAsia="zh-CN"/>
              </w:rPr>
              <w:t>各种中药</w:t>
            </w:r>
            <w:r>
              <w:rPr>
                <w:rFonts w:hint="eastAsia" w:ascii="Times New Roman" w:hAnsi="Times New Roman" w:eastAsia="宋体" w:cs="Times New Roman"/>
                <w:color w:val="auto"/>
                <w:sz w:val="24"/>
              </w:rPr>
              <w:t>，经手工方法进行挑选、整理分类、称量后，</w:t>
            </w:r>
            <w:r>
              <w:rPr>
                <w:rFonts w:hint="eastAsia" w:cs="Times New Roman"/>
                <w:color w:val="auto"/>
                <w:sz w:val="24"/>
                <w:lang w:val="en-US" w:eastAsia="zh-CN"/>
              </w:rPr>
              <w:t>用一体式密闭中药打粉机</w:t>
            </w:r>
            <w:r>
              <w:rPr>
                <w:rFonts w:hint="eastAsia" w:ascii="Times New Roman" w:hAnsi="Times New Roman" w:eastAsia="宋体" w:cs="Times New Roman"/>
                <w:color w:val="auto"/>
                <w:sz w:val="24"/>
              </w:rPr>
              <w:t>粉碎成粉，合格的药粉送至混匀岗位，按配方混匀后即得产品，送至包装工序</w:t>
            </w:r>
            <w:r>
              <w:rPr>
                <w:rFonts w:hint="eastAsia" w:ascii="Times New Roman" w:hAnsi="Times New Roman" w:eastAsia="宋体" w:cs="Times New Roman"/>
                <w:color w:val="auto"/>
                <w:sz w:val="24"/>
                <w:lang w:eastAsia="zh-CN"/>
              </w:rPr>
              <w:t>。</w:t>
            </w:r>
          </w:p>
          <w:p>
            <w:pPr>
              <w:pStyle w:val="13"/>
              <w:rPr>
                <w:rFonts w:hint="default"/>
              </w:rPr>
            </w:pPr>
          </w:p>
          <w:p>
            <w:pPr>
              <w:spacing w:line="480" w:lineRule="exact"/>
              <w:rPr>
                <w:rFonts w:hint="default" w:ascii="Times New Roman" w:hAnsi="Times New Roman" w:eastAsia="宋体" w:cs="Times New Roman"/>
                <w:b/>
                <w:bCs/>
                <w:color w:val="auto"/>
                <w:sz w:val="24"/>
              </w:rPr>
            </w:pPr>
          </w:p>
          <w:p>
            <w:pPr>
              <w:spacing w:line="480" w:lineRule="exact"/>
              <w:rPr>
                <w:rFonts w:hint="default" w:ascii="Times New Roman" w:hAnsi="Times New Roman" w:eastAsia="宋体" w:cs="Times New Roman"/>
                <w:b/>
                <w:bCs/>
                <w:color w:val="auto"/>
                <w:sz w:val="24"/>
              </w:rPr>
            </w:pPr>
          </w:p>
          <w:p>
            <w:pPr>
              <w:spacing w:line="480" w:lineRule="exact"/>
              <w:rPr>
                <w:rFonts w:hint="default" w:ascii="Times New Roman" w:hAnsi="Times New Roman" w:eastAsia="宋体" w:cs="Times New Roman"/>
                <w:b/>
                <w:bCs/>
                <w:color w:val="auto"/>
                <w:sz w:val="24"/>
              </w:rPr>
            </w:pPr>
          </w:p>
          <w:p>
            <w:pPr>
              <w:pStyle w:val="12"/>
              <w:rPr>
                <w:rFonts w:hint="default" w:ascii="Times New Roman" w:hAnsi="Times New Roman" w:eastAsia="宋体" w:cs="Times New Roman"/>
                <w:b/>
                <w:bCs/>
                <w:color w:val="auto"/>
                <w:sz w:val="24"/>
              </w:rPr>
            </w:pPr>
          </w:p>
          <w:p>
            <w:pPr>
              <w:pStyle w:val="13"/>
              <w:rPr>
                <w:rFonts w:hint="default" w:ascii="Times New Roman" w:hAnsi="Times New Roman" w:eastAsia="宋体" w:cs="Times New Roman"/>
                <w:b/>
                <w:bCs/>
                <w:color w:val="auto"/>
                <w:sz w:val="24"/>
              </w:rPr>
            </w:pPr>
          </w:p>
          <w:p>
            <w:pPr>
              <w:pStyle w:val="13"/>
              <w:rPr>
                <w:rFonts w:hint="default" w:ascii="Times New Roman" w:hAnsi="Times New Roman" w:eastAsia="宋体" w:cs="Times New Roman"/>
                <w:b/>
                <w:bCs/>
                <w:color w:val="auto"/>
                <w:sz w:val="24"/>
              </w:rPr>
            </w:pPr>
          </w:p>
          <w:p>
            <w:pPr>
              <w:spacing w:line="480" w:lineRule="exact"/>
              <w:rPr>
                <w:rFonts w:hint="default" w:ascii="Times New Roman" w:hAnsi="Times New Roman" w:eastAsia="宋体" w:cs="Times New Roman"/>
                <w:b/>
                <w:bCs/>
                <w:color w:val="auto"/>
                <w:sz w:val="24"/>
              </w:rPr>
            </w:pPr>
          </w:p>
          <w:p>
            <w:pPr>
              <w:pStyle w:val="12"/>
              <w:rPr>
                <w:rFonts w:hint="default" w:ascii="Times New Roman" w:hAnsi="Times New Roman" w:eastAsia="宋体" w:cs="Times New Roman"/>
                <w:b/>
                <w:bCs/>
                <w:color w:val="auto"/>
                <w:sz w:val="24"/>
              </w:rPr>
            </w:pPr>
          </w:p>
          <w:p>
            <w:pPr>
              <w:pStyle w:val="13"/>
              <w:rPr>
                <w:rFonts w:hint="default" w:ascii="Times New Roman" w:hAnsi="Times New Roman" w:eastAsia="宋体" w:cs="Times New Roman"/>
                <w:b/>
                <w:bCs/>
                <w:color w:val="auto"/>
                <w:sz w:val="24"/>
              </w:rPr>
            </w:pPr>
          </w:p>
          <w:p>
            <w:pPr>
              <w:spacing w:line="480" w:lineRule="exac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1、原有环境问题</w:t>
            </w:r>
          </w:p>
          <w:p>
            <w:pPr>
              <w:spacing w:line="48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项目为新建项目，选址为空地，不存在原有环境问题，本工程的污染问题见环境影响章节。</w:t>
            </w:r>
          </w:p>
          <w:bookmarkEnd w:id="5"/>
          <w:p>
            <w:pPr>
              <w:autoSpaceDE w:val="0"/>
              <w:autoSpaceDN w:val="0"/>
              <w:adjustRightInd w:val="0"/>
              <w:spacing w:line="360" w:lineRule="auto"/>
              <w:ind w:firstLine="480"/>
              <w:rPr>
                <w:rFonts w:hint="default" w:ascii="Times New Roman" w:hAnsi="Times New Roman" w:eastAsia="宋体" w:cs="Times New Roman"/>
                <w:bCs/>
                <w:color w:val="0000FF"/>
                <w:szCs w:val="21"/>
              </w:rPr>
            </w:pPr>
          </w:p>
          <w:p>
            <w:pPr>
              <w:pStyle w:val="17"/>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pStyle w:val="17"/>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p>
            <w:pPr>
              <w:pStyle w:val="12"/>
              <w:rPr>
                <w:rFonts w:hint="default" w:ascii="Times New Roman" w:hAnsi="Times New Roman" w:eastAsia="宋体" w:cs="Times New Roman"/>
                <w:color w:val="0000FF"/>
              </w:rPr>
            </w:pPr>
          </w:p>
          <w:p>
            <w:pPr>
              <w:pStyle w:val="13"/>
              <w:rPr>
                <w:rFonts w:hint="default" w:ascii="Times New Roman" w:hAnsi="Times New Roman" w:eastAsia="宋体" w:cs="Times New Roman"/>
                <w:color w:val="0000FF"/>
              </w:rPr>
            </w:pPr>
          </w:p>
          <w:p>
            <w:pPr>
              <w:pStyle w:val="13"/>
              <w:rPr>
                <w:rFonts w:hint="default" w:ascii="Times New Roman" w:hAnsi="Times New Roman" w:eastAsia="宋体" w:cs="Times New Roman"/>
                <w:color w:val="0000FF"/>
              </w:rPr>
            </w:pPr>
          </w:p>
          <w:p>
            <w:pPr>
              <w:pStyle w:val="13"/>
              <w:rPr>
                <w:rFonts w:hint="default" w:ascii="Times New Roman" w:hAnsi="Times New Roman" w:eastAsia="宋体" w:cs="Times New Roman"/>
                <w:color w:val="0000FF"/>
              </w:rPr>
            </w:pPr>
          </w:p>
          <w:p>
            <w:pPr>
              <w:pStyle w:val="13"/>
              <w:rPr>
                <w:rFonts w:hint="default" w:ascii="Times New Roman" w:hAnsi="Times New Roman" w:eastAsia="宋体" w:cs="Times New Roman"/>
                <w:color w:val="0000FF"/>
              </w:rPr>
            </w:pPr>
          </w:p>
          <w:p>
            <w:pPr>
              <w:pStyle w:val="13"/>
              <w:rPr>
                <w:rFonts w:hint="default" w:ascii="Times New Roman" w:hAnsi="Times New Roman" w:eastAsia="宋体" w:cs="Times New Roman"/>
                <w:color w:val="0000FF"/>
              </w:rPr>
            </w:pPr>
          </w:p>
          <w:p>
            <w:pPr>
              <w:pStyle w:val="13"/>
              <w:rPr>
                <w:rFonts w:hint="default" w:ascii="Times New Roman" w:hAnsi="Times New Roman" w:eastAsia="宋体" w:cs="Times New Roman"/>
                <w:color w:val="0000FF"/>
              </w:rPr>
            </w:pPr>
          </w:p>
          <w:p>
            <w:pPr>
              <w:pStyle w:val="13"/>
              <w:rPr>
                <w:rFonts w:hint="default" w:ascii="Times New Roman" w:hAnsi="Times New Roman" w:eastAsia="宋体" w:cs="Times New Roman"/>
                <w:color w:val="0000FF"/>
              </w:rPr>
            </w:pPr>
          </w:p>
          <w:p>
            <w:pPr>
              <w:pStyle w:val="13"/>
              <w:rPr>
                <w:rFonts w:hint="default" w:ascii="Times New Roman" w:hAnsi="Times New Roman" w:eastAsia="宋体" w:cs="Times New Roman"/>
                <w:color w:val="0000FF"/>
              </w:rPr>
            </w:pPr>
          </w:p>
          <w:p>
            <w:pPr>
              <w:rPr>
                <w:rFonts w:hint="default" w:ascii="Times New Roman" w:hAnsi="Times New Roman" w:eastAsia="宋体" w:cs="Times New Roman"/>
                <w:color w:val="0000FF"/>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355" w:type="dxa"/>
            <w:noWrap w:val="0"/>
            <w:vAlign w:val="center"/>
          </w:tcPr>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both"/>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both"/>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both"/>
              <w:rPr>
                <w:rFonts w:hint="default" w:ascii="Times New Roman" w:hAnsi="Times New Roman" w:eastAsia="宋体" w:cs="Times New Roman"/>
                <w:bCs/>
                <w:color w:val="auto"/>
                <w:kern w:val="2"/>
                <w:sz w:val="21"/>
                <w:szCs w:val="21"/>
              </w:rPr>
            </w:pPr>
          </w:p>
          <w:p>
            <w:pPr>
              <w:pStyle w:val="24"/>
              <w:adjustRightInd w:val="0"/>
              <w:snapToGrid w:val="0"/>
              <w:spacing w:before="0" w:beforeAutospacing="0" w:after="0" w:afterAutospacing="0"/>
              <w:jc w:val="both"/>
              <w:rPr>
                <w:rFonts w:hint="default" w:ascii="Times New Roman" w:hAnsi="Times New Roman" w:eastAsia="宋体" w:cs="Times New Roman"/>
                <w:color w:val="0000FF"/>
                <w:sz w:val="21"/>
                <w:szCs w:val="21"/>
              </w:rPr>
            </w:pPr>
            <w:r>
              <w:rPr>
                <w:rFonts w:hint="default" w:ascii="Times New Roman" w:hAnsi="Times New Roman" w:eastAsia="宋体" w:cs="Times New Roman"/>
                <w:bCs/>
                <w:color w:val="auto"/>
                <w:kern w:val="2"/>
                <w:sz w:val="21"/>
                <w:szCs w:val="21"/>
              </w:rPr>
              <w:t>与项目有关的原有环境污染问题</w:t>
            </w:r>
          </w:p>
        </w:tc>
        <w:tc>
          <w:tcPr>
            <w:tcW w:w="9162" w:type="dxa"/>
            <w:vMerge w:val="continue"/>
            <w:noWrap w:val="0"/>
            <w:vAlign w:val="top"/>
          </w:tcPr>
          <w:p>
            <w:pPr>
              <w:rPr>
                <w:rFonts w:hint="default" w:ascii="Times New Roman" w:hAnsi="Times New Roman" w:eastAsia="宋体" w:cs="Times New Roman"/>
                <w:color w:val="0000FF"/>
              </w:rPr>
            </w:pPr>
          </w:p>
        </w:tc>
      </w:tr>
    </w:tbl>
    <w:p>
      <w:pPr>
        <w:pStyle w:val="24"/>
        <w:jc w:val="center"/>
        <w:rPr>
          <w:rFonts w:ascii="Times New Roman" w:hAnsi="Times New Roman" w:eastAsia="黑体"/>
          <w:snapToGrid w:val="0"/>
          <w:sz w:val="36"/>
          <w:szCs w:val="36"/>
        </w:rPr>
        <w:sectPr>
          <w:pgSz w:w="11906" w:h="16838"/>
          <w:pgMar w:top="1701" w:right="1531" w:bottom="1701" w:left="1531" w:header="851" w:footer="851" w:gutter="0"/>
          <w:pgNumType w:fmt="decimal"/>
          <w:cols w:space="720" w:num="1"/>
          <w:docGrid w:linePitch="312" w:charSpace="0"/>
        </w:sectPr>
      </w:pPr>
    </w:p>
    <w:p>
      <w:pPr>
        <w:pStyle w:val="24"/>
        <w:jc w:val="center"/>
        <w:outlineLvl w:val="0"/>
        <w:rPr>
          <w:rFonts w:ascii="Times New Roman" w:hAnsi="Times New Roman"/>
          <w:b/>
          <w:bCs/>
          <w:snapToGrid w:val="0"/>
          <w:sz w:val="30"/>
          <w:szCs w:val="30"/>
        </w:rPr>
      </w:pPr>
      <w:r>
        <w:rPr>
          <w:rFonts w:ascii="Times New Roman" w:hAnsi="Times New Roman"/>
          <w:b/>
          <w:bCs/>
          <w:snapToGrid w:val="0"/>
          <w:sz w:val="30"/>
          <w:szCs w:val="30"/>
        </w:rPr>
        <w:t>三、区域环境质量现状、环境保护目标及评价标准</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5"/>
        <w:gridCol w:w="86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435" w:type="dxa"/>
            <w:noWrap w:val="0"/>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区域</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质量</w:t>
            </w:r>
          </w:p>
          <w:p>
            <w:pPr>
              <w:adjustRightInd w:val="0"/>
              <w:snapToGrid w:val="0"/>
              <w:jc w:val="center"/>
              <w:rPr>
                <w:rFonts w:hint="default" w:ascii="Times New Roman" w:hAnsi="Times New Roman" w:cs="Times New Roman"/>
                <w:color w:val="0000FF"/>
                <w:kern w:val="0"/>
                <w:szCs w:val="21"/>
              </w:rPr>
            </w:pPr>
            <w:r>
              <w:rPr>
                <w:rFonts w:hint="default" w:ascii="Times New Roman" w:hAnsi="Times New Roman" w:cs="Times New Roman"/>
                <w:color w:val="auto"/>
                <w:kern w:val="0"/>
                <w:szCs w:val="21"/>
              </w:rPr>
              <w:t>现状</w:t>
            </w:r>
          </w:p>
        </w:tc>
        <w:tc>
          <w:tcPr>
            <w:tcW w:w="8626" w:type="dxa"/>
            <w:noWrap w:val="0"/>
            <w:vAlign w:val="center"/>
          </w:tcPr>
          <w:p>
            <w:pPr>
              <w:spacing w:line="500" w:lineRule="exact"/>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1、大气环境</w:t>
            </w:r>
          </w:p>
          <w:p>
            <w:pPr>
              <w:spacing w:line="500" w:lineRule="exact"/>
              <w:rPr>
                <w:rFonts w:hint="default" w:ascii="Times New Roman" w:hAnsi="Times New Roman" w:cs="Times New Roman"/>
                <w:b/>
                <w:bCs/>
                <w:color w:val="auto"/>
                <w:sz w:val="24"/>
              </w:rPr>
            </w:pPr>
            <w:r>
              <w:rPr>
                <w:rFonts w:hint="default" w:ascii="Times New Roman" w:hAnsi="Times New Roman" w:cs="Times New Roman"/>
                <w:b/>
                <w:bCs/>
                <w:color w:val="auto"/>
                <w:sz w:val="24"/>
              </w:rPr>
              <w:t>1.1空气质量达标区判定</w:t>
            </w:r>
          </w:p>
          <w:p>
            <w:pPr>
              <w:adjustRightInd w:val="0"/>
              <w:snapToGrid w:val="0"/>
              <w:spacing w:line="360" w:lineRule="auto"/>
              <w:ind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（1）数据来源</w:t>
            </w:r>
          </w:p>
          <w:p>
            <w:pPr>
              <w:widowControl/>
              <w:tabs>
                <w:tab w:val="left" w:pos="0"/>
              </w:tabs>
              <w:spacing w:line="360" w:lineRule="auto"/>
              <w:ind w:firstLine="480" w:firstLineChars="200"/>
              <w:rPr>
                <w:rFonts w:hint="default" w:ascii="Times New Roman" w:hAnsi="Times New Roman" w:cs="Times New Roman"/>
                <w:color w:val="auto"/>
                <w:sz w:val="24"/>
                <w:lang w:eastAsia="zh-CN" w:bidi="ar"/>
              </w:rPr>
            </w:pPr>
            <w:r>
              <w:rPr>
                <w:rFonts w:hint="default" w:ascii="Times New Roman" w:hAnsi="Times New Roman" w:cs="Times New Roman"/>
                <w:color w:val="auto"/>
                <w:sz w:val="24"/>
                <w:lang w:bidi="ar"/>
              </w:rPr>
              <w:t>根据《环境影响评价技术导则</w:t>
            </w:r>
            <w:r>
              <w:rPr>
                <w:rFonts w:hint="eastAsia" w:ascii="Times New Roman" w:hAnsi="Times New Roman" w:cs="Times New Roman"/>
                <w:color w:val="auto"/>
                <w:sz w:val="24"/>
                <w:lang w:eastAsia="zh-CN" w:bidi="ar"/>
              </w:rPr>
              <w:t>－</w:t>
            </w:r>
            <w:r>
              <w:rPr>
                <w:rFonts w:hint="default" w:ascii="Times New Roman" w:hAnsi="Times New Roman" w:cs="Times New Roman"/>
                <w:color w:val="auto"/>
                <w:sz w:val="24"/>
                <w:lang w:bidi="ar"/>
              </w:rPr>
              <w:t>大气环境》（H.J2.2-2018）</w:t>
            </w:r>
            <w:r>
              <w:rPr>
                <w:rFonts w:hint="default" w:ascii="Times New Roman" w:hAnsi="Times New Roman" w:cs="Times New Roman"/>
                <w:color w:val="auto"/>
                <w:sz w:val="24"/>
                <w:lang w:eastAsia="zh-CN" w:bidi="ar"/>
              </w:rPr>
              <w:t>，</w:t>
            </w:r>
            <w:r>
              <w:rPr>
                <w:rFonts w:hint="default" w:ascii="Times New Roman" w:hAnsi="Times New Roman" w:cs="Times New Roman"/>
                <w:color w:val="auto"/>
                <w:sz w:val="24"/>
                <w:lang w:bidi="ar"/>
              </w:rPr>
              <w:t>对于基本污染物环境质量现状数据，项目所在区域达标判定，优先采用国家或地方生态环境主管部门公开发布的评价基准年环境质量公告或环境质量报告中的数据或结论</w:t>
            </w:r>
            <w:r>
              <w:rPr>
                <w:rFonts w:hint="default" w:ascii="Times New Roman" w:hAnsi="Times New Roman" w:cs="Times New Roman"/>
                <w:color w:val="auto"/>
                <w:sz w:val="24"/>
                <w:lang w:eastAsia="zh-CN" w:bidi="ar"/>
              </w:rPr>
              <w:t>。</w:t>
            </w:r>
          </w:p>
          <w:p>
            <w:pPr>
              <w:widowControl/>
              <w:tabs>
                <w:tab w:val="left" w:pos="0"/>
              </w:tabs>
              <w:spacing w:line="360" w:lineRule="auto"/>
              <w:ind w:firstLine="480" w:firstLineChars="200"/>
              <w:rPr>
                <w:rFonts w:hint="default" w:ascii="Times New Roman" w:hAnsi="Times New Roman" w:eastAsia="宋体" w:cs="Times New Roman"/>
                <w:color w:val="auto"/>
                <w:sz w:val="24"/>
                <w:lang w:val="en-US" w:eastAsia="zh-CN" w:bidi="ar"/>
              </w:rPr>
            </w:pPr>
            <w:r>
              <w:rPr>
                <w:rFonts w:hint="default" w:ascii="Times New Roman" w:hAnsi="Times New Roman" w:eastAsia="宋体" w:cs="Times New Roman"/>
                <w:color w:val="auto"/>
                <w:kern w:val="0"/>
                <w:sz w:val="24"/>
                <w:szCs w:val="24"/>
                <w:lang w:val="en-US" w:eastAsia="zh-CN" w:bidi="ar"/>
              </w:rPr>
              <w:t>根</w:t>
            </w:r>
            <w:r>
              <w:rPr>
                <w:rFonts w:hint="default" w:ascii="Times New Roman" w:hAnsi="Times New Roman" w:eastAsia="宋体" w:cs="Times New Roman"/>
                <w:color w:val="auto"/>
                <w:sz w:val="24"/>
                <w:lang w:val="en-US" w:eastAsia="zh-CN" w:bidi="ar"/>
              </w:rPr>
              <w:t>据导则对环境质量现状数据的要求，本次评价选取距离本项目最近55km处的国控监测站点独山子区（站点编号1954A），2020年基准年连续1年的监测数据，基本污染物包括SO</w:t>
            </w:r>
            <w:r>
              <w:rPr>
                <w:rFonts w:hint="default" w:ascii="Times New Roman" w:hAnsi="Times New Roman" w:eastAsia="宋体" w:cs="Times New Roman"/>
                <w:color w:val="auto"/>
                <w:sz w:val="24"/>
                <w:vertAlign w:val="subscript"/>
                <w:lang w:val="en-US" w:eastAsia="zh-CN" w:bidi="ar"/>
              </w:rPr>
              <w:t>2</w:t>
            </w:r>
            <w:r>
              <w:rPr>
                <w:rFonts w:hint="default" w:ascii="Times New Roman" w:hAnsi="Times New Roman" w:eastAsia="宋体" w:cs="Times New Roman"/>
                <w:color w:val="auto"/>
                <w:sz w:val="24"/>
                <w:lang w:val="en-US" w:eastAsia="zh-CN" w:bidi="ar"/>
              </w:rPr>
              <w:t>、NO</w:t>
            </w:r>
            <w:r>
              <w:rPr>
                <w:rFonts w:hint="default" w:ascii="Times New Roman" w:hAnsi="Times New Roman" w:eastAsia="宋体" w:cs="Times New Roman"/>
                <w:color w:val="auto"/>
                <w:sz w:val="24"/>
                <w:vertAlign w:val="subscript"/>
                <w:lang w:val="en-US" w:eastAsia="zh-CN" w:bidi="ar"/>
              </w:rPr>
              <w:t>2</w:t>
            </w:r>
            <w:r>
              <w:rPr>
                <w:rFonts w:hint="default" w:ascii="Times New Roman" w:hAnsi="Times New Roman" w:eastAsia="宋体" w:cs="Times New Roman"/>
                <w:color w:val="auto"/>
                <w:sz w:val="24"/>
                <w:lang w:val="en-US" w:eastAsia="zh-CN" w:bidi="ar"/>
              </w:rPr>
              <w:t>、PM</w:t>
            </w:r>
            <w:r>
              <w:rPr>
                <w:rFonts w:hint="default" w:ascii="Times New Roman" w:hAnsi="Times New Roman" w:eastAsia="宋体" w:cs="Times New Roman"/>
                <w:color w:val="auto"/>
                <w:sz w:val="24"/>
                <w:vertAlign w:val="subscript"/>
                <w:lang w:val="en-US" w:eastAsia="zh-CN" w:bidi="ar"/>
              </w:rPr>
              <w:t>2.5</w:t>
            </w:r>
            <w:r>
              <w:rPr>
                <w:rFonts w:hint="default" w:ascii="Times New Roman" w:hAnsi="Times New Roman" w:eastAsia="宋体" w:cs="Times New Roman"/>
                <w:color w:val="auto"/>
                <w:sz w:val="24"/>
                <w:lang w:val="en-US" w:eastAsia="zh-CN" w:bidi="ar"/>
              </w:rPr>
              <w:t>、PM</w:t>
            </w:r>
            <w:r>
              <w:rPr>
                <w:rFonts w:hint="default" w:ascii="Times New Roman" w:hAnsi="Times New Roman" w:eastAsia="宋体" w:cs="Times New Roman"/>
                <w:color w:val="auto"/>
                <w:sz w:val="24"/>
                <w:vertAlign w:val="subscript"/>
                <w:lang w:val="en-US" w:eastAsia="zh-CN" w:bidi="ar"/>
              </w:rPr>
              <w:t>10</w:t>
            </w:r>
            <w:r>
              <w:rPr>
                <w:rFonts w:hint="default" w:ascii="Times New Roman" w:hAnsi="Times New Roman" w:eastAsia="宋体" w:cs="Times New Roman"/>
                <w:color w:val="auto"/>
                <w:sz w:val="24"/>
                <w:lang w:val="en-US" w:eastAsia="zh-CN" w:bidi="ar"/>
              </w:rPr>
              <w:t>、CO和O</w:t>
            </w:r>
            <w:r>
              <w:rPr>
                <w:rFonts w:hint="default" w:ascii="Times New Roman" w:hAnsi="Times New Roman" w:eastAsia="宋体" w:cs="Times New Roman"/>
                <w:color w:val="auto"/>
                <w:sz w:val="24"/>
                <w:vertAlign w:val="subscript"/>
                <w:lang w:val="en-US" w:eastAsia="zh-CN" w:bidi="ar"/>
              </w:rPr>
              <w:t>3</w:t>
            </w:r>
            <w:r>
              <w:rPr>
                <w:rFonts w:hint="default" w:ascii="Times New Roman" w:hAnsi="Times New Roman" w:eastAsia="宋体" w:cs="Times New Roman"/>
                <w:color w:val="auto"/>
                <w:sz w:val="24"/>
                <w:lang w:val="en-US" w:eastAsia="zh-CN" w:bidi="ar"/>
              </w:rPr>
              <w:t>，进行项目所在区域环境空气达标判定和区域各污染物的环境质量现状评价。</w:t>
            </w:r>
          </w:p>
          <w:p>
            <w:pPr>
              <w:widowControl/>
              <w:tabs>
                <w:tab w:val="left" w:pos="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（2）评价标准</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基本污染物SO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、CO和O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执行《环境空气质量标准》（GB3095-2012）中的二级标准。</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（3）评价方法</w:t>
            </w:r>
          </w:p>
          <w:p>
            <w:pPr>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评价方法：基本污染物按照《环境空气质量评价技术规范（试行）》（HJ663-2013）中各评价项目的年评价指标进行判定。年评价指标中的年均浓度和相应百分位数24h平均或8h平均质量浓度满足GB3095中浓度限值要求的即为达标。对于超标的污染物，计算其超标倍数和超标率。</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根据《环境影响评价技术导则大气环境》（HJ2.2-2018），本次区域环境质量现状参考空气质量数据查询。达标判定结果见表3-1。</w:t>
            </w:r>
          </w:p>
          <w:p>
            <w:pPr>
              <w:adjustRightInd w:val="0"/>
              <w:snapToGrid w:val="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表3-1</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基本污染物环境质量现状评价表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979"/>
              <w:gridCol w:w="2419"/>
              <w:gridCol w:w="1071"/>
              <w:gridCol w:w="1071"/>
              <w:gridCol w:w="806"/>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782" w:type="dxa"/>
                  <w:noWrap w:val="0"/>
                  <w:vAlign w:val="center"/>
                </w:tcPr>
                <w:p>
                  <w:pPr>
                    <w:tabs>
                      <w:tab w:val="left" w:pos="0"/>
                    </w:tabs>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监测站点</w:t>
                  </w:r>
                </w:p>
              </w:tc>
              <w:tc>
                <w:tcPr>
                  <w:tcW w:w="979" w:type="dxa"/>
                  <w:noWrap w:val="0"/>
                  <w:vAlign w:val="center"/>
                </w:tcPr>
                <w:p>
                  <w:pPr>
                    <w:tabs>
                      <w:tab w:val="left" w:pos="0"/>
                    </w:tabs>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2419" w:type="dxa"/>
                  <w:noWrap w:val="0"/>
                  <w:vAlign w:val="center"/>
                </w:tcPr>
                <w:p>
                  <w:pPr>
                    <w:tabs>
                      <w:tab w:val="left" w:pos="0"/>
                    </w:tabs>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年评价指标</w:t>
                  </w:r>
                </w:p>
              </w:tc>
              <w:tc>
                <w:tcPr>
                  <w:tcW w:w="1071" w:type="dxa"/>
                  <w:noWrap w:val="0"/>
                  <w:vAlign w:val="center"/>
                </w:tcPr>
                <w:p>
                  <w:pPr>
                    <w:tabs>
                      <w:tab w:val="left" w:pos="0"/>
                    </w:tabs>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现状浓度µg/m</w:t>
                  </w:r>
                  <w:r>
                    <w:rPr>
                      <w:rFonts w:hint="default" w:ascii="Times New Roman" w:hAnsi="Times New Roman" w:cs="Times New Roman"/>
                      <w:b/>
                      <w:bCs/>
                      <w:color w:val="auto"/>
                      <w:szCs w:val="21"/>
                      <w:vertAlign w:val="superscript"/>
                    </w:rPr>
                    <w:t>3</w:t>
                  </w:r>
                </w:p>
              </w:tc>
              <w:tc>
                <w:tcPr>
                  <w:tcW w:w="1071" w:type="dxa"/>
                  <w:noWrap w:val="0"/>
                  <w:vAlign w:val="center"/>
                </w:tcPr>
                <w:p>
                  <w:pPr>
                    <w:tabs>
                      <w:tab w:val="left" w:pos="0"/>
                    </w:tabs>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评价标准</w:t>
                  </w:r>
                </w:p>
                <w:p>
                  <w:pPr>
                    <w:tabs>
                      <w:tab w:val="left" w:pos="0"/>
                    </w:tabs>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µg/m</w:t>
                  </w:r>
                  <w:r>
                    <w:rPr>
                      <w:rFonts w:hint="default" w:ascii="Times New Roman" w:hAnsi="Times New Roman" w:cs="Times New Roman"/>
                      <w:b/>
                      <w:bCs/>
                      <w:color w:val="auto"/>
                      <w:szCs w:val="21"/>
                      <w:vertAlign w:val="superscript"/>
                    </w:rPr>
                    <w:t>3</w:t>
                  </w:r>
                </w:p>
              </w:tc>
              <w:tc>
                <w:tcPr>
                  <w:tcW w:w="806" w:type="dxa"/>
                  <w:noWrap w:val="0"/>
                  <w:vAlign w:val="center"/>
                </w:tcPr>
                <w:p>
                  <w:pPr>
                    <w:tabs>
                      <w:tab w:val="left" w:pos="0"/>
                    </w:tabs>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占标率%</w:t>
                  </w:r>
                </w:p>
              </w:tc>
              <w:tc>
                <w:tcPr>
                  <w:tcW w:w="899" w:type="dxa"/>
                  <w:noWrap w:val="0"/>
                  <w:vAlign w:val="center"/>
                </w:tcPr>
                <w:p>
                  <w:pPr>
                    <w:tabs>
                      <w:tab w:val="left" w:pos="0"/>
                    </w:tabs>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达标</w:t>
                  </w:r>
                </w:p>
                <w:p>
                  <w:pPr>
                    <w:tabs>
                      <w:tab w:val="left" w:pos="0"/>
                    </w:tabs>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2" w:type="dxa"/>
                  <w:vMerge w:val="restart"/>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独山子</w:t>
                  </w:r>
                  <w:r>
                    <w:rPr>
                      <w:rFonts w:hint="default" w:ascii="Times New Roman" w:hAnsi="Times New Roman" w:eastAsia="宋体" w:cs="Times New Roman"/>
                      <w:color w:val="auto"/>
                      <w:szCs w:val="21"/>
                    </w:rPr>
                    <w:t>地区</w:t>
                  </w:r>
                  <w:r>
                    <w:rPr>
                      <w:rFonts w:hint="default" w:ascii="Times New Roman" w:hAnsi="Times New Roman" w:cs="Times New Roman"/>
                      <w:color w:val="auto"/>
                      <w:szCs w:val="21"/>
                    </w:rPr>
                    <w:t>环境监测站</w:t>
                  </w:r>
                </w:p>
              </w:tc>
              <w:tc>
                <w:tcPr>
                  <w:tcW w:w="97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CO</w:t>
                  </w:r>
                </w:p>
              </w:tc>
              <w:tc>
                <w:tcPr>
                  <w:tcW w:w="241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日平均第95百分位数</w:t>
                  </w:r>
                </w:p>
              </w:tc>
              <w:tc>
                <w:tcPr>
                  <w:tcW w:w="1071" w:type="dxa"/>
                  <w:noWrap w:val="0"/>
                  <w:vAlign w:val="center"/>
                </w:tcPr>
                <w:p>
                  <w:pPr>
                    <w:tabs>
                      <w:tab w:val="left" w:pos="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1400</w:t>
                  </w:r>
                </w:p>
              </w:tc>
              <w:tc>
                <w:tcPr>
                  <w:tcW w:w="1071"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4000</w:t>
                  </w:r>
                </w:p>
              </w:tc>
              <w:tc>
                <w:tcPr>
                  <w:tcW w:w="806" w:type="dxa"/>
                  <w:noWrap w:val="0"/>
                  <w:vAlign w:val="center"/>
                </w:tcPr>
                <w:p>
                  <w:pPr>
                    <w:widowControl/>
                    <w:tabs>
                      <w:tab w:val="left" w:pos="0"/>
                    </w:tabs>
                    <w:jc w:val="center"/>
                    <w:textAlignment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3</w:t>
                  </w:r>
                  <w:r>
                    <w:rPr>
                      <w:rFonts w:hint="eastAsia" w:ascii="Times New Roman" w:hAnsi="Times New Roman" w:cs="Times New Roman"/>
                      <w:color w:val="auto"/>
                      <w:szCs w:val="21"/>
                      <w:highlight w:val="none"/>
                      <w:lang w:val="en-US" w:eastAsia="zh-CN"/>
                    </w:rPr>
                    <w:t>5</w:t>
                  </w:r>
                </w:p>
              </w:tc>
              <w:tc>
                <w:tcPr>
                  <w:tcW w:w="89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2" w:type="dxa"/>
                  <w:vMerge w:val="continue"/>
                  <w:noWrap w:val="0"/>
                  <w:vAlign w:val="center"/>
                </w:tcPr>
                <w:p>
                  <w:pPr>
                    <w:tabs>
                      <w:tab w:val="left" w:pos="0"/>
                    </w:tabs>
                    <w:jc w:val="center"/>
                    <w:rPr>
                      <w:rFonts w:hint="default" w:ascii="Times New Roman" w:hAnsi="Times New Roman" w:cs="Times New Roman"/>
                      <w:color w:val="auto"/>
                      <w:szCs w:val="21"/>
                    </w:rPr>
                  </w:pPr>
                </w:p>
              </w:tc>
              <w:tc>
                <w:tcPr>
                  <w:tcW w:w="97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p>
              </w:tc>
              <w:tc>
                <w:tcPr>
                  <w:tcW w:w="241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日平均第90百分位数</w:t>
                  </w:r>
                </w:p>
              </w:tc>
              <w:tc>
                <w:tcPr>
                  <w:tcW w:w="1071" w:type="dxa"/>
                  <w:noWrap w:val="0"/>
                  <w:vAlign w:val="center"/>
                </w:tcPr>
                <w:p>
                  <w:pPr>
                    <w:tabs>
                      <w:tab w:val="left" w:pos="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117</w:t>
                  </w:r>
                </w:p>
              </w:tc>
              <w:tc>
                <w:tcPr>
                  <w:tcW w:w="1071"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160</w:t>
                  </w:r>
                </w:p>
              </w:tc>
              <w:tc>
                <w:tcPr>
                  <w:tcW w:w="806" w:type="dxa"/>
                  <w:noWrap w:val="0"/>
                  <w:vAlign w:val="center"/>
                </w:tcPr>
                <w:p>
                  <w:pPr>
                    <w:widowControl/>
                    <w:tabs>
                      <w:tab w:val="left" w:pos="0"/>
                    </w:tabs>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7</w:t>
                  </w:r>
                  <w:r>
                    <w:rPr>
                      <w:rFonts w:hint="eastAsia" w:ascii="Times New Roman" w:hAnsi="Times New Roman" w:cs="Times New Roman"/>
                      <w:color w:val="auto"/>
                      <w:szCs w:val="21"/>
                      <w:highlight w:val="none"/>
                      <w:lang w:val="en-US" w:eastAsia="zh-CN"/>
                    </w:rPr>
                    <w:t>3.13</w:t>
                  </w:r>
                </w:p>
              </w:tc>
              <w:tc>
                <w:tcPr>
                  <w:tcW w:w="89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2" w:type="dxa"/>
                  <w:vMerge w:val="continue"/>
                  <w:noWrap w:val="0"/>
                  <w:vAlign w:val="center"/>
                </w:tcPr>
                <w:p>
                  <w:pPr>
                    <w:tabs>
                      <w:tab w:val="left" w:pos="0"/>
                    </w:tabs>
                    <w:jc w:val="center"/>
                    <w:rPr>
                      <w:rFonts w:hint="default" w:ascii="Times New Roman" w:hAnsi="Times New Roman" w:cs="Times New Roman"/>
                      <w:color w:val="auto"/>
                      <w:szCs w:val="21"/>
                    </w:rPr>
                  </w:pPr>
                </w:p>
              </w:tc>
              <w:tc>
                <w:tcPr>
                  <w:tcW w:w="97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241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1071"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6</w:t>
                  </w:r>
                </w:p>
              </w:tc>
              <w:tc>
                <w:tcPr>
                  <w:tcW w:w="1071"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806" w:type="dxa"/>
                  <w:noWrap w:val="0"/>
                  <w:vAlign w:val="center"/>
                </w:tcPr>
                <w:p>
                  <w:pPr>
                    <w:widowControl/>
                    <w:tabs>
                      <w:tab w:val="left" w:pos="0"/>
                    </w:tabs>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0.1</w:t>
                  </w:r>
                </w:p>
              </w:tc>
              <w:tc>
                <w:tcPr>
                  <w:tcW w:w="89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2" w:type="dxa"/>
                  <w:vMerge w:val="continue"/>
                  <w:noWrap w:val="0"/>
                  <w:vAlign w:val="center"/>
                </w:tcPr>
                <w:p>
                  <w:pPr>
                    <w:tabs>
                      <w:tab w:val="left" w:pos="0"/>
                    </w:tabs>
                    <w:jc w:val="center"/>
                    <w:rPr>
                      <w:rFonts w:hint="default" w:ascii="Times New Roman" w:hAnsi="Times New Roman" w:cs="Times New Roman"/>
                      <w:color w:val="auto"/>
                      <w:szCs w:val="21"/>
                    </w:rPr>
                  </w:pPr>
                </w:p>
              </w:tc>
              <w:tc>
                <w:tcPr>
                  <w:tcW w:w="97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p>
              </w:tc>
              <w:tc>
                <w:tcPr>
                  <w:tcW w:w="241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1071" w:type="dxa"/>
                  <w:noWrap w:val="0"/>
                  <w:vAlign w:val="center"/>
                </w:tcPr>
                <w:p>
                  <w:pPr>
                    <w:tabs>
                      <w:tab w:val="left" w:pos="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21</w:t>
                  </w:r>
                </w:p>
              </w:tc>
              <w:tc>
                <w:tcPr>
                  <w:tcW w:w="1071"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40</w:t>
                  </w:r>
                </w:p>
              </w:tc>
              <w:tc>
                <w:tcPr>
                  <w:tcW w:w="806" w:type="dxa"/>
                  <w:noWrap w:val="0"/>
                  <w:vAlign w:val="center"/>
                </w:tcPr>
                <w:p>
                  <w:pPr>
                    <w:widowControl/>
                    <w:tabs>
                      <w:tab w:val="left" w:pos="0"/>
                    </w:tabs>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52.5</w:t>
                  </w:r>
                </w:p>
              </w:tc>
              <w:tc>
                <w:tcPr>
                  <w:tcW w:w="89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2" w:type="dxa"/>
                  <w:vMerge w:val="continue"/>
                  <w:noWrap w:val="0"/>
                  <w:vAlign w:val="center"/>
                </w:tcPr>
                <w:p>
                  <w:pPr>
                    <w:tabs>
                      <w:tab w:val="left" w:pos="0"/>
                    </w:tabs>
                    <w:jc w:val="center"/>
                    <w:rPr>
                      <w:rFonts w:hint="default" w:ascii="Times New Roman" w:hAnsi="Times New Roman" w:cs="Times New Roman"/>
                      <w:color w:val="auto"/>
                      <w:szCs w:val="21"/>
                    </w:rPr>
                  </w:pPr>
                </w:p>
              </w:tc>
              <w:tc>
                <w:tcPr>
                  <w:tcW w:w="97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10</w:t>
                  </w:r>
                </w:p>
              </w:tc>
              <w:tc>
                <w:tcPr>
                  <w:tcW w:w="241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1071" w:type="dxa"/>
                  <w:noWrap w:val="0"/>
                  <w:vAlign w:val="center"/>
                </w:tcPr>
                <w:p>
                  <w:pPr>
                    <w:tabs>
                      <w:tab w:val="left" w:pos="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54</w:t>
                  </w:r>
                </w:p>
              </w:tc>
              <w:tc>
                <w:tcPr>
                  <w:tcW w:w="1071"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806" w:type="dxa"/>
                  <w:noWrap w:val="0"/>
                  <w:vAlign w:val="center"/>
                </w:tcPr>
                <w:p>
                  <w:pPr>
                    <w:widowControl/>
                    <w:tabs>
                      <w:tab w:val="left" w:pos="0"/>
                    </w:tabs>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77.14</w:t>
                  </w:r>
                </w:p>
              </w:tc>
              <w:tc>
                <w:tcPr>
                  <w:tcW w:w="89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82" w:type="dxa"/>
                  <w:vMerge w:val="continue"/>
                  <w:noWrap w:val="0"/>
                  <w:vAlign w:val="center"/>
                </w:tcPr>
                <w:p>
                  <w:pPr>
                    <w:tabs>
                      <w:tab w:val="left" w:pos="0"/>
                    </w:tabs>
                    <w:jc w:val="center"/>
                    <w:rPr>
                      <w:rFonts w:hint="default" w:ascii="Times New Roman" w:hAnsi="Times New Roman" w:cs="Times New Roman"/>
                      <w:color w:val="auto"/>
                      <w:szCs w:val="21"/>
                    </w:rPr>
                  </w:pPr>
                </w:p>
              </w:tc>
              <w:tc>
                <w:tcPr>
                  <w:tcW w:w="97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2.5</w:t>
                  </w:r>
                </w:p>
              </w:tc>
              <w:tc>
                <w:tcPr>
                  <w:tcW w:w="241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年平均质量浓度</w:t>
                  </w:r>
                </w:p>
              </w:tc>
              <w:tc>
                <w:tcPr>
                  <w:tcW w:w="1071" w:type="dxa"/>
                  <w:noWrap w:val="0"/>
                  <w:vAlign w:val="center"/>
                </w:tcPr>
                <w:p>
                  <w:pPr>
                    <w:tabs>
                      <w:tab w:val="left" w:pos="0"/>
                    </w:tabs>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26</w:t>
                  </w:r>
                </w:p>
              </w:tc>
              <w:tc>
                <w:tcPr>
                  <w:tcW w:w="1071"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35</w:t>
                  </w:r>
                </w:p>
              </w:tc>
              <w:tc>
                <w:tcPr>
                  <w:tcW w:w="806" w:type="dxa"/>
                  <w:noWrap w:val="0"/>
                  <w:vAlign w:val="center"/>
                </w:tcPr>
                <w:p>
                  <w:pPr>
                    <w:widowControl/>
                    <w:tabs>
                      <w:tab w:val="left" w:pos="0"/>
                    </w:tabs>
                    <w:jc w:val="center"/>
                    <w:textAlignment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74.29</w:t>
                  </w:r>
                </w:p>
              </w:tc>
              <w:tc>
                <w:tcPr>
                  <w:tcW w:w="899" w:type="dxa"/>
                  <w:noWrap w:val="0"/>
                  <w:vAlign w:val="center"/>
                </w:tcPr>
                <w:p>
                  <w:pPr>
                    <w:tabs>
                      <w:tab w:val="left" w:pos="0"/>
                    </w:tabs>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bl>
          <w:p>
            <w:pPr>
              <w:adjustRightInd w:val="0"/>
              <w:snapToGrid w:val="0"/>
              <w:spacing w:line="360" w:lineRule="auto"/>
              <w:ind w:firstLine="480" w:firstLineChars="200"/>
              <w:rPr>
                <w:rFonts w:hint="default" w:ascii="Times New Roman" w:hAnsi="Times New Roman" w:eastAsia="宋体" w:cs="Times New Roman"/>
                <w:color w:val="auto"/>
                <w:sz w:val="24"/>
                <w:lang w:val="zh-CN"/>
              </w:rPr>
            </w:pPr>
            <w:r>
              <w:rPr>
                <w:rFonts w:hint="default" w:ascii="Times New Roman" w:hAnsi="Times New Roman" w:eastAsia="宋体" w:cs="Times New Roman"/>
                <w:color w:val="auto"/>
                <w:sz w:val="24"/>
                <w:lang w:val="zh-CN"/>
              </w:rPr>
              <w:t>由上表评价结果可知，</w:t>
            </w:r>
            <w:r>
              <w:rPr>
                <w:rFonts w:hint="default" w:ascii="Times New Roman" w:hAnsi="Times New Roman" w:eastAsia="宋体" w:cs="Times New Roman"/>
                <w:color w:val="auto"/>
                <w:sz w:val="24"/>
                <w:lang w:val="en-US" w:eastAsia="zh-CN"/>
              </w:rPr>
              <w:t>2020年评价区各评价因子</w:t>
            </w:r>
            <w:r>
              <w:rPr>
                <w:rFonts w:hint="default" w:ascii="Times New Roman" w:hAnsi="Times New Roman" w:eastAsia="宋体" w:cs="Times New Roman"/>
                <w:color w:val="auto"/>
                <w:sz w:val="24"/>
              </w:rPr>
              <w:t>污染物平均浓度均</w:t>
            </w:r>
            <w:r>
              <w:rPr>
                <w:rFonts w:hint="default" w:ascii="Times New Roman" w:hAnsi="Times New Roman" w:eastAsia="宋体" w:cs="Times New Roman"/>
                <w:color w:val="auto"/>
                <w:sz w:val="24"/>
                <w:lang w:eastAsia="zh-CN"/>
              </w:rPr>
              <w:t>满足</w:t>
            </w:r>
            <w:r>
              <w:rPr>
                <w:rFonts w:hint="default" w:ascii="Times New Roman" w:hAnsi="Times New Roman" w:eastAsia="宋体" w:cs="Times New Roman"/>
                <w:color w:val="auto"/>
                <w:sz w:val="24"/>
              </w:rPr>
              <w:t>《环境空气质量标准》（GB3095-2012）中二级标准限值</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zh-CN"/>
              </w:rPr>
              <w:t>因此判定项目区为达标区。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color w:val="auto"/>
                <w:sz w:val="24"/>
                <w:szCs w:val="24"/>
                <w:lang w:val="en-US" w:eastAsia="zh-CN"/>
              </w:rPr>
            </w:pPr>
            <w:bookmarkStart w:id="6" w:name="_Toc29722417"/>
            <w:r>
              <w:rPr>
                <w:rFonts w:hint="default"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bCs/>
                <w:color w:val="auto"/>
                <w:sz w:val="24"/>
                <w:szCs w:val="24"/>
                <w:lang w:val="en-US" w:eastAsia="zh-CN"/>
              </w:rPr>
              <w:t>地下水、土壤环境现状调查及分析</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本项目不存在地下水、土壤环境污染途径，根据</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建设项目环境影响报告表编制技术指南（污染影响类）</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（试行），本项目不需要开展地下水、土壤环境质量现状调查。</w:t>
            </w:r>
          </w:p>
          <w:bookmarkEnd w:id="6"/>
          <w:p>
            <w:pPr>
              <w:numPr>
                <w:ilvl w:val="0"/>
                <w:numId w:val="0"/>
              </w:numPr>
              <w:spacing w:line="360" w:lineRule="auto"/>
              <w:rPr>
                <w:rFonts w:hint="default" w:ascii="Times New Roman" w:hAnsi="Times New Roman" w:cs="Times New Roman"/>
                <w:b/>
                <w:bCs/>
                <w:color w:val="auto"/>
                <w:sz w:val="24"/>
              </w:rPr>
            </w:pPr>
            <w:r>
              <w:rPr>
                <w:rFonts w:hint="eastAsia" w:ascii="Times New Roman" w:hAnsi="Times New Roman" w:cs="Times New Roman"/>
                <w:b/>
                <w:bCs/>
                <w:color w:val="auto"/>
                <w:sz w:val="24"/>
                <w:lang w:val="en-US" w:eastAsia="zh-CN"/>
              </w:rPr>
              <w:t>3、</w:t>
            </w:r>
            <w:r>
              <w:rPr>
                <w:rFonts w:hint="default" w:ascii="Times New Roman" w:hAnsi="Times New Roman" w:cs="Times New Roman"/>
                <w:b/>
                <w:bCs/>
                <w:color w:val="auto"/>
                <w:sz w:val="24"/>
              </w:rPr>
              <w:t>声环境质量现状监测与评价</w:t>
            </w:r>
          </w:p>
          <w:p>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本项目厂界外周边50m范围内</w:t>
            </w:r>
            <w:r>
              <w:rPr>
                <w:rFonts w:hint="eastAsia" w:ascii="Times New Roman" w:hAnsi="Times New Roman" w:eastAsia="宋体" w:cs="Times New Roman"/>
                <w:color w:val="auto"/>
                <w:sz w:val="24"/>
                <w:szCs w:val="24"/>
                <w:lang w:val="en-US" w:eastAsia="zh-CN"/>
              </w:rPr>
              <w:t>无</w:t>
            </w:r>
            <w:r>
              <w:rPr>
                <w:rFonts w:hint="default" w:ascii="Times New Roman" w:hAnsi="Times New Roman" w:eastAsia="宋体" w:cs="Times New Roman"/>
                <w:color w:val="auto"/>
                <w:sz w:val="24"/>
                <w:szCs w:val="24"/>
              </w:rPr>
              <w:t>声环境保护目标，</w:t>
            </w:r>
            <w:r>
              <w:rPr>
                <w:rFonts w:hint="eastAsia" w:ascii="Times New Roman" w:hAnsi="Times New Roman" w:cs="Times New Roman"/>
                <w:color w:val="auto"/>
                <w:sz w:val="24"/>
                <w:szCs w:val="24"/>
                <w:lang w:val="en-US" w:eastAsia="zh-CN"/>
              </w:rPr>
              <w:t>根据</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建设项目环境影响报告表编制技术指南（污染影响类）</w:t>
            </w:r>
            <w:r>
              <w:rPr>
                <w:rFonts w:hint="default" w:ascii="Times New Roman" w:hAnsi="Times New Roman" w:cs="Times New Roman"/>
                <w:color w:val="auto"/>
                <w:sz w:val="24"/>
                <w:szCs w:val="24"/>
                <w:lang w:val="en-US" w:eastAsia="zh-CN"/>
              </w:rPr>
              <w:t>》</w:t>
            </w:r>
            <w:r>
              <w:rPr>
                <w:rFonts w:hint="eastAsia" w:ascii="Times New Roman" w:hAnsi="Times New Roman" w:cs="Times New Roman"/>
                <w:color w:val="auto"/>
                <w:sz w:val="24"/>
                <w:szCs w:val="24"/>
                <w:lang w:val="en-US" w:eastAsia="zh-CN"/>
              </w:rPr>
              <w:t>（试行），</w:t>
            </w: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不需要</w:t>
            </w:r>
            <w:r>
              <w:rPr>
                <w:rFonts w:hint="default" w:ascii="Times New Roman" w:hAnsi="Times New Roman" w:eastAsia="宋体" w:cs="Times New Roman"/>
                <w:color w:val="auto"/>
                <w:sz w:val="24"/>
                <w:szCs w:val="24"/>
              </w:rPr>
              <w:t>开展声环境质量现状调查。</w:t>
            </w:r>
          </w:p>
          <w:p>
            <w:pPr>
              <w:spacing w:line="360" w:lineRule="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rPr>
              <w:t>生态环境质量现状</w:t>
            </w:r>
          </w:p>
          <w:p>
            <w:pPr>
              <w:adjustRightInd w:val="0"/>
              <w:snapToGrid w:val="0"/>
              <w:spacing w:line="360" w:lineRule="auto"/>
              <w:ind w:firstLine="480" w:firstLineChars="200"/>
              <w:rPr>
                <w:rFonts w:hint="default" w:ascii="Times New Roman" w:hAnsi="Times New Roman" w:cs="Times New Roman"/>
                <w:color w:val="0000FF"/>
              </w:rPr>
            </w:pPr>
            <w:r>
              <w:rPr>
                <w:rFonts w:hint="default" w:ascii="Times New Roman" w:hAnsi="Times New Roman" w:eastAsia="宋体" w:cs="Times New Roman"/>
                <w:color w:val="auto"/>
                <w:sz w:val="24"/>
                <w:lang w:val="en-US" w:eastAsia="zh-CN"/>
              </w:rPr>
              <w:t>项目用地范围内不含有生态环境保护目标，根据《建设项目环境影响报告表编制技术指南（污染影响类）》（试行），本项目未开展生态环境现状调查。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435" w:type="dxa"/>
            <w:noWrap w:val="0"/>
            <w:vAlign w:val="center"/>
          </w:tcPr>
          <w:p>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环境</w:t>
            </w:r>
          </w:p>
          <w:p>
            <w:pPr>
              <w:adjustRightInd w:val="0"/>
              <w:snapToGrid w:val="0"/>
              <w:jc w:val="center"/>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rPr>
              <w:t>保护</w:t>
            </w:r>
          </w:p>
          <w:p>
            <w:pPr>
              <w:adjustRightInd w:val="0"/>
              <w:snapToGrid w:val="0"/>
              <w:jc w:val="center"/>
              <w:rPr>
                <w:rFonts w:hint="default" w:ascii="Times New Roman" w:hAnsi="Times New Roman" w:cs="Times New Roman"/>
                <w:color w:val="0000FF"/>
                <w:kern w:val="0"/>
                <w:szCs w:val="21"/>
              </w:rPr>
            </w:pPr>
            <w:r>
              <w:rPr>
                <w:rFonts w:hint="default" w:ascii="Times New Roman" w:hAnsi="Times New Roman" w:eastAsia="宋体" w:cs="Times New Roman"/>
                <w:color w:val="auto"/>
                <w:kern w:val="0"/>
                <w:sz w:val="24"/>
              </w:rPr>
              <w:t>目标</w:t>
            </w:r>
          </w:p>
        </w:tc>
        <w:tc>
          <w:tcPr>
            <w:tcW w:w="86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根据本项目的生产工艺，排污特征以及项目区的环境功能区划，确定本项目的环境保护目标为：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（1）大气环境：按《环境空气质量标准》（GB3095-2012）中的二级标准保护</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项目厂界外500米范围内无</w:t>
            </w:r>
            <w:r>
              <w:rPr>
                <w:rFonts w:hint="default" w:ascii="Times New Roman" w:hAnsi="Times New Roman" w:eastAsia="宋体" w:cs="Times New Roman"/>
                <w:color w:val="auto"/>
                <w:sz w:val="24"/>
                <w:lang w:eastAsia="zh-CN"/>
              </w:rPr>
              <w:t>大气</w:t>
            </w:r>
            <w:r>
              <w:rPr>
                <w:rFonts w:hint="default" w:ascii="Times New Roman" w:hAnsi="Times New Roman" w:eastAsia="宋体" w:cs="Times New Roman"/>
                <w:color w:val="auto"/>
                <w:sz w:val="24"/>
              </w:rPr>
              <w:t>环境保护目标</w:t>
            </w:r>
            <w:r>
              <w:rPr>
                <w:rFonts w:hint="default" w:ascii="Times New Roman" w:hAnsi="Times New Roman" w:eastAsia="宋体" w:cs="Times New Roman"/>
                <w:color w:val="auto"/>
                <w:sz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（2）地下水：按《地下水质量标准》（GB/T14848-2017）中的III类标准保护，项目厂界外500米范围内的无地下水集中式饮用水水源和热水、矿泉水、温泉等特殊地下水资源，无敏感目标。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（3）声环境：项目场地厂界外50米范围内无声环境保护目标。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rPr>
            </w:pPr>
            <w:r>
              <w:rPr>
                <w:rFonts w:hint="default" w:ascii="Times New Roman" w:hAnsi="Times New Roman" w:eastAsia="宋体" w:cs="Times New Roman"/>
                <w:color w:val="auto"/>
                <w:sz w:val="24"/>
              </w:rPr>
              <w:t>（4）生态环境：项目用地占地性质为建设用地。项目无生态环境保护目标。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435"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污染</w:t>
            </w:r>
          </w:p>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物排</w:t>
            </w:r>
          </w:p>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放控</w:t>
            </w:r>
          </w:p>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制标</w:t>
            </w:r>
          </w:p>
          <w:p>
            <w:pPr>
              <w:adjustRightInd w:val="0"/>
              <w:snapToGrid w:val="0"/>
              <w:jc w:val="center"/>
              <w:rPr>
                <w:rFonts w:hint="default" w:ascii="Times New Roman" w:hAnsi="Times New Roman" w:cs="Times New Roman"/>
                <w:color w:val="0000FF"/>
                <w:kern w:val="0"/>
                <w:szCs w:val="21"/>
              </w:rPr>
            </w:pPr>
            <w:r>
              <w:rPr>
                <w:rFonts w:hint="default" w:ascii="Times New Roman" w:hAnsi="Times New Roman" w:cs="Times New Roman"/>
                <w:color w:val="auto"/>
                <w:kern w:val="0"/>
                <w:sz w:val="24"/>
              </w:rPr>
              <w:t>准</w:t>
            </w:r>
          </w:p>
        </w:tc>
        <w:tc>
          <w:tcPr>
            <w:tcW w:w="862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1、废气排放标准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bookmarkStart w:id="7" w:name="_Hlk42784343"/>
            <w:r>
              <w:rPr>
                <w:rFonts w:hint="default" w:ascii="Times New Roman" w:hAnsi="Times New Roman" w:eastAsia="宋体" w:cs="Times New Roman"/>
                <w:color w:val="auto"/>
                <w:sz w:val="24"/>
              </w:rPr>
              <w:t>（1）污水处理站恶臭气体污染物无组织排放执行《医疗机构水污染物排放标准》（GB18466-2005）中表3标准。</w:t>
            </w:r>
          </w:p>
          <w:p>
            <w:pPr>
              <w:adjustRightInd w:val="0"/>
              <w:snapToGrid w:val="0"/>
              <w:jc w:val="center"/>
              <w:rPr>
                <w:rFonts w:hint="eastAsia"/>
                <w:b/>
                <w:bCs/>
                <w:sz w:val="24"/>
                <w:szCs w:val="24"/>
                <w:lang w:eastAsia="zh-CN"/>
              </w:rPr>
            </w:pPr>
            <w:r>
              <w:rPr>
                <w:rFonts w:hint="default"/>
                <w:b/>
                <w:bCs/>
                <w:sz w:val="24"/>
                <w:szCs w:val="24"/>
              </w:rPr>
              <w:t>表3-</w:t>
            </w:r>
            <w:r>
              <w:rPr>
                <w:rFonts w:hint="eastAsia"/>
                <w:b/>
                <w:bCs/>
                <w:sz w:val="24"/>
                <w:szCs w:val="24"/>
                <w:lang w:val="en-US" w:eastAsia="zh-CN"/>
              </w:rPr>
              <w:t xml:space="preserve">2   </w:t>
            </w:r>
            <w:r>
              <w:rPr>
                <w:rFonts w:hint="default"/>
                <w:b/>
                <w:bCs/>
                <w:sz w:val="24"/>
                <w:szCs w:val="24"/>
              </w:rPr>
              <w:t>无组织大气污染物最高允许浓度</w:t>
            </w:r>
          </w:p>
          <w:tbl>
            <w:tblPr>
              <w:tblStyle w:val="27"/>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689"/>
              <w:gridCol w:w="3623"/>
              <w:gridCol w:w="2049"/>
              <w:gridCol w:w="204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689" w:type="dxa"/>
                  <w:tcBorders>
                    <w:top w:val="single" w:color="000000" w:sz="12" w:space="0"/>
                    <w:left w:val="nil"/>
                    <w:bottom w:val="single" w:color="000000" w:sz="6" w:space="0"/>
                    <w:right w:val="single" w:color="000000" w:sz="6" w:space="0"/>
                  </w:tcBorders>
                  <w:noWrap w:val="0"/>
                  <w:vAlign w:val="center"/>
                </w:tcPr>
                <w:p>
                  <w:pPr>
                    <w:autoSpaceDE w:val="0"/>
                    <w:autoSpaceDN w:val="0"/>
                    <w:jc w:val="center"/>
                    <w:rPr>
                      <w:rFonts w:hint="default"/>
                    </w:rPr>
                  </w:pPr>
                  <w:r>
                    <w:rPr>
                      <w:rFonts w:hint="default"/>
                    </w:rPr>
                    <w:t>序号</w:t>
                  </w:r>
                </w:p>
              </w:tc>
              <w:tc>
                <w:tcPr>
                  <w:tcW w:w="3623" w:type="dxa"/>
                  <w:tcBorders>
                    <w:top w:val="single" w:color="000000" w:sz="12" w:space="0"/>
                    <w:left w:val="single" w:color="000000" w:sz="6" w:space="0"/>
                    <w:bottom w:val="single" w:color="000000" w:sz="6" w:space="0"/>
                    <w:right w:val="single" w:color="000000" w:sz="6" w:space="0"/>
                  </w:tcBorders>
                  <w:noWrap w:val="0"/>
                  <w:vAlign w:val="center"/>
                </w:tcPr>
                <w:p>
                  <w:pPr>
                    <w:autoSpaceDE w:val="0"/>
                    <w:autoSpaceDN w:val="0"/>
                    <w:jc w:val="center"/>
                    <w:rPr>
                      <w:rFonts w:hint="default"/>
                    </w:rPr>
                  </w:pPr>
                  <w:r>
                    <w:rPr>
                      <w:rFonts w:hint="default"/>
                    </w:rPr>
                    <w:t>控制项目</w:t>
                  </w:r>
                </w:p>
              </w:tc>
              <w:tc>
                <w:tcPr>
                  <w:tcW w:w="2049" w:type="dxa"/>
                  <w:tcBorders>
                    <w:top w:val="single" w:color="000000" w:sz="12" w:space="0"/>
                    <w:left w:val="single" w:color="000000" w:sz="6" w:space="0"/>
                    <w:bottom w:val="single" w:color="000000" w:sz="6" w:space="0"/>
                    <w:right w:val="nil"/>
                  </w:tcBorders>
                  <w:noWrap w:val="0"/>
                  <w:vAlign w:val="center"/>
                </w:tcPr>
                <w:p>
                  <w:pPr>
                    <w:autoSpaceDE w:val="0"/>
                    <w:autoSpaceDN w:val="0"/>
                    <w:jc w:val="center"/>
                    <w:rPr>
                      <w:rFonts w:hint="default"/>
                    </w:rPr>
                  </w:pPr>
                  <w:r>
                    <w:rPr>
                      <w:rFonts w:hint="default"/>
                    </w:rPr>
                    <w:t>排放值</w:t>
                  </w:r>
                </w:p>
              </w:tc>
              <w:tc>
                <w:tcPr>
                  <w:tcW w:w="2049" w:type="dxa"/>
                  <w:tcBorders>
                    <w:top w:val="single" w:color="000000" w:sz="12" w:space="0"/>
                    <w:left w:val="single" w:color="000000" w:sz="6" w:space="0"/>
                    <w:bottom w:val="single" w:color="000000" w:sz="6" w:space="0"/>
                    <w:right w:val="nil"/>
                  </w:tcBorders>
                  <w:noWrap w:val="0"/>
                  <w:vAlign w:val="top"/>
                </w:tcPr>
                <w:p>
                  <w:pPr>
                    <w:autoSpaceDE w:val="0"/>
                    <w:autoSpaceDN w:val="0"/>
                    <w:jc w:val="center"/>
                    <w:rPr>
                      <w:rFonts w:hint="default"/>
                    </w:rPr>
                  </w:pPr>
                  <w:r>
                    <w:rPr>
                      <w:rFonts w:hint="default"/>
                    </w:rPr>
                    <w:t>执行标准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689" w:type="dxa"/>
                  <w:tcBorders>
                    <w:top w:val="single" w:color="000000" w:sz="6" w:space="0"/>
                    <w:left w:val="nil"/>
                    <w:bottom w:val="single" w:color="000000" w:sz="6" w:space="0"/>
                    <w:right w:val="single" w:color="000000" w:sz="6" w:space="0"/>
                  </w:tcBorders>
                  <w:noWrap w:val="0"/>
                  <w:vAlign w:val="center"/>
                </w:tcPr>
                <w:p>
                  <w:pPr>
                    <w:autoSpaceDE w:val="0"/>
                    <w:autoSpaceDN w:val="0"/>
                    <w:jc w:val="center"/>
                    <w:rPr>
                      <w:rFonts w:hint="default"/>
                    </w:rPr>
                  </w:pPr>
                  <w:r>
                    <w:rPr>
                      <w:rFonts w:hint="default"/>
                    </w:rPr>
                    <w:t>1</w:t>
                  </w:r>
                </w:p>
              </w:tc>
              <w:tc>
                <w:tcPr>
                  <w:tcW w:w="362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jc w:val="center"/>
                    <w:rPr>
                      <w:rFonts w:hint="default"/>
                    </w:rPr>
                  </w:pPr>
                  <w:r>
                    <w:rPr>
                      <w:rFonts w:hint="default"/>
                    </w:rPr>
                    <w:t>氨（mg/m3）</w:t>
                  </w:r>
                </w:p>
              </w:tc>
              <w:tc>
                <w:tcPr>
                  <w:tcW w:w="2049" w:type="dxa"/>
                  <w:tcBorders>
                    <w:top w:val="single" w:color="000000" w:sz="6" w:space="0"/>
                    <w:left w:val="single" w:color="000000" w:sz="6" w:space="0"/>
                    <w:bottom w:val="single" w:color="000000" w:sz="6" w:space="0"/>
                    <w:right w:val="nil"/>
                  </w:tcBorders>
                  <w:noWrap w:val="0"/>
                  <w:vAlign w:val="center"/>
                </w:tcPr>
                <w:p>
                  <w:pPr>
                    <w:autoSpaceDE w:val="0"/>
                    <w:autoSpaceDN w:val="0"/>
                    <w:jc w:val="center"/>
                    <w:rPr>
                      <w:rFonts w:hint="default"/>
                    </w:rPr>
                  </w:pPr>
                  <w:r>
                    <w:rPr>
                      <w:rFonts w:hint="default"/>
                    </w:rPr>
                    <w:t>1.0</w:t>
                  </w:r>
                </w:p>
              </w:tc>
              <w:tc>
                <w:tcPr>
                  <w:tcW w:w="2049" w:type="dxa"/>
                  <w:vMerge w:val="restart"/>
                  <w:tcBorders>
                    <w:top w:val="single" w:color="000000" w:sz="6" w:space="0"/>
                    <w:left w:val="single" w:color="000000" w:sz="6" w:space="0"/>
                    <w:right w:val="nil"/>
                  </w:tcBorders>
                  <w:noWrap w:val="0"/>
                  <w:vAlign w:val="center"/>
                </w:tcPr>
                <w:p>
                  <w:pPr>
                    <w:autoSpaceDE w:val="0"/>
                    <w:autoSpaceDN w:val="0"/>
                    <w:jc w:val="center"/>
                    <w:rPr>
                      <w:rFonts w:hint="default"/>
                    </w:rPr>
                  </w:pPr>
                  <w:r>
                    <w:rPr>
                      <w:rFonts w:hint="default"/>
                    </w:rPr>
                    <w:t>《医疗机构水污染物排放标准》（GB18466-2005）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rPr>
                <w:trHeight w:val="20" w:hRule="atLeast"/>
                <w:jc w:val="center"/>
              </w:trPr>
              <w:tc>
                <w:tcPr>
                  <w:tcW w:w="689" w:type="dxa"/>
                  <w:tcBorders>
                    <w:top w:val="single" w:color="000000" w:sz="6" w:space="0"/>
                    <w:left w:val="nil"/>
                    <w:bottom w:val="single" w:color="000000" w:sz="6" w:space="0"/>
                    <w:right w:val="single" w:color="000000" w:sz="6" w:space="0"/>
                  </w:tcBorders>
                  <w:noWrap w:val="0"/>
                  <w:vAlign w:val="center"/>
                </w:tcPr>
                <w:p>
                  <w:pPr>
                    <w:autoSpaceDE w:val="0"/>
                    <w:autoSpaceDN w:val="0"/>
                    <w:jc w:val="center"/>
                    <w:rPr>
                      <w:rFonts w:hint="default"/>
                    </w:rPr>
                  </w:pPr>
                  <w:r>
                    <w:rPr>
                      <w:rFonts w:hint="default"/>
                    </w:rPr>
                    <w:t>2</w:t>
                  </w:r>
                </w:p>
              </w:tc>
              <w:tc>
                <w:tcPr>
                  <w:tcW w:w="362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jc w:val="center"/>
                    <w:rPr>
                      <w:rFonts w:hint="default"/>
                    </w:rPr>
                  </w:pPr>
                  <w:r>
                    <w:rPr>
                      <w:rFonts w:hint="default"/>
                    </w:rPr>
                    <w:t>硫化氢（mg/m3）</w:t>
                  </w:r>
                </w:p>
              </w:tc>
              <w:tc>
                <w:tcPr>
                  <w:tcW w:w="2049" w:type="dxa"/>
                  <w:tcBorders>
                    <w:top w:val="single" w:color="000000" w:sz="6" w:space="0"/>
                    <w:left w:val="single" w:color="000000" w:sz="6" w:space="0"/>
                    <w:bottom w:val="single" w:color="000000" w:sz="6" w:space="0"/>
                    <w:right w:val="nil"/>
                  </w:tcBorders>
                  <w:noWrap w:val="0"/>
                  <w:vAlign w:val="center"/>
                </w:tcPr>
                <w:p>
                  <w:pPr>
                    <w:autoSpaceDE w:val="0"/>
                    <w:autoSpaceDN w:val="0"/>
                    <w:jc w:val="center"/>
                    <w:rPr>
                      <w:rFonts w:hint="default"/>
                    </w:rPr>
                  </w:pPr>
                  <w:r>
                    <w:rPr>
                      <w:rFonts w:hint="default"/>
                    </w:rPr>
                    <w:t>0.03</w:t>
                  </w:r>
                </w:p>
              </w:tc>
              <w:tc>
                <w:tcPr>
                  <w:tcW w:w="2049" w:type="dxa"/>
                  <w:vMerge w:val="continue"/>
                  <w:tcBorders>
                    <w:left w:val="single" w:color="000000" w:sz="6" w:space="0"/>
                    <w:right w:val="nil"/>
                  </w:tcBorders>
                  <w:noWrap w:val="0"/>
                  <w:vAlign w:val="center"/>
                </w:tcPr>
                <w:p>
                  <w:pPr>
                    <w:autoSpaceDE w:val="0"/>
                    <w:autoSpaceDN w:val="0"/>
                    <w:jc w:val="center"/>
                    <w:rPr>
                      <w:rFonts w:hint="default"/>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689" w:type="dxa"/>
                  <w:tcBorders>
                    <w:top w:val="single" w:color="000000" w:sz="6" w:space="0"/>
                    <w:left w:val="nil"/>
                    <w:bottom w:val="single" w:color="000000" w:sz="6" w:space="0"/>
                    <w:right w:val="single" w:color="000000" w:sz="6" w:space="0"/>
                  </w:tcBorders>
                  <w:noWrap w:val="0"/>
                  <w:vAlign w:val="center"/>
                </w:tcPr>
                <w:p>
                  <w:pPr>
                    <w:autoSpaceDE w:val="0"/>
                    <w:autoSpaceDN w:val="0"/>
                    <w:jc w:val="center"/>
                    <w:rPr>
                      <w:rFonts w:hint="default"/>
                    </w:rPr>
                  </w:pPr>
                  <w:r>
                    <w:rPr>
                      <w:rFonts w:hint="default"/>
                    </w:rPr>
                    <w:t>3</w:t>
                  </w:r>
                </w:p>
              </w:tc>
              <w:tc>
                <w:tcPr>
                  <w:tcW w:w="362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jc w:val="center"/>
                    <w:rPr>
                      <w:rFonts w:hint="default"/>
                    </w:rPr>
                  </w:pPr>
                  <w:r>
                    <w:rPr>
                      <w:rFonts w:hint="default"/>
                    </w:rPr>
                    <w:t>臭气浓度（无量纲）</w:t>
                  </w:r>
                </w:p>
              </w:tc>
              <w:tc>
                <w:tcPr>
                  <w:tcW w:w="2049" w:type="dxa"/>
                  <w:tcBorders>
                    <w:top w:val="single" w:color="000000" w:sz="6" w:space="0"/>
                    <w:left w:val="single" w:color="000000" w:sz="6" w:space="0"/>
                    <w:bottom w:val="single" w:color="000000" w:sz="6" w:space="0"/>
                    <w:right w:val="nil"/>
                  </w:tcBorders>
                  <w:noWrap w:val="0"/>
                  <w:vAlign w:val="center"/>
                </w:tcPr>
                <w:p>
                  <w:pPr>
                    <w:autoSpaceDE w:val="0"/>
                    <w:autoSpaceDN w:val="0"/>
                    <w:jc w:val="center"/>
                    <w:rPr>
                      <w:rFonts w:hint="default"/>
                    </w:rPr>
                  </w:pPr>
                  <w:r>
                    <w:rPr>
                      <w:rFonts w:hint="default"/>
                    </w:rPr>
                    <w:t>10</w:t>
                  </w:r>
                </w:p>
              </w:tc>
              <w:tc>
                <w:tcPr>
                  <w:tcW w:w="2049" w:type="dxa"/>
                  <w:vMerge w:val="continue"/>
                  <w:tcBorders>
                    <w:left w:val="single" w:color="000000" w:sz="6" w:space="0"/>
                    <w:right w:val="nil"/>
                  </w:tcBorders>
                  <w:noWrap w:val="0"/>
                  <w:vAlign w:val="center"/>
                </w:tcPr>
                <w:p>
                  <w:pPr>
                    <w:autoSpaceDE w:val="0"/>
                    <w:autoSpaceDN w:val="0"/>
                    <w:jc w:val="center"/>
                    <w:rPr>
                      <w:rFonts w:hint="default"/>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689" w:type="dxa"/>
                  <w:tcBorders>
                    <w:top w:val="single" w:color="000000" w:sz="6" w:space="0"/>
                    <w:left w:val="nil"/>
                    <w:bottom w:val="single" w:color="000000" w:sz="6" w:space="0"/>
                    <w:right w:val="single" w:color="000000" w:sz="6" w:space="0"/>
                  </w:tcBorders>
                  <w:noWrap w:val="0"/>
                  <w:vAlign w:val="center"/>
                </w:tcPr>
                <w:p>
                  <w:pPr>
                    <w:autoSpaceDE w:val="0"/>
                    <w:autoSpaceDN w:val="0"/>
                    <w:jc w:val="center"/>
                    <w:rPr>
                      <w:rFonts w:hint="default"/>
                    </w:rPr>
                  </w:pPr>
                  <w:r>
                    <w:rPr>
                      <w:rFonts w:hint="default"/>
                    </w:rPr>
                    <w:t>4</w:t>
                  </w:r>
                </w:p>
              </w:tc>
              <w:tc>
                <w:tcPr>
                  <w:tcW w:w="362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jc w:val="center"/>
                    <w:rPr>
                      <w:rFonts w:hint="default"/>
                    </w:rPr>
                  </w:pPr>
                  <w:r>
                    <w:rPr>
                      <w:rFonts w:hint="default"/>
                    </w:rPr>
                    <w:t>氯气（mg/m3）</w:t>
                  </w:r>
                </w:p>
              </w:tc>
              <w:tc>
                <w:tcPr>
                  <w:tcW w:w="2049" w:type="dxa"/>
                  <w:tcBorders>
                    <w:top w:val="single" w:color="000000" w:sz="6" w:space="0"/>
                    <w:left w:val="single" w:color="000000" w:sz="6" w:space="0"/>
                    <w:bottom w:val="single" w:color="000000" w:sz="6" w:space="0"/>
                    <w:right w:val="nil"/>
                  </w:tcBorders>
                  <w:noWrap w:val="0"/>
                  <w:vAlign w:val="center"/>
                </w:tcPr>
                <w:p>
                  <w:pPr>
                    <w:autoSpaceDE w:val="0"/>
                    <w:autoSpaceDN w:val="0"/>
                    <w:jc w:val="center"/>
                    <w:rPr>
                      <w:rFonts w:hint="default"/>
                    </w:rPr>
                  </w:pPr>
                  <w:r>
                    <w:rPr>
                      <w:rFonts w:hint="default"/>
                    </w:rPr>
                    <w:t>0.1</w:t>
                  </w:r>
                </w:p>
              </w:tc>
              <w:tc>
                <w:tcPr>
                  <w:tcW w:w="2049" w:type="dxa"/>
                  <w:vMerge w:val="continue"/>
                  <w:tcBorders>
                    <w:left w:val="single" w:color="000000" w:sz="6" w:space="0"/>
                    <w:right w:val="nil"/>
                  </w:tcBorders>
                  <w:noWrap w:val="0"/>
                  <w:vAlign w:val="center"/>
                </w:tcPr>
                <w:p>
                  <w:pPr>
                    <w:autoSpaceDE w:val="0"/>
                    <w:autoSpaceDN w:val="0"/>
                    <w:jc w:val="center"/>
                    <w:rPr>
                      <w:rFonts w:hint="default"/>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689" w:type="dxa"/>
                  <w:tcBorders>
                    <w:top w:val="single" w:color="000000" w:sz="6" w:space="0"/>
                    <w:left w:val="nil"/>
                    <w:bottom w:val="single" w:color="000000" w:sz="6" w:space="0"/>
                    <w:right w:val="single" w:color="000000" w:sz="6" w:space="0"/>
                  </w:tcBorders>
                  <w:noWrap w:val="0"/>
                  <w:vAlign w:val="center"/>
                </w:tcPr>
                <w:p>
                  <w:pPr>
                    <w:autoSpaceDE w:val="0"/>
                    <w:autoSpaceDN w:val="0"/>
                    <w:jc w:val="center"/>
                    <w:rPr>
                      <w:rFonts w:hint="default"/>
                    </w:rPr>
                  </w:pPr>
                  <w:r>
                    <w:rPr>
                      <w:rFonts w:hint="default"/>
                    </w:rPr>
                    <w:t>5</w:t>
                  </w:r>
                </w:p>
              </w:tc>
              <w:tc>
                <w:tcPr>
                  <w:tcW w:w="362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jc w:val="center"/>
                    <w:rPr>
                      <w:rFonts w:hint="default"/>
                    </w:rPr>
                  </w:pPr>
                  <w:r>
                    <w:rPr>
                      <w:rFonts w:hint="default"/>
                    </w:rPr>
                    <w:t>甲烷</w:t>
                  </w:r>
                </w:p>
              </w:tc>
              <w:tc>
                <w:tcPr>
                  <w:tcW w:w="2049" w:type="dxa"/>
                  <w:tcBorders>
                    <w:top w:val="single" w:color="000000" w:sz="6" w:space="0"/>
                    <w:left w:val="single" w:color="000000" w:sz="6" w:space="0"/>
                    <w:bottom w:val="single" w:color="000000" w:sz="6" w:space="0"/>
                    <w:right w:val="nil"/>
                  </w:tcBorders>
                  <w:noWrap w:val="0"/>
                  <w:vAlign w:val="center"/>
                </w:tcPr>
                <w:p>
                  <w:pPr>
                    <w:autoSpaceDE w:val="0"/>
                    <w:autoSpaceDN w:val="0"/>
                    <w:jc w:val="center"/>
                    <w:rPr>
                      <w:rFonts w:hint="default"/>
                    </w:rPr>
                  </w:pPr>
                  <w:r>
                    <w:rPr>
                      <w:rFonts w:hint="default"/>
                    </w:rPr>
                    <w:t>1%</w:t>
                  </w:r>
                </w:p>
              </w:tc>
              <w:tc>
                <w:tcPr>
                  <w:tcW w:w="2049" w:type="dxa"/>
                  <w:vMerge w:val="continue"/>
                  <w:tcBorders>
                    <w:left w:val="single" w:color="000000" w:sz="6" w:space="0"/>
                    <w:bottom w:val="single" w:color="000000" w:sz="6" w:space="0"/>
                    <w:right w:val="nil"/>
                  </w:tcBorders>
                  <w:noWrap w:val="0"/>
                  <w:vAlign w:val="center"/>
                </w:tcPr>
                <w:p>
                  <w:pPr>
                    <w:autoSpaceDE w:val="0"/>
                    <w:autoSpaceDN w:val="0"/>
                    <w:jc w:val="center"/>
                    <w:rPr>
                      <w:rFonts w:hint="default"/>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（2）食堂餐饮执行《饮食业油烟排放标准》（GB18483-2001）中表2</w:t>
            </w:r>
            <w:r>
              <w:rPr>
                <w:rFonts w:hint="eastAsia" w:ascii="Times New Roman" w:hAnsi="Times New Roman" w:eastAsia="宋体" w:cs="Times New Roman"/>
                <w:color w:val="auto"/>
                <w:sz w:val="24"/>
                <w:lang w:eastAsia="zh-CN"/>
              </w:rPr>
              <w:t>中</w:t>
            </w:r>
            <w:r>
              <w:rPr>
                <w:rFonts w:hint="default" w:ascii="Times New Roman" w:hAnsi="Times New Roman" w:eastAsia="宋体" w:cs="Times New Roman"/>
                <w:color w:val="auto"/>
                <w:sz w:val="24"/>
              </w:rPr>
              <w:t>型规模：最高允许排放浓度和净化设施最低去除效率。</w:t>
            </w:r>
          </w:p>
          <w:bookmarkEnd w:id="7"/>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eastAsia" w:cs="Times New Roman"/>
                <w:color w:val="auto"/>
                <w:sz w:val="24"/>
                <w:lang w:val="en-US" w:eastAsia="zh-CN"/>
              </w:rPr>
              <w:t>3</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rPr>
              <w:t>制药工业企业或生产设施应执行《制药工业大气污染物排放标准》（GB37823—2019），本项目</w:t>
            </w:r>
            <w:r>
              <w:rPr>
                <w:rFonts w:hint="eastAsia" w:ascii="Times New Roman" w:hAnsi="Times New Roman" w:eastAsia="宋体" w:cs="Times New Roman"/>
                <w:color w:val="auto"/>
                <w:sz w:val="24"/>
                <w:lang w:eastAsia="zh-CN"/>
              </w:rPr>
              <w:t>固体</w:t>
            </w:r>
            <w:r>
              <w:rPr>
                <w:rFonts w:hint="eastAsia" w:ascii="Times New Roman" w:hAnsi="Times New Roman" w:eastAsia="宋体" w:cs="Times New Roman"/>
                <w:color w:val="auto"/>
                <w:sz w:val="24"/>
              </w:rPr>
              <w:t>制剂室废气主要为中药粉碎粉尘，主要污染物为颗粒物，经吸风式制药厂专用布袋除尘器处理后无组织排放。由于《制药工业大气污染物排放标准》（GB37823—2019）中无颗粒物无组织排放标准，因此本项目无组织粉尘执行《大气污染物综合排放标准》（GB16297-1996）表2无组织排放标准限值。</w:t>
            </w:r>
          </w:p>
          <w:p>
            <w:pPr>
              <w:adjustRightInd w:val="0"/>
              <w:snapToGrid w:val="0"/>
              <w:jc w:val="center"/>
              <w:rPr>
                <w:rFonts w:hint="eastAsia"/>
                <w:b/>
                <w:bCs/>
                <w:color w:val="auto"/>
                <w:sz w:val="24"/>
                <w:szCs w:val="24"/>
              </w:rPr>
            </w:pPr>
            <w:r>
              <w:rPr>
                <w:rFonts w:hint="eastAsia"/>
                <w:b/>
                <w:bCs/>
                <w:color w:val="auto"/>
                <w:sz w:val="24"/>
                <w:szCs w:val="24"/>
              </w:rPr>
              <w:t>表3-</w:t>
            </w:r>
            <w:r>
              <w:rPr>
                <w:rFonts w:hint="eastAsia"/>
                <w:b/>
                <w:bCs/>
                <w:color w:val="auto"/>
                <w:sz w:val="24"/>
                <w:szCs w:val="24"/>
                <w:lang w:val="en-US" w:eastAsia="zh-CN"/>
              </w:rPr>
              <w:t xml:space="preserve">3  </w:t>
            </w:r>
            <w:r>
              <w:rPr>
                <w:rFonts w:hint="eastAsia"/>
                <w:b/>
                <w:bCs/>
                <w:color w:val="auto"/>
                <w:sz w:val="24"/>
                <w:szCs w:val="24"/>
              </w:rPr>
              <w:t>大气污染物综合排放标准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19"/>
              <w:gridCol w:w="1451"/>
              <w:gridCol w:w="896"/>
              <w:gridCol w:w="1135"/>
              <w:gridCol w:w="854"/>
              <w:gridCol w:w="330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19" w:type="dxa"/>
                  <w:noWrap w:val="0"/>
                  <w:vAlign w:val="center"/>
                </w:tcPr>
                <w:p>
                  <w:pPr>
                    <w:autoSpaceDE w:val="0"/>
                    <w:autoSpaceDN w:val="0"/>
                    <w:adjustRightInd w:val="0"/>
                    <w:jc w:val="center"/>
                    <w:rPr>
                      <w:rFonts w:hint="eastAsia"/>
                      <w:color w:val="auto"/>
                      <w:lang w:eastAsia="zh-CN"/>
                    </w:rPr>
                  </w:pPr>
                  <w:r>
                    <w:rPr>
                      <w:rFonts w:hint="eastAsia"/>
                      <w:color w:val="auto"/>
                      <w:lang w:eastAsia="zh-CN"/>
                    </w:rPr>
                    <w:t>序号</w:t>
                  </w:r>
                </w:p>
              </w:tc>
              <w:tc>
                <w:tcPr>
                  <w:tcW w:w="1451" w:type="dxa"/>
                  <w:noWrap w:val="0"/>
                  <w:vAlign w:val="center"/>
                </w:tcPr>
                <w:p>
                  <w:pPr>
                    <w:autoSpaceDE w:val="0"/>
                    <w:autoSpaceDN w:val="0"/>
                    <w:adjustRightInd w:val="0"/>
                    <w:jc w:val="center"/>
                    <w:rPr>
                      <w:rFonts w:hint="eastAsia"/>
                      <w:color w:val="auto"/>
                      <w:lang w:eastAsia="zh-CN"/>
                    </w:rPr>
                  </w:pPr>
                  <w:r>
                    <w:rPr>
                      <w:rFonts w:hint="eastAsia"/>
                      <w:color w:val="auto"/>
                      <w:lang w:eastAsia="zh-CN"/>
                    </w:rPr>
                    <w:t>生产过程</w:t>
                  </w:r>
                </w:p>
              </w:tc>
              <w:tc>
                <w:tcPr>
                  <w:tcW w:w="896" w:type="dxa"/>
                  <w:noWrap w:val="0"/>
                  <w:vAlign w:val="center"/>
                </w:tcPr>
                <w:p>
                  <w:pPr>
                    <w:autoSpaceDE w:val="0"/>
                    <w:autoSpaceDN w:val="0"/>
                    <w:adjustRightInd w:val="0"/>
                    <w:jc w:val="center"/>
                    <w:rPr>
                      <w:rFonts w:hint="eastAsia"/>
                      <w:color w:val="auto"/>
                      <w:lang w:eastAsia="zh-CN"/>
                    </w:rPr>
                  </w:pPr>
                  <w:r>
                    <w:rPr>
                      <w:rFonts w:hint="eastAsia"/>
                      <w:color w:val="auto"/>
                      <w:lang w:eastAsia="zh-CN"/>
                    </w:rPr>
                    <w:t>排放形式</w:t>
                  </w:r>
                </w:p>
              </w:tc>
              <w:tc>
                <w:tcPr>
                  <w:tcW w:w="1135" w:type="dxa"/>
                  <w:noWrap w:val="0"/>
                  <w:vAlign w:val="center"/>
                </w:tcPr>
                <w:p>
                  <w:pPr>
                    <w:autoSpaceDE w:val="0"/>
                    <w:autoSpaceDN w:val="0"/>
                    <w:adjustRightInd w:val="0"/>
                    <w:jc w:val="center"/>
                    <w:rPr>
                      <w:rFonts w:hint="eastAsia"/>
                      <w:color w:val="auto"/>
                      <w:lang w:eastAsia="zh-CN"/>
                    </w:rPr>
                  </w:pPr>
                  <w:r>
                    <w:rPr>
                      <w:rFonts w:hint="eastAsia"/>
                      <w:color w:val="auto"/>
                      <w:lang w:eastAsia="zh-CN"/>
                    </w:rPr>
                    <w:t>污染因子</w:t>
                  </w:r>
                </w:p>
              </w:tc>
              <w:tc>
                <w:tcPr>
                  <w:tcW w:w="854" w:type="dxa"/>
                  <w:noWrap w:val="0"/>
                  <w:vAlign w:val="center"/>
                </w:tcPr>
                <w:p>
                  <w:pPr>
                    <w:autoSpaceDE w:val="0"/>
                    <w:autoSpaceDN w:val="0"/>
                    <w:adjustRightInd w:val="0"/>
                    <w:jc w:val="center"/>
                    <w:rPr>
                      <w:rFonts w:hint="eastAsia"/>
                      <w:color w:val="auto"/>
                      <w:lang w:eastAsia="zh-CN"/>
                    </w:rPr>
                  </w:pPr>
                  <w:r>
                    <w:rPr>
                      <w:rFonts w:hint="eastAsia"/>
                      <w:color w:val="auto"/>
                      <w:lang w:eastAsia="zh-CN"/>
                    </w:rPr>
                    <w:t>执行标准</w:t>
                  </w:r>
                </w:p>
              </w:tc>
              <w:tc>
                <w:tcPr>
                  <w:tcW w:w="3307" w:type="dxa"/>
                  <w:noWrap w:val="0"/>
                  <w:vAlign w:val="center"/>
                </w:tcPr>
                <w:p>
                  <w:pPr>
                    <w:autoSpaceDE w:val="0"/>
                    <w:autoSpaceDN w:val="0"/>
                    <w:adjustRightInd w:val="0"/>
                    <w:jc w:val="center"/>
                    <w:rPr>
                      <w:rFonts w:hint="eastAsia"/>
                      <w:color w:val="auto"/>
                      <w:lang w:eastAsia="zh-CN"/>
                    </w:rPr>
                  </w:pPr>
                  <w:r>
                    <w:rPr>
                      <w:rFonts w:hint="eastAsia"/>
                      <w:color w:val="auto"/>
                      <w:lang w:eastAsia="zh-CN"/>
                    </w:rPr>
                    <w:t>标准级别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519" w:type="dxa"/>
                  <w:noWrap w:val="0"/>
                  <w:vAlign w:val="center"/>
                </w:tcPr>
                <w:p>
                  <w:pPr>
                    <w:autoSpaceDE w:val="0"/>
                    <w:autoSpaceDN w:val="0"/>
                    <w:adjustRightInd w:val="0"/>
                    <w:jc w:val="center"/>
                    <w:rPr>
                      <w:rFonts w:hint="eastAsia"/>
                      <w:color w:val="auto"/>
                      <w:lang w:eastAsia="zh-CN"/>
                    </w:rPr>
                  </w:pPr>
                  <w:r>
                    <w:rPr>
                      <w:rFonts w:hint="eastAsia"/>
                      <w:color w:val="auto"/>
                      <w:lang w:eastAsia="zh-CN"/>
                    </w:rPr>
                    <w:t>1</w:t>
                  </w:r>
                </w:p>
              </w:tc>
              <w:tc>
                <w:tcPr>
                  <w:tcW w:w="1451" w:type="dxa"/>
                  <w:noWrap w:val="0"/>
                  <w:vAlign w:val="center"/>
                </w:tcPr>
                <w:p>
                  <w:pPr>
                    <w:autoSpaceDE w:val="0"/>
                    <w:autoSpaceDN w:val="0"/>
                    <w:adjustRightInd w:val="0"/>
                    <w:jc w:val="center"/>
                    <w:rPr>
                      <w:rFonts w:hint="eastAsia"/>
                      <w:color w:val="auto"/>
                      <w:lang w:eastAsia="zh-CN"/>
                    </w:rPr>
                  </w:pPr>
                  <w:r>
                    <w:rPr>
                      <w:rFonts w:hint="eastAsia"/>
                      <w:color w:val="auto"/>
                      <w:lang w:eastAsia="zh-CN"/>
                    </w:rPr>
                    <w:t>药物粉碎</w:t>
                  </w:r>
                </w:p>
              </w:tc>
              <w:tc>
                <w:tcPr>
                  <w:tcW w:w="896" w:type="dxa"/>
                  <w:noWrap w:val="0"/>
                  <w:vAlign w:val="center"/>
                </w:tcPr>
                <w:p>
                  <w:pPr>
                    <w:autoSpaceDE w:val="0"/>
                    <w:autoSpaceDN w:val="0"/>
                    <w:adjustRightInd w:val="0"/>
                    <w:jc w:val="center"/>
                    <w:rPr>
                      <w:rFonts w:hint="eastAsia"/>
                      <w:color w:val="auto"/>
                      <w:lang w:eastAsia="zh-CN"/>
                    </w:rPr>
                  </w:pPr>
                  <w:r>
                    <w:rPr>
                      <w:rFonts w:hint="eastAsia"/>
                      <w:color w:val="auto"/>
                      <w:lang w:eastAsia="zh-CN"/>
                    </w:rPr>
                    <w:t>无组织</w:t>
                  </w:r>
                </w:p>
              </w:tc>
              <w:tc>
                <w:tcPr>
                  <w:tcW w:w="1135" w:type="dxa"/>
                  <w:noWrap w:val="0"/>
                  <w:vAlign w:val="center"/>
                </w:tcPr>
                <w:p>
                  <w:pPr>
                    <w:autoSpaceDE w:val="0"/>
                    <w:autoSpaceDN w:val="0"/>
                    <w:adjustRightInd w:val="0"/>
                    <w:jc w:val="center"/>
                    <w:rPr>
                      <w:rFonts w:hint="eastAsia"/>
                      <w:color w:val="auto"/>
                      <w:lang w:eastAsia="zh-CN"/>
                    </w:rPr>
                  </w:pPr>
                  <w:r>
                    <w:rPr>
                      <w:rFonts w:hint="eastAsia"/>
                      <w:color w:val="auto"/>
                      <w:lang w:eastAsia="zh-CN"/>
                    </w:rPr>
                    <w:t>颗粒物</w:t>
                  </w:r>
                </w:p>
              </w:tc>
              <w:tc>
                <w:tcPr>
                  <w:tcW w:w="854" w:type="dxa"/>
                  <w:noWrap w:val="0"/>
                  <w:vAlign w:val="center"/>
                </w:tcPr>
                <w:p>
                  <w:pPr>
                    <w:autoSpaceDE w:val="0"/>
                    <w:autoSpaceDN w:val="0"/>
                    <w:adjustRightInd w:val="0"/>
                    <w:jc w:val="center"/>
                    <w:rPr>
                      <w:rFonts w:hint="eastAsia"/>
                      <w:color w:val="auto"/>
                      <w:lang w:eastAsia="zh-CN"/>
                    </w:rPr>
                  </w:pPr>
                  <w:r>
                    <w:rPr>
                      <w:rFonts w:hint="eastAsia"/>
                      <w:color w:val="auto"/>
                      <w:lang w:eastAsia="zh-CN"/>
                    </w:rPr>
                    <w:t>1.0</w:t>
                  </w:r>
                </w:p>
              </w:tc>
              <w:tc>
                <w:tcPr>
                  <w:tcW w:w="3307" w:type="dxa"/>
                  <w:noWrap w:val="0"/>
                  <w:vAlign w:val="center"/>
                </w:tcPr>
                <w:p>
                  <w:pPr>
                    <w:autoSpaceDE w:val="0"/>
                    <w:autoSpaceDN w:val="0"/>
                    <w:adjustRightInd w:val="0"/>
                    <w:jc w:val="center"/>
                    <w:rPr>
                      <w:rFonts w:hint="eastAsia"/>
                      <w:color w:val="auto"/>
                      <w:lang w:eastAsia="zh-CN"/>
                    </w:rPr>
                  </w:pPr>
                  <w:r>
                    <w:rPr>
                      <w:rFonts w:hint="eastAsia"/>
                      <w:color w:val="auto"/>
                      <w:lang w:eastAsia="zh-CN"/>
                    </w:rPr>
                    <w:t>《大气污染物综合排放标准》(GB16297-1996)表2无组织排放限值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519" w:type="dxa"/>
                  <w:noWrap w:val="0"/>
                  <w:vAlign w:val="center"/>
                </w:tcPr>
                <w:p>
                  <w:pPr>
                    <w:autoSpaceDE w:val="0"/>
                    <w:autoSpaceDN w:val="0"/>
                    <w:adjustRightInd w:val="0"/>
                    <w:jc w:val="center"/>
                    <w:rPr>
                      <w:rFonts w:hint="eastAsia"/>
                      <w:color w:val="auto"/>
                      <w:lang w:eastAsia="zh-CN"/>
                    </w:rPr>
                  </w:pPr>
                  <w:r>
                    <w:rPr>
                      <w:rFonts w:hint="eastAsia"/>
                      <w:color w:val="auto"/>
                      <w:lang w:eastAsia="zh-CN"/>
                    </w:rPr>
                    <w:t>2</w:t>
                  </w:r>
                </w:p>
              </w:tc>
              <w:tc>
                <w:tcPr>
                  <w:tcW w:w="1451" w:type="dxa"/>
                  <w:noWrap w:val="0"/>
                  <w:vAlign w:val="center"/>
                </w:tcPr>
                <w:p>
                  <w:pPr>
                    <w:autoSpaceDE w:val="0"/>
                    <w:autoSpaceDN w:val="0"/>
                    <w:adjustRightInd w:val="0"/>
                    <w:jc w:val="center"/>
                    <w:rPr>
                      <w:rFonts w:hint="eastAsia"/>
                      <w:color w:val="auto"/>
                      <w:lang w:eastAsia="zh-CN"/>
                    </w:rPr>
                  </w:pPr>
                  <w:r>
                    <w:rPr>
                      <w:rFonts w:hint="eastAsia"/>
                      <w:color w:val="auto"/>
                      <w:lang w:eastAsia="zh-CN"/>
                    </w:rPr>
                    <w:t>煎药、制剂</w:t>
                  </w:r>
                </w:p>
              </w:tc>
              <w:tc>
                <w:tcPr>
                  <w:tcW w:w="896" w:type="dxa"/>
                  <w:noWrap w:val="0"/>
                  <w:vAlign w:val="center"/>
                </w:tcPr>
                <w:p>
                  <w:pPr>
                    <w:autoSpaceDE w:val="0"/>
                    <w:autoSpaceDN w:val="0"/>
                    <w:adjustRightInd w:val="0"/>
                    <w:jc w:val="center"/>
                    <w:rPr>
                      <w:rFonts w:hint="eastAsia"/>
                      <w:color w:val="auto"/>
                      <w:lang w:eastAsia="zh-CN"/>
                    </w:rPr>
                  </w:pPr>
                  <w:r>
                    <w:rPr>
                      <w:rFonts w:hint="eastAsia"/>
                      <w:color w:val="auto"/>
                      <w:lang w:eastAsia="zh-CN"/>
                    </w:rPr>
                    <w:t>无组织</w:t>
                  </w:r>
                </w:p>
              </w:tc>
              <w:tc>
                <w:tcPr>
                  <w:tcW w:w="1135" w:type="dxa"/>
                  <w:noWrap w:val="0"/>
                  <w:vAlign w:val="center"/>
                </w:tcPr>
                <w:p>
                  <w:pPr>
                    <w:autoSpaceDE w:val="0"/>
                    <w:autoSpaceDN w:val="0"/>
                    <w:adjustRightInd w:val="0"/>
                    <w:jc w:val="center"/>
                    <w:rPr>
                      <w:rFonts w:hint="eastAsia"/>
                      <w:color w:val="auto"/>
                      <w:lang w:eastAsia="zh-CN"/>
                    </w:rPr>
                  </w:pPr>
                  <w:r>
                    <w:rPr>
                      <w:rFonts w:hint="eastAsia"/>
                      <w:color w:val="auto"/>
                      <w:lang w:eastAsia="zh-CN"/>
                    </w:rPr>
                    <w:t>臭气浓度</w:t>
                  </w:r>
                </w:p>
              </w:tc>
              <w:tc>
                <w:tcPr>
                  <w:tcW w:w="854" w:type="dxa"/>
                  <w:noWrap w:val="0"/>
                  <w:vAlign w:val="center"/>
                </w:tcPr>
                <w:p>
                  <w:pPr>
                    <w:autoSpaceDE w:val="0"/>
                    <w:autoSpaceDN w:val="0"/>
                    <w:adjustRightInd w:val="0"/>
                    <w:jc w:val="center"/>
                    <w:rPr>
                      <w:rFonts w:hint="eastAsia"/>
                      <w:color w:val="auto"/>
                      <w:lang w:eastAsia="zh-CN"/>
                    </w:rPr>
                  </w:pPr>
                  <w:r>
                    <w:rPr>
                      <w:rFonts w:hint="eastAsia"/>
                      <w:color w:val="auto"/>
                      <w:lang w:eastAsia="zh-CN"/>
                    </w:rPr>
                    <w:t>20</w:t>
                  </w:r>
                </w:p>
              </w:tc>
              <w:tc>
                <w:tcPr>
                  <w:tcW w:w="3307" w:type="dxa"/>
                  <w:noWrap w:val="0"/>
                  <w:vAlign w:val="center"/>
                </w:tcPr>
                <w:p>
                  <w:pPr>
                    <w:autoSpaceDE w:val="0"/>
                    <w:autoSpaceDN w:val="0"/>
                    <w:adjustRightInd w:val="0"/>
                    <w:jc w:val="center"/>
                    <w:rPr>
                      <w:rFonts w:hint="eastAsia"/>
                      <w:color w:val="auto"/>
                      <w:lang w:eastAsia="zh-CN"/>
                    </w:rPr>
                  </w:pPr>
                  <w:r>
                    <w:rPr>
                      <w:rFonts w:hint="eastAsia"/>
                      <w:color w:val="auto"/>
                      <w:lang w:eastAsia="zh-CN"/>
                    </w:rPr>
                    <w:t>《恶臭污染物排放标准》（GB14554-93）表1中二级标准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柴油发电机废气排放执行《大气污染物综合排放标准》（GB16297-1996）中表 2 中二级标准，具体见表 3-</w:t>
            </w:r>
            <w:r>
              <w:rPr>
                <w:rFonts w:hint="eastAsia" w:ascii="Times New Roman" w:hAnsi="Times New Roman" w:eastAsia="宋体" w:cs="Times New Roman"/>
                <w:color w:val="auto"/>
                <w:sz w:val="24"/>
                <w:lang w:val="en-US" w:eastAsia="zh-CN"/>
              </w:rPr>
              <w:t>4</w:t>
            </w:r>
            <w:r>
              <w:rPr>
                <w:rFonts w:hint="eastAsia" w:ascii="Times New Roman" w:hAnsi="Times New Roman" w:eastAsia="宋体" w:cs="Times New Roman"/>
                <w:color w:val="auto"/>
                <w:sz w:val="24"/>
              </w:rPr>
              <w:t>。</w:t>
            </w:r>
          </w:p>
          <w:p>
            <w:pPr>
              <w:adjustRightInd w:val="0"/>
              <w:snapToGrid w:val="0"/>
              <w:jc w:val="center"/>
              <w:rPr>
                <w:rFonts w:hint="eastAsia"/>
                <w:color w:val="auto"/>
              </w:rPr>
            </w:pPr>
            <w:r>
              <w:rPr>
                <w:rFonts w:hint="eastAsia"/>
                <w:b/>
                <w:bCs/>
                <w:color w:val="auto"/>
                <w:sz w:val="24"/>
                <w:szCs w:val="24"/>
              </w:rPr>
              <w:t>表3-</w:t>
            </w:r>
            <w:r>
              <w:rPr>
                <w:rFonts w:hint="eastAsia"/>
                <w:b/>
                <w:bCs/>
                <w:color w:val="auto"/>
                <w:sz w:val="24"/>
                <w:szCs w:val="24"/>
                <w:lang w:val="en-US" w:eastAsia="zh-CN"/>
              </w:rPr>
              <w:t xml:space="preserve">4  </w:t>
            </w:r>
            <w:r>
              <w:rPr>
                <w:rFonts w:hint="eastAsia"/>
                <w:b/>
                <w:bCs/>
                <w:color w:val="auto"/>
                <w:sz w:val="24"/>
                <w:szCs w:val="24"/>
              </w:rPr>
              <w:t>大气污染物综合排放标准</w:t>
            </w:r>
          </w:p>
          <w:tbl>
            <w:tblPr>
              <w:tblStyle w:val="27"/>
              <w:tblW w:w="843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38"/>
              <w:gridCol w:w="1204"/>
              <w:gridCol w:w="1371"/>
              <w:gridCol w:w="1368"/>
              <w:gridCol w:w="325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4" w:hRule="atLeast"/>
                <w:jc w:val="center"/>
              </w:trPr>
              <w:tc>
                <w:tcPr>
                  <w:tcW w:w="1238" w:type="dxa"/>
                  <w:vMerge w:val="restart"/>
                  <w:noWrap w:val="0"/>
                  <w:vAlign w:val="center"/>
                </w:tcPr>
                <w:p>
                  <w:pPr>
                    <w:autoSpaceDE w:val="0"/>
                    <w:autoSpaceDN w:val="0"/>
                    <w:adjustRightInd w:val="0"/>
                    <w:jc w:val="center"/>
                    <w:rPr>
                      <w:rFonts w:hint="eastAsia" w:cs="宋体"/>
                      <w:color w:val="auto"/>
                      <w:kern w:val="0"/>
                      <w:szCs w:val="21"/>
                      <w:highlight w:val="none"/>
                    </w:rPr>
                  </w:pPr>
                  <w:r>
                    <w:rPr>
                      <w:rFonts w:hint="eastAsia" w:hAnsi="宋体" w:cs="宋体"/>
                      <w:color w:val="auto"/>
                      <w:kern w:val="0"/>
                      <w:szCs w:val="21"/>
                      <w:highlight w:val="none"/>
                    </w:rPr>
                    <w:t>生产过程</w:t>
                  </w:r>
                </w:p>
              </w:tc>
              <w:tc>
                <w:tcPr>
                  <w:tcW w:w="1204" w:type="dxa"/>
                  <w:vMerge w:val="restart"/>
                  <w:noWrap w:val="0"/>
                  <w:vAlign w:val="center"/>
                </w:tcPr>
                <w:p>
                  <w:pPr>
                    <w:autoSpaceDE w:val="0"/>
                    <w:autoSpaceDN w:val="0"/>
                    <w:adjustRightInd w:val="0"/>
                    <w:jc w:val="center"/>
                    <w:rPr>
                      <w:rFonts w:hint="eastAsia" w:cs="宋体"/>
                      <w:color w:val="auto"/>
                      <w:kern w:val="0"/>
                      <w:szCs w:val="21"/>
                      <w:highlight w:val="none"/>
                    </w:rPr>
                  </w:pPr>
                  <w:r>
                    <w:rPr>
                      <w:rFonts w:hint="eastAsia" w:cs="宋体"/>
                      <w:color w:val="auto"/>
                      <w:kern w:val="0"/>
                      <w:szCs w:val="21"/>
                      <w:highlight w:val="none"/>
                    </w:rPr>
                    <w:t>排放形式</w:t>
                  </w:r>
                </w:p>
              </w:tc>
              <w:tc>
                <w:tcPr>
                  <w:tcW w:w="1371" w:type="dxa"/>
                  <w:vMerge w:val="restart"/>
                  <w:noWrap w:val="0"/>
                  <w:vAlign w:val="center"/>
                </w:tcPr>
                <w:p>
                  <w:pPr>
                    <w:autoSpaceDE w:val="0"/>
                    <w:autoSpaceDN w:val="0"/>
                    <w:adjustRightInd w:val="0"/>
                    <w:jc w:val="center"/>
                    <w:rPr>
                      <w:rFonts w:hint="eastAsia" w:cs="宋体"/>
                      <w:color w:val="auto"/>
                      <w:kern w:val="0"/>
                      <w:szCs w:val="21"/>
                      <w:highlight w:val="none"/>
                    </w:rPr>
                  </w:pPr>
                  <w:r>
                    <w:rPr>
                      <w:rFonts w:hint="eastAsia" w:cs="宋体"/>
                      <w:color w:val="auto"/>
                      <w:kern w:val="0"/>
                      <w:szCs w:val="21"/>
                      <w:highlight w:val="none"/>
                    </w:rPr>
                    <w:t>污染因子</w:t>
                  </w:r>
                </w:p>
              </w:tc>
              <w:tc>
                <w:tcPr>
                  <w:tcW w:w="1368" w:type="dxa"/>
                  <w:tcBorders>
                    <w:bottom w:val="single" w:color="auto" w:sz="4" w:space="0"/>
                    <w:right w:val="single" w:color="auto" w:sz="4" w:space="0"/>
                  </w:tcBorders>
                  <w:noWrap w:val="0"/>
                  <w:vAlign w:val="center"/>
                </w:tcPr>
                <w:p>
                  <w:pPr>
                    <w:autoSpaceDE w:val="0"/>
                    <w:autoSpaceDN w:val="0"/>
                    <w:adjustRightInd w:val="0"/>
                    <w:jc w:val="center"/>
                    <w:rPr>
                      <w:rFonts w:hint="eastAsia" w:cs="宋体"/>
                      <w:color w:val="auto"/>
                      <w:kern w:val="0"/>
                      <w:szCs w:val="21"/>
                      <w:highlight w:val="none"/>
                    </w:rPr>
                  </w:pPr>
                  <w:r>
                    <w:rPr>
                      <w:rFonts w:hint="eastAsia" w:hAnsi="宋体" w:cs="宋体"/>
                      <w:color w:val="auto"/>
                      <w:kern w:val="0"/>
                      <w:szCs w:val="21"/>
                      <w:highlight w:val="none"/>
                    </w:rPr>
                    <w:t>执行标准</w:t>
                  </w:r>
                </w:p>
              </w:tc>
              <w:tc>
                <w:tcPr>
                  <w:tcW w:w="3256" w:type="dxa"/>
                  <w:vMerge w:val="restart"/>
                  <w:noWrap w:val="0"/>
                  <w:vAlign w:val="center"/>
                </w:tcPr>
                <w:p>
                  <w:pPr>
                    <w:autoSpaceDE w:val="0"/>
                    <w:autoSpaceDN w:val="0"/>
                    <w:adjustRightInd w:val="0"/>
                    <w:jc w:val="center"/>
                    <w:rPr>
                      <w:rFonts w:hint="eastAsia" w:cs="宋体"/>
                      <w:color w:val="auto"/>
                      <w:kern w:val="0"/>
                      <w:szCs w:val="21"/>
                      <w:highlight w:val="none"/>
                    </w:rPr>
                  </w:pPr>
                  <w:r>
                    <w:rPr>
                      <w:rFonts w:hint="eastAsia" w:hAnsi="宋体" w:cs="宋体"/>
                      <w:color w:val="auto"/>
                      <w:kern w:val="0"/>
                      <w:szCs w:val="21"/>
                      <w:highlight w:val="none"/>
                    </w:rPr>
                    <w:t>标准级别</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45" w:hRule="atLeast"/>
                <w:jc w:val="center"/>
              </w:trPr>
              <w:tc>
                <w:tcPr>
                  <w:tcW w:w="1238" w:type="dxa"/>
                  <w:vMerge w:val="continue"/>
                  <w:noWrap w:val="0"/>
                  <w:vAlign w:val="center"/>
                </w:tcPr>
                <w:p>
                  <w:pPr>
                    <w:autoSpaceDE w:val="0"/>
                    <w:autoSpaceDN w:val="0"/>
                    <w:adjustRightInd w:val="0"/>
                    <w:jc w:val="center"/>
                    <w:rPr>
                      <w:rFonts w:hint="eastAsia" w:hAnsi="宋体" w:cs="宋体"/>
                      <w:color w:val="auto"/>
                      <w:kern w:val="0"/>
                      <w:szCs w:val="21"/>
                      <w:highlight w:val="none"/>
                    </w:rPr>
                  </w:pPr>
                </w:p>
              </w:tc>
              <w:tc>
                <w:tcPr>
                  <w:tcW w:w="1204" w:type="dxa"/>
                  <w:vMerge w:val="continue"/>
                  <w:noWrap w:val="0"/>
                  <w:vAlign w:val="center"/>
                </w:tcPr>
                <w:p>
                  <w:pPr>
                    <w:autoSpaceDE w:val="0"/>
                    <w:autoSpaceDN w:val="0"/>
                    <w:adjustRightInd w:val="0"/>
                    <w:jc w:val="center"/>
                    <w:rPr>
                      <w:rFonts w:hint="eastAsia" w:cs="宋体"/>
                      <w:color w:val="auto"/>
                      <w:kern w:val="0"/>
                      <w:szCs w:val="21"/>
                      <w:highlight w:val="none"/>
                    </w:rPr>
                  </w:pPr>
                </w:p>
              </w:tc>
              <w:tc>
                <w:tcPr>
                  <w:tcW w:w="1371" w:type="dxa"/>
                  <w:vMerge w:val="continue"/>
                  <w:noWrap w:val="0"/>
                  <w:vAlign w:val="center"/>
                </w:tcPr>
                <w:p>
                  <w:pPr>
                    <w:autoSpaceDE w:val="0"/>
                    <w:autoSpaceDN w:val="0"/>
                    <w:adjustRightInd w:val="0"/>
                    <w:jc w:val="center"/>
                    <w:rPr>
                      <w:rFonts w:hint="eastAsia" w:cs="宋体"/>
                      <w:color w:val="auto"/>
                      <w:kern w:val="0"/>
                      <w:szCs w:val="21"/>
                      <w:highlight w:val="none"/>
                    </w:rPr>
                  </w:pPr>
                </w:p>
              </w:tc>
              <w:tc>
                <w:tcPr>
                  <w:tcW w:w="1368" w:type="dxa"/>
                  <w:tcBorders>
                    <w:top w:val="single" w:color="auto" w:sz="4" w:space="0"/>
                    <w:bottom w:val="single" w:color="auto" w:sz="4" w:space="0"/>
                    <w:right w:val="single" w:color="auto" w:sz="4" w:space="0"/>
                  </w:tcBorders>
                  <w:noWrap w:val="0"/>
                  <w:vAlign w:val="center"/>
                </w:tcPr>
                <w:p>
                  <w:pPr>
                    <w:autoSpaceDE w:val="0"/>
                    <w:autoSpaceDN w:val="0"/>
                    <w:adjustRightInd w:val="0"/>
                    <w:jc w:val="center"/>
                    <w:rPr>
                      <w:rFonts w:hint="default" w:hAnsi="宋体" w:eastAsia="宋体" w:cs="宋体"/>
                      <w:color w:val="auto"/>
                      <w:kern w:val="0"/>
                      <w:szCs w:val="21"/>
                      <w:highlight w:val="none"/>
                      <w:vertAlign w:val="superscript"/>
                      <w:lang w:val="en-US" w:eastAsia="zh-CN"/>
                    </w:rPr>
                  </w:pPr>
                  <w:r>
                    <w:rPr>
                      <w:rFonts w:hint="eastAsia" w:hAnsi="宋体" w:cs="宋体"/>
                      <w:color w:val="auto"/>
                      <w:kern w:val="0"/>
                      <w:szCs w:val="21"/>
                      <w:highlight w:val="none"/>
                      <w:lang w:val="en-US" w:eastAsia="zh-CN"/>
                    </w:rPr>
                    <w:t>浓度mg/m</w:t>
                  </w:r>
                  <w:r>
                    <w:rPr>
                      <w:rFonts w:hint="eastAsia" w:hAnsi="宋体" w:cs="宋体"/>
                      <w:color w:val="auto"/>
                      <w:kern w:val="0"/>
                      <w:szCs w:val="21"/>
                      <w:highlight w:val="none"/>
                      <w:vertAlign w:val="superscript"/>
                      <w:lang w:val="en-US" w:eastAsia="zh-CN"/>
                    </w:rPr>
                    <w:t>3</w:t>
                  </w:r>
                </w:p>
              </w:tc>
              <w:tc>
                <w:tcPr>
                  <w:tcW w:w="3256" w:type="dxa"/>
                  <w:vMerge w:val="continue"/>
                  <w:noWrap w:val="0"/>
                  <w:vAlign w:val="center"/>
                </w:tcPr>
                <w:p>
                  <w:pPr>
                    <w:autoSpaceDE w:val="0"/>
                    <w:autoSpaceDN w:val="0"/>
                    <w:adjustRightInd w:val="0"/>
                    <w:jc w:val="center"/>
                    <w:rPr>
                      <w:rFonts w:hint="eastAsia" w:hAnsi="宋体"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1238" w:type="dxa"/>
                  <w:vMerge w:val="restart"/>
                  <w:noWrap w:val="0"/>
                  <w:vAlign w:val="center"/>
                </w:tcPr>
                <w:p>
                  <w:pPr>
                    <w:autoSpaceDE w:val="0"/>
                    <w:autoSpaceDN w:val="0"/>
                    <w:adjustRightInd w:val="0"/>
                    <w:jc w:val="center"/>
                    <w:rPr>
                      <w:rFonts w:hint="default" w:ascii="Times New Roman" w:hAnsi="宋体" w:eastAsia="宋体" w:cs="宋体"/>
                      <w:color w:val="auto"/>
                      <w:kern w:val="0"/>
                      <w:szCs w:val="21"/>
                      <w:highlight w:val="none"/>
                      <w:lang w:val="en-US" w:eastAsia="zh-CN"/>
                    </w:rPr>
                  </w:pPr>
                  <w:r>
                    <w:rPr>
                      <w:rFonts w:hint="eastAsia" w:ascii="Times New Roman" w:hAnsi="宋体" w:eastAsia="宋体" w:cs="宋体"/>
                      <w:color w:val="auto"/>
                      <w:kern w:val="0"/>
                      <w:szCs w:val="21"/>
                      <w:highlight w:val="none"/>
                      <w:lang w:val="en-US" w:eastAsia="zh-CN"/>
                    </w:rPr>
                    <w:t>柴油发电机</w:t>
                  </w:r>
                </w:p>
              </w:tc>
              <w:tc>
                <w:tcPr>
                  <w:tcW w:w="1204" w:type="dxa"/>
                  <w:noWrap w:val="0"/>
                  <w:vAlign w:val="center"/>
                </w:tcPr>
                <w:p>
                  <w:pPr>
                    <w:autoSpaceDE w:val="0"/>
                    <w:autoSpaceDN w:val="0"/>
                    <w:adjustRightInd w:val="0"/>
                    <w:jc w:val="center"/>
                    <w:rPr>
                      <w:rFonts w:hint="eastAsia" w:ascii="Times New Roman" w:hAnsi="宋体" w:eastAsia="宋体" w:cs="宋体"/>
                      <w:color w:val="auto"/>
                      <w:kern w:val="0"/>
                      <w:szCs w:val="21"/>
                      <w:highlight w:val="none"/>
                      <w:lang w:val="en-US" w:eastAsia="zh-CN"/>
                    </w:rPr>
                  </w:pPr>
                  <w:r>
                    <w:rPr>
                      <w:rFonts w:hint="eastAsia" w:ascii="Times New Roman" w:hAnsi="宋体" w:eastAsia="宋体" w:cs="宋体"/>
                      <w:color w:val="auto"/>
                      <w:kern w:val="0"/>
                      <w:szCs w:val="21"/>
                      <w:highlight w:val="none"/>
                    </w:rPr>
                    <w:t>无组织</w:t>
                  </w:r>
                </w:p>
              </w:tc>
              <w:tc>
                <w:tcPr>
                  <w:tcW w:w="1371" w:type="dxa"/>
                  <w:noWrap w:val="0"/>
                  <w:vAlign w:val="center"/>
                </w:tcPr>
                <w:p>
                  <w:pPr>
                    <w:autoSpaceDE w:val="0"/>
                    <w:autoSpaceDN w:val="0"/>
                    <w:adjustRightInd w:val="0"/>
                    <w:jc w:val="center"/>
                    <w:rPr>
                      <w:rFonts w:hint="default" w:ascii="Times New Roman" w:hAnsi="宋体" w:eastAsia="宋体" w:cs="宋体"/>
                      <w:color w:val="auto"/>
                      <w:kern w:val="0"/>
                      <w:szCs w:val="21"/>
                      <w:highlight w:val="none"/>
                      <w:lang w:val="en-US" w:eastAsia="zh-CN"/>
                    </w:rPr>
                  </w:pPr>
                  <w:r>
                    <w:rPr>
                      <w:rFonts w:hint="eastAsia" w:ascii="Times New Roman" w:hAnsi="宋体" w:eastAsia="宋体" w:cs="宋体"/>
                      <w:color w:val="auto"/>
                      <w:kern w:val="0"/>
                      <w:szCs w:val="21"/>
                      <w:highlight w:val="none"/>
                      <w:lang w:val="en-US" w:eastAsia="zh-CN"/>
                    </w:rPr>
                    <w:t>颗粒物</w:t>
                  </w:r>
                </w:p>
              </w:tc>
              <w:tc>
                <w:tcPr>
                  <w:tcW w:w="1368" w:type="dxa"/>
                  <w:tcBorders>
                    <w:right w:val="single" w:color="auto" w:sz="4" w:space="0"/>
                  </w:tcBorders>
                  <w:noWrap w:val="0"/>
                  <w:vAlign w:val="center"/>
                </w:tcPr>
                <w:p>
                  <w:pPr>
                    <w:autoSpaceDE w:val="0"/>
                    <w:autoSpaceDN w:val="0"/>
                    <w:adjustRightInd w:val="0"/>
                    <w:jc w:val="center"/>
                    <w:rPr>
                      <w:rFonts w:hint="default" w:ascii="Times New Roman" w:hAnsi="宋体" w:eastAsia="宋体" w:cs="宋体"/>
                      <w:color w:val="auto"/>
                      <w:kern w:val="0"/>
                      <w:szCs w:val="21"/>
                      <w:highlight w:val="none"/>
                      <w:lang w:val="en-US" w:eastAsia="zh-CN"/>
                    </w:rPr>
                  </w:pPr>
                  <w:r>
                    <w:rPr>
                      <w:rFonts w:hint="eastAsia" w:ascii="Times New Roman" w:hAnsi="宋体" w:eastAsia="宋体" w:cs="宋体"/>
                      <w:color w:val="auto"/>
                      <w:kern w:val="0"/>
                      <w:szCs w:val="21"/>
                      <w:highlight w:val="none"/>
                      <w:lang w:val="en-US" w:eastAsia="zh-CN"/>
                    </w:rPr>
                    <w:t>1.0</w:t>
                  </w:r>
                </w:p>
              </w:tc>
              <w:tc>
                <w:tcPr>
                  <w:tcW w:w="3256" w:type="dxa"/>
                  <w:vMerge w:val="restart"/>
                  <w:noWrap w:val="0"/>
                  <w:vAlign w:val="center"/>
                </w:tcPr>
                <w:p>
                  <w:pPr>
                    <w:autoSpaceDE w:val="0"/>
                    <w:autoSpaceDN w:val="0"/>
                    <w:adjustRightInd w:val="0"/>
                    <w:jc w:val="center"/>
                    <w:rPr>
                      <w:rFonts w:hint="eastAsia" w:cs="宋体"/>
                      <w:color w:val="auto"/>
                      <w:kern w:val="0"/>
                      <w:szCs w:val="21"/>
                      <w:highlight w:val="none"/>
                    </w:rPr>
                  </w:pPr>
                  <w:r>
                    <w:rPr>
                      <w:rFonts w:hint="eastAsia" w:hAnsi="宋体" w:cs="宋体"/>
                      <w:color w:val="auto"/>
                      <w:kern w:val="0"/>
                      <w:szCs w:val="21"/>
                      <w:highlight w:val="none"/>
                    </w:rPr>
                    <w:t>《大气污染物综合排放标准》（GB16297-1996）中表 2 中二级标准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1238" w:type="dxa"/>
                  <w:vMerge w:val="continue"/>
                  <w:noWrap w:val="0"/>
                  <w:vAlign w:val="center"/>
                </w:tcPr>
                <w:p>
                  <w:pPr>
                    <w:autoSpaceDE w:val="0"/>
                    <w:autoSpaceDN w:val="0"/>
                    <w:adjustRightInd w:val="0"/>
                    <w:jc w:val="center"/>
                    <w:rPr>
                      <w:rFonts w:hint="eastAsia" w:ascii="Times New Roman" w:hAnsi="宋体" w:eastAsia="宋体" w:cs="宋体"/>
                      <w:color w:val="auto"/>
                      <w:kern w:val="0"/>
                      <w:szCs w:val="21"/>
                      <w:highlight w:val="none"/>
                      <w:lang w:val="en-US" w:eastAsia="zh-CN"/>
                    </w:rPr>
                  </w:pPr>
                </w:p>
              </w:tc>
              <w:tc>
                <w:tcPr>
                  <w:tcW w:w="1204" w:type="dxa"/>
                  <w:noWrap w:val="0"/>
                  <w:vAlign w:val="center"/>
                </w:tcPr>
                <w:p>
                  <w:pPr>
                    <w:autoSpaceDE w:val="0"/>
                    <w:autoSpaceDN w:val="0"/>
                    <w:adjustRightInd w:val="0"/>
                    <w:jc w:val="center"/>
                    <w:rPr>
                      <w:rFonts w:hint="eastAsia" w:ascii="Times New Roman" w:hAnsi="宋体" w:eastAsia="宋体" w:cs="宋体"/>
                      <w:color w:val="auto"/>
                      <w:kern w:val="0"/>
                      <w:szCs w:val="21"/>
                      <w:highlight w:val="none"/>
                      <w:lang w:val="en-US" w:eastAsia="zh-CN"/>
                    </w:rPr>
                  </w:pPr>
                  <w:r>
                    <w:rPr>
                      <w:rFonts w:hint="eastAsia" w:ascii="Times New Roman" w:hAnsi="宋体" w:eastAsia="宋体" w:cs="宋体"/>
                      <w:color w:val="auto"/>
                      <w:kern w:val="0"/>
                      <w:szCs w:val="21"/>
                      <w:highlight w:val="none"/>
                    </w:rPr>
                    <w:t>无组织</w:t>
                  </w:r>
                </w:p>
              </w:tc>
              <w:tc>
                <w:tcPr>
                  <w:tcW w:w="1371" w:type="dxa"/>
                  <w:noWrap w:val="0"/>
                  <w:vAlign w:val="center"/>
                </w:tcPr>
                <w:p>
                  <w:pPr>
                    <w:autoSpaceDE w:val="0"/>
                    <w:autoSpaceDN w:val="0"/>
                    <w:adjustRightInd w:val="0"/>
                    <w:jc w:val="center"/>
                    <w:rPr>
                      <w:rFonts w:hint="default" w:ascii="Times New Roman" w:hAnsi="宋体" w:eastAsia="宋体" w:cs="宋体"/>
                      <w:color w:val="auto"/>
                      <w:kern w:val="0"/>
                      <w:szCs w:val="21"/>
                      <w:highlight w:val="none"/>
                      <w:lang w:val="en-US" w:eastAsia="zh-CN"/>
                    </w:rPr>
                  </w:pPr>
                  <w:r>
                    <w:rPr>
                      <w:rFonts w:hint="eastAsia" w:ascii="Times New Roman" w:hAnsi="宋体" w:eastAsia="宋体" w:cs="宋体"/>
                      <w:color w:val="auto"/>
                      <w:kern w:val="0"/>
                      <w:szCs w:val="21"/>
                      <w:highlight w:val="none"/>
                      <w:lang w:val="en-US" w:eastAsia="zh-CN"/>
                    </w:rPr>
                    <w:t>二氧化硫</w:t>
                  </w:r>
                </w:p>
              </w:tc>
              <w:tc>
                <w:tcPr>
                  <w:tcW w:w="1368" w:type="dxa"/>
                  <w:tcBorders>
                    <w:right w:val="single" w:color="auto" w:sz="4" w:space="0"/>
                  </w:tcBorders>
                  <w:noWrap w:val="0"/>
                  <w:vAlign w:val="center"/>
                </w:tcPr>
                <w:p>
                  <w:pPr>
                    <w:autoSpaceDE w:val="0"/>
                    <w:autoSpaceDN w:val="0"/>
                    <w:adjustRightInd w:val="0"/>
                    <w:jc w:val="center"/>
                    <w:rPr>
                      <w:rFonts w:hint="default" w:ascii="Times New Roman" w:hAnsi="宋体" w:eastAsia="宋体" w:cs="宋体"/>
                      <w:color w:val="auto"/>
                      <w:kern w:val="0"/>
                      <w:szCs w:val="21"/>
                      <w:highlight w:val="none"/>
                      <w:lang w:val="en-US" w:eastAsia="zh-CN"/>
                    </w:rPr>
                  </w:pPr>
                  <w:r>
                    <w:rPr>
                      <w:rFonts w:hint="eastAsia" w:ascii="Times New Roman" w:hAnsi="宋体" w:eastAsia="宋体" w:cs="宋体"/>
                      <w:color w:val="auto"/>
                      <w:kern w:val="0"/>
                      <w:szCs w:val="21"/>
                      <w:highlight w:val="none"/>
                      <w:lang w:val="en-US" w:eastAsia="zh-CN"/>
                    </w:rPr>
                    <w:t>0.40</w:t>
                  </w:r>
                </w:p>
              </w:tc>
              <w:tc>
                <w:tcPr>
                  <w:tcW w:w="3256" w:type="dxa"/>
                  <w:vMerge w:val="continue"/>
                  <w:noWrap w:val="0"/>
                  <w:vAlign w:val="center"/>
                </w:tcPr>
                <w:p>
                  <w:pPr>
                    <w:autoSpaceDE w:val="0"/>
                    <w:autoSpaceDN w:val="0"/>
                    <w:adjustRightInd w:val="0"/>
                    <w:jc w:val="center"/>
                    <w:rPr>
                      <w:rFonts w:hint="eastAsia" w:cs="宋体"/>
                      <w:color w:val="auto"/>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1238" w:type="dxa"/>
                  <w:vMerge w:val="continue"/>
                  <w:noWrap w:val="0"/>
                  <w:vAlign w:val="center"/>
                </w:tcPr>
                <w:p>
                  <w:pPr>
                    <w:autoSpaceDE w:val="0"/>
                    <w:autoSpaceDN w:val="0"/>
                    <w:adjustRightInd w:val="0"/>
                    <w:jc w:val="center"/>
                    <w:rPr>
                      <w:rFonts w:hint="eastAsia" w:ascii="Times New Roman" w:hAnsi="宋体" w:eastAsia="宋体" w:cs="宋体"/>
                      <w:color w:val="auto"/>
                      <w:kern w:val="0"/>
                      <w:szCs w:val="21"/>
                      <w:highlight w:val="none"/>
                      <w:lang w:val="en-US" w:eastAsia="zh-CN"/>
                    </w:rPr>
                  </w:pPr>
                </w:p>
              </w:tc>
              <w:tc>
                <w:tcPr>
                  <w:tcW w:w="1204" w:type="dxa"/>
                  <w:noWrap w:val="0"/>
                  <w:vAlign w:val="center"/>
                </w:tcPr>
                <w:p>
                  <w:pPr>
                    <w:autoSpaceDE w:val="0"/>
                    <w:autoSpaceDN w:val="0"/>
                    <w:adjustRightInd w:val="0"/>
                    <w:jc w:val="center"/>
                    <w:rPr>
                      <w:rFonts w:hint="eastAsia" w:ascii="Times New Roman" w:hAnsi="宋体" w:eastAsia="宋体" w:cs="宋体"/>
                      <w:color w:val="auto"/>
                      <w:kern w:val="0"/>
                      <w:szCs w:val="21"/>
                      <w:highlight w:val="none"/>
                      <w:lang w:val="en-US" w:eastAsia="zh-CN"/>
                    </w:rPr>
                  </w:pPr>
                  <w:r>
                    <w:rPr>
                      <w:rFonts w:hint="eastAsia" w:ascii="Times New Roman" w:hAnsi="宋体" w:eastAsia="宋体" w:cs="宋体"/>
                      <w:color w:val="auto"/>
                      <w:kern w:val="0"/>
                      <w:szCs w:val="21"/>
                      <w:highlight w:val="none"/>
                    </w:rPr>
                    <w:t>无组织</w:t>
                  </w:r>
                </w:p>
              </w:tc>
              <w:tc>
                <w:tcPr>
                  <w:tcW w:w="1371" w:type="dxa"/>
                  <w:noWrap w:val="0"/>
                  <w:vAlign w:val="center"/>
                </w:tcPr>
                <w:p>
                  <w:pPr>
                    <w:autoSpaceDE w:val="0"/>
                    <w:autoSpaceDN w:val="0"/>
                    <w:adjustRightInd w:val="0"/>
                    <w:jc w:val="center"/>
                    <w:rPr>
                      <w:rFonts w:hint="default" w:ascii="Times New Roman" w:hAnsi="宋体" w:eastAsia="宋体" w:cs="宋体"/>
                      <w:color w:val="auto"/>
                      <w:kern w:val="0"/>
                      <w:szCs w:val="21"/>
                      <w:highlight w:val="none"/>
                      <w:lang w:val="en-US" w:eastAsia="zh-CN"/>
                    </w:rPr>
                  </w:pPr>
                  <w:r>
                    <w:rPr>
                      <w:rFonts w:hint="eastAsia" w:ascii="Times New Roman" w:hAnsi="宋体" w:eastAsia="宋体" w:cs="宋体"/>
                      <w:color w:val="auto"/>
                      <w:kern w:val="0"/>
                      <w:szCs w:val="21"/>
                      <w:highlight w:val="none"/>
                      <w:lang w:val="en-US" w:eastAsia="zh-CN"/>
                    </w:rPr>
                    <w:t>氮氧化物</w:t>
                  </w:r>
                </w:p>
              </w:tc>
              <w:tc>
                <w:tcPr>
                  <w:tcW w:w="1368" w:type="dxa"/>
                  <w:tcBorders>
                    <w:right w:val="single" w:color="auto" w:sz="4" w:space="0"/>
                  </w:tcBorders>
                  <w:noWrap w:val="0"/>
                  <w:vAlign w:val="center"/>
                </w:tcPr>
                <w:p>
                  <w:pPr>
                    <w:autoSpaceDE w:val="0"/>
                    <w:autoSpaceDN w:val="0"/>
                    <w:adjustRightInd w:val="0"/>
                    <w:jc w:val="center"/>
                    <w:rPr>
                      <w:rFonts w:hint="default" w:ascii="Times New Roman" w:hAnsi="宋体" w:eastAsia="宋体" w:cs="宋体"/>
                      <w:color w:val="auto"/>
                      <w:kern w:val="0"/>
                      <w:szCs w:val="21"/>
                      <w:highlight w:val="none"/>
                      <w:lang w:val="en-US" w:eastAsia="zh-CN"/>
                    </w:rPr>
                  </w:pPr>
                  <w:r>
                    <w:rPr>
                      <w:rFonts w:hint="eastAsia" w:ascii="Times New Roman" w:hAnsi="宋体" w:eastAsia="宋体" w:cs="宋体"/>
                      <w:color w:val="auto"/>
                      <w:kern w:val="0"/>
                      <w:szCs w:val="21"/>
                      <w:highlight w:val="none"/>
                      <w:lang w:val="en-US" w:eastAsia="zh-CN"/>
                    </w:rPr>
                    <w:t>0.12</w:t>
                  </w:r>
                </w:p>
              </w:tc>
              <w:tc>
                <w:tcPr>
                  <w:tcW w:w="3256" w:type="dxa"/>
                  <w:vMerge w:val="continue"/>
                  <w:noWrap w:val="0"/>
                  <w:vAlign w:val="center"/>
                </w:tcPr>
                <w:p>
                  <w:pPr>
                    <w:autoSpaceDE w:val="0"/>
                    <w:autoSpaceDN w:val="0"/>
                    <w:adjustRightInd w:val="0"/>
                    <w:jc w:val="center"/>
                    <w:rPr>
                      <w:rFonts w:hint="eastAsia" w:cs="宋体"/>
                      <w:color w:val="auto"/>
                      <w:kern w:val="0"/>
                      <w:szCs w:val="21"/>
                      <w:highlight w:val="none"/>
                    </w:rPr>
                  </w:pPr>
                </w:p>
              </w:tc>
            </w:tr>
          </w:tbl>
          <w:p>
            <w:pPr>
              <w:pStyle w:val="12"/>
              <w:numPr>
                <w:ilvl w:val="0"/>
                <w:numId w:val="0"/>
              </w:numPr>
              <w:ind w:right="113" w:rightChars="0"/>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2、噪声排放标准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（1）施工期噪声本项目施工期噪声执行《建筑施工场界环境噪声排放标准》（GB12523-2011）中相关标准限值；</w:t>
            </w:r>
          </w:p>
          <w:p>
            <w:pPr>
              <w:adjustRightInd w:val="0"/>
              <w:snapToGrid w:val="0"/>
              <w:jc w:val="center"/>
              <w:rPr>
                <w:rFonts w:hint="default"/>
                <w:b/>
                <w:bCs/>
                <w:sz w:val="24"/>
                <w:szCs w:val="24"/>
              </w:rPr>
            </w:pPr>
            <w:r>
              <w:rPr>
                <w:rFonts w:hint="default"/>
                <w:b/>
                <w:bCs/>
                <w:sz w:val="24"/>
                <w:szCs w:val="24"/>
              </w:rPr>
              <w:t>表3-</w:t>
            </w:r>
            <w:r>
              <w:rPr>
                <w:rFonts w:hint="eastAsia"/>
                <w:b/>
                <w:bCs/>
                <w:sz w:val="24"/>
                <w:szCs w:val="24"/>
                <w:lang w:val="en-US" w:eastAsia="zh-CN"/>
              </w:rPr>
              <w:t xml:space="preserve">5  </w:t>
            </w:r>
            <w:r>
              <w:rPr>
                <w:rFonts w:hint="default"/>
                <w:b/>
                <w:bCs/>
                <w:sz w:val="24"/>
                <w:szCs w:val="24"/>
              </w:rPr>
              <w:t>《建筑施工场界环境噪声排放标准》（GB12523-2011）单位：dB（A）</w:t>
            </w:r>
          </w:p>
          <w:tbl>
            <w:tblPr>
              <w:tblStyle w:val="27"/>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199"/>
              <w:gridCol w:w="42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8402" w:type="dxa"/>
                  <w:gridSpan w:val="2"/>
                  <w:tcBorders>
                    <w:top w:val="single" w:color="auto" w:sz="12" w:space="0"/>
                    <w:left w:val="single" w:color="auto" w:sz="6" w:space="0"/>
                    <w:bottom w:val="single" w:color="auto" w:sz="6" w:space="0"/>
                    <w:right w:val="nil"/>
                  </w:tcBorders>
                  <w:noWrap w:val="0"/>
                  <w:vAlign w:val="center"/>
                </w:tcPr>
                <w:p>
                  <w:pPr>
                    <w:jc w:val="center"/>
                    <w:rPr>
                      <w:rFonts w:hint="default"/>
                    </w:rPr>
                  </w:pPr>
                  <w:r>
                    <w:rPr>
                      <w:rFonts w:hint="default"/>
                    </w:rPr>
                    <w:t>时段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4199"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rPr>
                  </w:pPr>
                  <w:r>
                    <w:rPr>
                      <w:rFonts w:hint="default"/>
                    </w:rPr>
                    <w:t>昼间</w:t>
                  </w:r>
                </w:p>
              </w:tc>
              <w:tc>
                <w:tcPr>
                  <w:tcW w:w="4203" w:type="dxa"/>
                  <w:tcBorders>
                    <w:top w:val="single" w:color="auto" w:sz="6" w:space="0"/>
                    <w:left w:val="single" w:color="auto" w:sz="6" w:space="0"/>
                    <w:bottom w:val="single" w:color="auto" w:sz="6" w:space="0"/>
                    <w:right w:val="nil"/>
                  </w:tcBorders>
                  <w:noWrap w:val="0"/>
                  <w:vAlign w:val="center"/>
                </w:tcPr>
                <w:p>
                  <w:pPr>
                    <w:jc w:val="center"/>
                    <w:rPr>
                      <w:rFonts w:hint="default"/>
                    </w:rPr>
                  </w:pPr>
                  <w:r>
                    <w:rPr>
                      <w:rFonts w:hint="default"/>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4199" w:type="dxa"/>
                  <w:tcBorders>
                    <w:top w:val="single" w:color="auto" w:sz="6" w:space="0"/>
                    <w:left w:val="single" w:color="auto" w:sz="6" w:space="0"/>
                    <w:bottom w:val="single" w:color="auto" w:sz="6" w:space="0"/>
                    <w:right w:val="single" w:color="auto" w:sz="6" w:space="0"/>
                  </w:tcBorders>
                  <w:noWrap w:val="0"/>
                  <w:vAlign w:val="center"/>
                </w:tcPr>
                <w:p>
                  <w:pPr>
                    <w:jc w:val="center"/>
                    <w:rPr>
                      <w:rFonts w:hint="default"/>
                    </w:rPr>
                  </w:pPr>
                  <w:r>
                    <w:rPr>
                      <w:rFonts w:hint="default"/>
                    </w:rPr>
                    <w:t>70</w:t>
                  </w:r>
                </w:p>
              </w:tc>
              <w:tc>
                <w:tcPr>
                  <w:tcW w:w="4203" w:type="dxa"/>
                  <w:tcBorders>
                    <w:top w:val="single" w:color="auto" w:sz="6" w:space="0"/>
                    <w:left w:val="single" w:color="auto" w:sz="6" w:space="0"/>
                    <w:bottom w:val="single" w:color="auto" w:sz="6" w:space="0"/>
                    <w:right w:val="nil"/>
                  </w:tcBorders>
                  <w:noWrap w:val="0"/>
                  <w:vAlign w:val="center"/>
                </w:tcPr>
                <w:p>
                  <w:pPr>
                    <w:jc w:val="center"/>
                    <w:rPr>
                      <w:rFonts w:hint="default"/>
                    </w:rPr>
                  </w:pPr>
                  <w:r>
                    <w:rPr>
                      <w:rFonts w:hint="default"/>
                    </w:rPr>
                    <w:t>55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（2）运营期厂界噪声执行《工业企业厂界环境噪声排放标准》（GB12348-2008）中的</w:t>
            </w:r>
            <w:r>
              <w:rPr>
                <w:rFonts w:hint="eastAsia" w:cs="Times New Roman"/>
                <w:color w:val="auto"/>
                <w:sz w:val="24"/>
                <w:lang w:val="en-US" w:eastAsia="zh-CN"/>
              </w:rPr>
              <w:t>1</w:t>
            </w:r>
            <w:r>
              <w:rPr>
                <w:rFonts w:hint="default" w:ascii="Times New Roman" w:hAnsi="Times New Roman" w:eastAsia="宋体" w:cs="Times New Roman"/>
                <w:color w:val="auto"/>
                <w:sz w:val="24"/>
              </w:rPr>
              <w:t>类区标准。</w:t>
            </w:r>
          </w:p>
          <w:p>
            <w:pPr>
              <w:adjustRightInd w:val="0"/>
              <w:snapToGrid w:val="0"/>
              <w:jc w:val="center"/>
              <w:rPr>
                <w:rFonts w:hint="default"/>
                <w:b/>
                <w:bCs/>
                <w:sz w:val="24"/>
                <w:szCs w:val="24"/>
              </w:rPr>
            </w:pPr>
            <w:r>
              <w:rPr>
                <w:rFonts w:hint="default"/>
                <w:b/>
                <w:bCs/>
                <w:sz w:val="24"/>
                <w:szCs w:val="24"/>
              </w:rPr>
              <w:t>表3-</w:t>
            </w:r>
            <w:r>
              <w:rPr>
                <w:rFonts w:hint="eastAsia"/>
                <w:b/>
                <w:bCs/>
                <w:sz w:val="24"/>
                <w:szCs w:val="24"/>
                <w:lang w:val="en-US" w:eastAsia="zh-CN"/>
              </w:rPr>
              <w:t xml:space="preserve">6  </w:t>
            </w:r>
            <w:r>
              <w:rPr>
                <w:rFonts w:hint="default"/>
                <w:b/>
                <w:bCs/>
                <w:sz w:val="24"/>
                <w:szCs w:val="24"/>
              </w:rPr>
              <w:t>工业企业厂界环境噪声排放限值单位：dB（A）</w:t>
            </w:r>
          </w:p>
          <w:tbl>
            <w:tblPr>
              <w:tblStyle w:val="27"/>
              <w:tblW w:w="0" w:type="auto"/>
              <w:tblInd w:w="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36"/>
              <w:gridCol w:w="2341"/>
              <w:gridCol w:w="23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36" w:type="dxa"/>
                  <w:vMerge w:val="restart"/>
                  <w:tcBorders>
                    <w:top w:val="single" w:color="auto" w:sz="12" w:space="0"/>
                  </w:tcBorders>
                  <w:noWrap w:val="0"/>
                  <w:vAlign w:val="center"/>
                </w:tcPr>
                <w:p>
                  <w:pPr>
                    <w:jc w:val="center"/>
                    <w:rPr>
                      <w:rFonts w:hint="default"/>
                    </w:rPr>
                  </w:pPr>
                  <w:r>
                    <w:rPr>
                      <w:rFonts w:hint="default"/>
                    </w:rPr>
                    <w:t>厂界外声环境功能区类别</w:t>
                  </w:r>
                </w:p>
              </w:tc>
              <w:tc>
                <w:tcPr>
                  <w:tcW w:w="4684" w:type="dxa"/>
                  <w:gridSpan w:val="2"/>
                  <w:tcBorders>
                    <w:top w:val="single" w:color="auto" w:sz="12" w:space="0"/>
                  </w:tcBorders>
                  <w:noWrap w:val="0"/>
                  <w:vAlign w:val="center"/>
                </w:tcPr>
                <w:p>
                  <w:pPr>
                    <w:jc w:val="center"/>
                    <w:rPr>
                      <w:rFonts w:hint="default"/>
                    </w:rPr>
                  </w:pPr>
                  <w:r>
                    <w:rPr>
                      <w:rFonts w:hint="default"/>
                    </w:rPr>
                    <w:t>时段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36" w:type="dxa"/>
                  <w:vMerge w:val="continue"/>
                  <w:tcBorders>
                    <w:bottom w:val="single" w:color="auto" w:sz="12" w:space="0"/>
                  </w:tcBorders>
                  <w:noWrap w:val="0"/>
                  <w:vAlign w:val="center"/>
                </w:tcPr>
                <w:p>
                  <w:pPr>
                    <w:jc w:val="center"/>
                    <w:rPr>
                      <w:rFonts w:hint="default"/>
                    </w:rPr>
                  </w:pPr>
                </w:p>
              </w:tc>
              <w:tc>
                <w:tcPr>
                  <w:tcW w:w="2341" w:type="dxa"/>
                  <w:tcBorders>
                    <w:bottom w:val="single" w:color="auto" w:sz="12" w:space="0"/>
                  </w:tcBorders>
                  <w:noWrap w:val="0"/>
                  <w:vAlign w:val="center"/>
                </w:tcPr>
                <w:p>
                  <w:pPr>
                    <w:jc w:val="center"/>
                    <w:rPr>
                      <w:rFonts w:hint="default"/>
                    </w:rPr>
                  </w:pPr>
                  <w:r>
                    <w:rPr>
                      <w:rFonts w:hint="default"/>
                    </w:rPr>
                    <w:t>昼间</w:t>
                  </w:r>
                </w:p>
              </w:tc>
              <w:tc>
                <w:tcPr>
                  <w:tcW w:w="2343" w:type="dxa"/>
                  <w:tcBorders>
                    <w:bottom w:val="single" w:color="auto" w:sz="12" w:space="0"/>
                  </w:tcBorders>
                  <w:noWrap w:val="0"/>
                  <w:vAlign w:val="center"/>
                </w:tcPr>
                <w:p>
                  <w:pPr>
                    <w:jc w:val="center"/>
                    <w:rPr>
                      <w:rFonts w:hint="default"/>
                    </w:rPr>
                  </w:pPr>
                  <w:r>
                    <w:rPr>
                      <w:rFonts w:hint="default"/>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trPr>
              <w:tc>
                <w:tcPr>
                  <w:tcW w:w="3536" w:type="dxa"/>
                  <w:tcBorders>
                    <w:top w:val="single" w:color="auto" w:sz="12" w:space="0"/>
                    <w:bottom w:val="single" w:color="auto" w:sz="12" w:space="0"/>
                  </w:tcBorders>
                  <w:noWrap w:val="0"/>
                  <w:vAlign w:val="center"/>
                </w:tcPr>
                <w:p>
                  <w:pPr>
                    <w:jc w:val="center"/>
                    <w:rPr>
                      <w:rFonts w:hint="eastAsia" w:eastAsia="宋体"/>
                      <w:lang w:eastAsia="zh-CN"/>
                    </w:rPr>
                  </w:pPr>
                  <w:r>
                    <w:rPr>
                      <w:rFonts w:hint="eastAsia"/>
                      <w:lang w:val="en-US" w:eastAsia="zh-CN"/>
                    </w:rPr>
                    <w:t>1</w:t>
                  </w:r>
                </w:p>
              </w:tc>
              <w:tc>
                <w:tcPr>
                  <w:tcW w:w="2341" w:type="dxa"/>
                  <w:tcBorders>
                    <w:top w:val="single" w:color="auto" w:sz="12" w:space="0"/>
                    <w:bottom w:val="single" w:color="auto" w:sz="12" w:space="0"/>
                  </w:tcBorders>
                  <w:noWrap w:val="0"/>
                  <w:vAlign w:val="center"/>
                </w:tcPr>
                <w:p>
                  <w:pPr>
                    <w:jc w:val="center"/>
                    <w:rPr>
                      <w:rFonts w:hint="default" w:eastAsia="宋体"/>
                      <w:lang w:val="en-US" w:eastAsia="zh-CN"/>
                    </w:rPr>
                  </w:pPr>
                  <w:r>
                    <w:rPr>
                      <w:rFonts w:hint="eastAsia"/>
                      <w:lang w:val="en-US" w:eastAsia="zh-CN"/>
                    </w:rPr>
                    <w:t>55</w:t>
                  </w:r>
                </w:p>
              </w:tc>
              <w:tc>
                <w:tcPr>
                  <w:tcW w:w="2343" w:type="dxa"/>
                  <w:tcBorders>
                    <w:top w:val="single" w:color="auto" w:sz="12" w:space="0"/>
                    <w:bottom w:val="single" w:color="auto" w:sz="12" w:space="0"/>
                  </w:tcBorders>
                  <w:noWrap w:val="0"/>
                  <w:vAlign w:val="center"/>
                </w:tcPr>
                <w:p>
                  <w:pPr>
                    <w:jc w:val="center"/>
                    <w:rPr>
                      <w:rFonts w:hint="default" w:eastAsia="宋体"/>
                      <w:lang w:val="en-US" w:eastAsia="zh-CN"/>
                    </w:rPr>
                  </w:pPr>
                  <w:r>
                    <w:rPr>
                      <w:rFonts w:hint="eastAsia"/>
                      <w:lang w:val="en-US" w:eastAsia="zh-CN"/>
                    </w:rPr>
                    <w:t>45</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（1）本项目一般固体废物执行《一般工业固体废物贮存和填埋污染控制标准》（GB18599-2020）相关规定；</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（2）本项目为综合医院，医院污水处理站污泥达到《医疗机构水污染物排放标准》（GB18466-2005）中医疗机构污泥控制要求；（粪大肠菌群≤100MPN/g</w:t>
            </w:r>
            <w:r>
              <w:rPr>
                <w:rFonts w:hint="eastAsia" w:ascii="Times New Roman" w:hAnsi="Times New Roman" w:eastAsia="宋体" w:cs="Times New Roman"/>
                <w:color w:val="auto"/>
                <w:sz w:val="24"/>
                <w:lang w:eastAsia="zh-CN"/>
              </w:rPr>
              <w:t>，蛔虫卵死亡率</w:t>
            </w:r>
            <w:r>
              <w:rPr>
                <w:rFonts w:hint="eastAsia" w:ascii="Times New Roman" w:hAnsi="Times New Roman" w:eastAsia="宋体" w:cs="Times New Roman"/>
                <w:color w:val="auto"/>
                <w:sz w:val="24"/>
                <w:lang w:val="en-US" w:eastAsia="zh-CN"/>
              </w:rPr>
              <w:t>＞95%</w:t>
            </w:r>
            <w:r>
              <w:rPr>
                <w:rFonts w:hint="default" w:ascii="Times New Roman" w:hAnsi="Times New Roman" w:eastAsia="宋体" w:cs="Times New Roman"/>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（3）医疗废物的暂存执行《危险废物贮存污染控制标准》（GB18597-2001）（2013修订）中要求。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（1）医院综合废水</w:t>
            </w:r>
            <w:r>
              <w:rPr>
                <w:rFonts w:hint="default" w:ascii="Times New Roman" w:hAnsi="Times New Roman" w:eastAsia="宋体" w:cs="Times New Roman"/>
                <w:color w:val="auto"/>
                <w:sz w:val="24"/>
              </w:rPr>
              <w:t>排入医院污水处理站处理，达到《医疗机构水污染物排放标准》（GB18466-2005）表2中医疗机构预处理放标准，排入市政管网，最终进入</w:t>
            </w:r>
            <w:r>
              <w:rPr>
                <w:rFonts w:hint="default" w:ascii="Times New Roman" w:hAnsi="Times New Roman" w:eastAsia="宋体" w:cs="Times New Roman"/>
                <w:color w:val="auto"/>
                <w:sz w:val="24"/>
                <w:lang w:eastAsia="zh-CN"/>
              </w:rPr>
              <w:t>胡杨河市</w:t>
            </w:r>
            <w:r>
              <w:rPr>
                <w:rFonts w:hint="default" w:ascii="Times New Roman" w:hAnsi="Times New Roman" w:eastAsia="宋体" w:cs="Times New Roman"/>
                <w:color w:val="auto"/>
                <w:sz w:val="24"/>
              </w:rPr>
              <w:t>污水处理厂。</w:t>
            </w:r>
          </w:p>
          <w:p>
            <w:pPr>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0"/>
                <w:lang w:val="en-US" w:eastAsia="zh-CN" w:bidi="ar-SA"/>
              </w:rPr>
            </w:pPr>
            <w:r>
              <w:rPr>
                <w:rFonts w:hint="eastAsia" w:cs="Times New Roman"/>
                <w:color w:val="auto"/>
                <w:kern w:val="2"/>
                <w:sz w:val="24"/>
                <w:szCs w:val="20"/>
                <w:lang w:val="en-US" w:eastAsia="zh-CN" w:bidi="ar-SA"/>
              </w:rPr>
              <w:t>根据《中药类制药工业水污染物排放标准》（GB21906-2008），“企业向设置污水处理厂的城镇排水系统排放废水时，其他污染物的排放控制要求由企业与城镇污水处理厂根据其污水处理能力商定或执行相关标准，并报当地环境保护主管部门备案；城镇污水处理厂应保证排放污染物达到相关排放标准要求。”本项目医院综合废水排入中医院污水处理站处理后排入胡杨河市污水处理厂处理，医院污水总排口目前执行《医疗机构水污染物排放标准》（GB18466-2005）表2预处理标准，其严于胡杨河市污水处理厂的进水标准，因此，从严考虑，本项综合废水执行《医疗机构水污染物排放标准》（GB18466-2005）表2预处理标准。</w:t>
            </w:r>
          </w:p>
          <w:p>
            <w:pPr>
              <w:adjustRightInd w:val="0"/>
              <w:snapToGrid w:val="0"/>
              <w:jc w:val="center"/>
              <w:rPr>
                <w:rFonts w:hint="default"/>
                <w:b/>
                <w:bCs/>
                <w:sz w:val="24"/>
                <w:szCs w:val="24"/>
              </w:rPr>
            </w:pPr>
            <w:r>
              <w:rPr>
                <w:rFonts w:hint="default"/>
                <w:b/>
                <w:bCs/>
                <w:sz w:val="24"/>
                <w:szCs w:val="24"/>
              </w:rPr>
              <w:t>表3-</w:t>
            </w:r>
            <w:r>
              <w:rPr>
                <w:rFonts w:hint="eastAsia"/>
                <w:b/>
                <w:bCs/>
                <w:sz w:val="24"/>
                <w:szCs w:val="24"/>
                <w:lang w:val="en-US" w:eastAsia="zh-CN"/>
              </w:rPr>
              <w:t xml:space="preserve">7  </w:t>
            </w:r>
            <w:r>
              <w:rPr>
                <w:rFonts w:hint="default"/>
                <w:b/>
                <w:bCs/>
                <w:sz w:val="24"/>
                <w:szCs w:val="24"/>
              </w:rPr>
              <w:t>综合医疗机构和其他医疗机构水污染物排放限值（日均值）</w:t>
            </w:r>
          </w:p>
          <w:tbl>
            <w:tblPr>
              <w:tblStyle w:val="27"/>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69"/>
              <w:gridCol w:w="4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32" w:type="dxa"/>
                  <w:noWrap w:val="0"/>
                  <w:vAlign w:val="center"/>
                </w:tcPr>
                <w:p>
                  <w:pPr>
                    <w:jc w:val="center"/>
                    <w:rPr>
                      <w:rFonts w:hint="default"/>
                    </w:rPr>
                  </w:pPr>
                  <w:r>
                    <w:rPr>
                      <w:rFonts w:hint="default"/>
                    </w:rPr>
                    <w:t>项目</w:t>
                  </w:r>
                </w:p>
              </w:tc>
              <w:tc>
                <w:tcPr>
                  <w:tcW w:w="5138" w:type="dxa"/>
                  <w:noWrap w:val="0"/>
                  <w:vAlign w:val="center"/>
                </w:tcPr>
                <w:p>
                  <w:pPr>
                    <w:jc w:val="center"/>
                    <w:rPr>
                      <w:rFonts w:hint="default"/>
                    </w:rPr>
                  </w:pPr>
                  <w:r>
                    <w:rPr>
                      <w:rFonts w:hint="default"/>
                    </w:rPr>
                    <w:t>《医疗机构水污染物排放标准》（GB18466-2005）预处理标准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932" w:type="dxa"/>
                  <w:noWrap w:val="0"/>
                  <w:vAlign w:val="center"/>
                </w:tcPr>
                <w:p>
                  <w:pPr>
                    <w:jc w:val="center"/>
                    <w:rPr>
                      <w:rFonts w:hint="default"/>
                    </w:rPr>
                  </w:pPr>
                  <w:r>
                    <w:rPr>
                      <w:rFonts w:hint="default"/>
                    </w:rPr>
                    <w:t>pH</w:t>
                  </w:r>
                </w:p>
              </w:tc>
              <w:tc>
                <w:tcPr>
                  <w:tcW w:w="5138" w:type="dxa"/>
                  <w:noWrap w:val="0"/>
                  <w:vAlign w:val="center"/>
                </w:tcPr>
                <w:p>
                  <w:pPr>
                    <w:jc w:val="center"/>
                    <w:rPr>
                      <w:rFonts w:hint="default"/>
                    </w:rPr>
                  </w:pPr>
                  <w:r>
                    <w:rPr>
                      <w:rFonts w:hint="default"/>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32" w:type="dxa"/>
                  <w:noWrap w:val="0"/>
                  <w:vAlign w:val="center"/>
                </w:tcPr>
                <w:p>
                  <w:pPr>
                    <w:jc w:val="center"/>
                    <w:rPr>
                      <w:rFonts w:hint="default"/>
                    </w:rPr>
                  </w:pPr>
                  <w:r>
                    <w:rPr>
                      <w:rFonts w:hint="default"/>
                    </w:rPr>
                    <w:t>粪大肠菌群（个/L）</w:t>
                  </w:r>
                </w:p>
              </w:tc>
              <w:tc>
                <w:tcPr>
                  <w:tcW w:w="5138" w:type="dxa"/>
                  <w:noWrap w:val="0"/>
                  <w:vAlign w:val="center"/>
                </w:tcPr>
                <w:p>
                  <w:pPr>
                    <w:jc w:val="center"/>
                    <w:rPr>
                      <w:rFonts w:hint="default"/>
                    </w:rPr>
                  </w:pPr>
                  <w:r>
                    <w:rPr>
                      <w:rFonts w:hint="default"/>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32" w:type="dxa"/>
                  <w:noWrap w:val="0"/>
                  <w:vAlign w:val="center"/>
                </w:tcPr>
                <w:p>
                  <w:pPr>
                    <w:jc w:val="center"/>
                    <w:rPr>
                      <w:rFonts w:hint="default"/>
                    </w:rPr>
                  </w:pPr>
                  <w:r>
                    <w:rPr>
                      <w:rFonts w:hint="default"/>
                    </w:rPr>
                    <w:t>SS</w:t>
                  </w:r>
                </w:p>
              </w:tc>
              <w:tc>
                <w:tcPr>
                  <w:tcW w:w="5138" w:type="dxa"/>
                  <w:noWrap w:val="0"/>
                  <w:vAlign w:val="center"/>
                </w:tcPr>
                <w:p>
                  <w:pPr>
                    <w:jc w:val="center"/>
                    <w:rPr>
                      <w:rFonts w:hint="default"/>
                    </w:rPr>
                  </w:pPr>
                  <w:r>
                    <w:rPr>
                      <w:rFonts w:hint="default"/>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jc w:val="center"/>
              </w:trPr>
              <w:tc>
                <w:tcPr>
                  <w:tcW w:w="3932" w:type="dxa"/>
                  <w:noWrap w:val="0"/>
                  <w:vAlign w:val="center"/>
                </w:tcPr>
                <w:p>
                  <w:pPr>
                    <w:jc w:val="center"/>
                    <w:rPr>
                      <w:rFonts w:hint="default"/>
                    </w:rPr>
                  </w:pPr>
                  <w:r>
                    <w:rPr>
                      <w:rFonts w:hint="default"/>
                    </w:rPr>
                    <w:t>BOD5</w:t>
                  </w:r>
                </w:p>
              </w:tc>
              <w:tc>
                <w:tcPr>
                  <w:tcW w:w="5138" w:type="dxa"/>
                  <w:noWrap w:val="0"/>
                  <w:vAlign w:val="center"/>
                </w:tcPr>
                <w:p>
                  <w:pPr>
                    <w:jc w:val="center"/>
                    <w:rPr>
                      <w:rFonts w:hint="default"/>
                    </w:rPr>
                  </w:pPr>
                  <w:r>
                    <w:rPr>
                      <w:rFonts w:hint="default"/>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32" w:type="dxa"/>
                  <w:noWrap w:val="0"/>
                  <w:vAlign w:val="center"/>
                </w:tcPr>
                <w:p>
                  <w:pPr>
                    <w:jc w:val="center"/>
                    <w:rPr>
                      <w:rFonts w:hint="default"/>
                    </w:rPr>
                  </w:pPr>
                  <w:r>
                    <w:rPr>
                      <w:rFonts w:hint="default"/>
                    </w:rPr>
                    <w:t>CODcr</w:t>
                  </w:r>
                </w:p>
              </w:tc>
              <w:tc>
                <w:tcPr>
                  <w:tcW w:w="5138" w:type="dxa"/>
                  <w:noWrap w:val="0"/>
                  <w:vAlign w:val="center"/>
                </w:tcPr>
                <w:p>
                  <w:pPr>
                    <w:jc w:val="center"/>
                    <w:rPr>
                      <w:rFonts w:hint="default"/>
                    </w:rPr>
                  </w:pPr>
                  <w:r>
                    <w:rPr>
                      <w:rFonts w:hint="default"/>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32" w:type="dxa"/>
                  <w:noWrap w:val="0"/>
                  <w:vAlign w:val="center"/>
                </w:tcPr>
                <w:p>
                  <w:pPr>
                    <w:jc w:val="center"/>
                    <w:rPr>
                      <w:rFonts w:hint="default"/>
                    </w:rPr>
                  </w:pPr>
                  <w:r>
                    <w:rPr>
                      <w:rFonts w:hint="default"/>
                    </w:rPr>
                    <w:t>NH3－N</w:t>
                  </w:r>
                </w:p>
              </w:tc>
              <w:tc>
                <w:tcPr>
                  <w:tcW w:w="5138" w:type="dxa"/>
                  <w:noWrap w:val="0"/>
                  <w:vAlign w:val="center"/>
                </w:tcPr>
                <w:p>
                  <w:pPr>
                    <w:jc w:val="center"/>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8" w:hRule="atLeast"/>
                <w:jc w:val="center"/>
              </w:trPr>
              <w:tc>
                <w:tcPr>
                  <w:tcW w:w="3932" w:type="dxa"/>
                  <w:noWrap w:val="0"/>
                  <w:vAlign w:val="center"/>
                </w:tcPr>
                <w:p>
                  <w:pPr>
                    <w:jc w:val="center"/>
                    <w:rPr>
                      <w:rFonts w:hint="default"/>
                    </w:rPr>
                  </w:pPr>
                  <w:r>
                    <w:rPr>
                      <w:rFonts w:hint="default"/>
                    </w:rPr>
                    <w:t>动植物油</w:t>
                  </w:r>
                </w:p>
              </w:tc>
              <w:tc>
                <w:tcPr>
                  <w:tcW w:w="5138" w:type="dxa"/>
                  <w:noWrap w:val="0"/>
                  <w:vAlign w:val="center"/>
                </w:tcPr>
                <w:p>
                  <w:pPr>
                    <w:jc w:val="center"/>
                    <w:rPr>
                      <w:rFonts w:hint="default"/>
                    </w:rPr>
                  </w:pPr>
                  <w:r>
                    <w:rPr>
                      <w:rFonts w:hint="default"/>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32" w:type="dxa"/>
                  <w:noWrap w:val="0"/>
                  <w:vAlign w:val="center"/>
                </w:tcPr>
                <w:p>
                  <w:pPr>
                    <w:jc w:val="center"/>
                    <w:rPr>
                      <w:rFonts w:hint="default"/>
                    </w:rPr>
                  </w:pPr>
                  <w:r>
                    <w:rPr>
                      <w:rFonts w:hint="default"/>
                    </w:rPr>
                    <w:t>LAS</w:t>
                  </w:r>
                </w:p>
              </w:tc>
              <w:tc>
                <w:tcPr>
                  <w:tcW w:w="5138" w:type="dxa"/>
                  <w:noWrap w:val="0"/>
                  <w:vAlign w:val="center"/>
                </w:tcPr>
                <w:p>
                  <w:pPr>
                    <w:jc w:val="center"/>
                    <w:rPr>
                      <w:rFonts w:hint="default"/>
                    </w:rPr>
                  </w:pPr>
                  <w:r>
                    <w:rPr>
                      <w:rFonts w:hint="defaul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32" w:type="dxa"/>
                  <w:noWrap w:val="0"/>
                  <w:vAlign w:val="center"/>
                </w:tcPr>
                <w:p>
                  <w:pPr>
                    <w:jc w:val="center"/>
                    <w:rPr>
                      <w:rFonts w:hint="default"/>
                    </w:rPr>
                  </w:pPr>
                  <w:r>
                    <w:rPr>
                      <w:rFonts w:hint="default"/>
                    </w:rPr>
                    <w:t>TN</w:t>
                  </w:r>
                </w:p>
              </w:tc>
              <w:tc>
                <w:tcPr>
                  <w:tcW w:w="5138" w:type="dxa"/>
                  <w:noWrap w:val="0"/>
                  <w:vAlign w:val="center"/>
                </w:tcPr>
                <w:p>
                  <w:pPr>
                    <w:jc w:val="center"/>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7" w:hRule="atLeast"/>
                <w:jc w:val="center"/>
              </w:trPr>
              <w:tc>
                <w:tcPr>
                  <w:tcW w:w="3932" w:type="dxa"/>
                  <w:noWrap w:val="0"/>
                  <w:vAlign w:val="center"/>
                </w:tcPr>
                <w:p>
                  <w:pPr>
                    <w:jc w:val="center"/>
                    <w:rPr>
                      <w:rFonts w:hint="default"/>
                    </w:rPr>
                  </w:pPr>
                  <w:r>
                    <w:rPr>
                      <w:rFonts w:hint="default"/>
                    </w:rPr>
                    <w:t>TP</w:t>
                  </w:r>
                </w:p>
              </w:tc>
              <w:tc>
                <w:tcPr>
                  <w:tcW w:w="5138" w:type="dxa"/>
                  <w:noWrap w:val="0"/>
                  <w:vAlign w:val="center"/>
                </w:tcPr>
                <w:p>
                  <w:pPr>
                    <w:jc w:val="center"/>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32" w:type="dxa"/>
                  <w:noWrap w:val="0"/>
                  <w:vAlign w:val="center"/>
                </w:tcPr>
                <w:p>
                  <w:pPr>
                    <w:jc w:val="center"/>
                    <w:rPr>
                      <w:rFonts w:hint="default"/>
                    </w:rPr>
                  </w:pPr>
                  <w:r>
                    <w:rPr>
                      <w:rFonts w:hint="default"/>
                    </w:rPr>
                    <w:t>肠道致病菌</w:t>
                  </w:r>
                </w:p>
              </w:tc>
              <w:tc>
                <w:tcPr>
                  <w:tcW w:w="5138" w:type="dxa"/>
                  <w:noWrap w:val="0"/>
                  <w:vAlign w:val="center"/>
                </w:tcPr>
                <w:p>
                  <w:pPr>
                    <w:jc w:val="center"/>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32" w:type="dxa"/>
                  <w:noWrap w:val="0"/>
                  <w:vAlign w:val="center"/>
                </w:tcPr>
                <w:p>
                  <w:pPr>
                    <w:jc w:val="center"/>
                    <w:rPr>
                      <w:rFonts w:hint="default"/>
                    </w:rPr>
                  </w:pPr>
                  <w:r>
                    <w:rPr>
                      <w:rFonts w:hint="default"/>
                    </w:rPr>
                    <w:t>肠道病毒</w:t>
                  </w:r>
                </w:p>
              </w:tc>
              <w:tc>
                <w:tcPr>
                  <w:tcW w:w="5138" w:type="dxa"/>
                  <w:noWrap w:val="0"/>
                  <w:vAlign w:val="center"/>
                </w:tcPr>
                <w:p>
                  <w:pPr>
                    <w:jc w:val="center"/>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32" w:type="dxa"/>
                  <w:noWrap w:val="0"/>
                  <w:vAlign w:val="center"/>
                </w:tcPr>
                <w:p>
                  <w:pPr>
                    <w:jc w:val="center"/>
                    <w:rPr>
                      <w:rFonts w:hint="default"/>
                    </w:rPr>
                  </w:pPr>
                  <w:r>
                    <w:rPr>
                      <w:rFonts w:hint="default"/>
                    </w:rPr>
                    <w:t>石油类</w:t>
                  </w:r>
                </w:p>
              </w:tc>
              <w:tc>
                <w:tcPr>
                  <w:tcW w:w="5138" w:type="dxa"/>
                  <w:noWrap w:val="0"/>
                  <w:vAlign w:val="center"/>
                </w:tcPr>
                <w:p>
                  <w:pPr>
                    <w:jc w:val="center"/>
                    <w:rPr>
                      <w:rFonts w:hint="default"/>
                    </w:rPr>
                  </w:pPr>
                  <w:r>
                    <w:rPr>
                      <w:rFonts w:hint="default"/>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32" w:type="dxa"/>
                  <w:noWrap w:val="0"/>
                  <w:vAlign w:val="center"/>
                </w:tcPr>
                <w:p>
                  <w:pPr>
                    <w:jc w:val="center"/>
                    <w:rPr>
                      <w:rFonts w:hint="default"/>
                    </w:rPr>
                  </w:pPr>
                  <w:r>
                    <w:rPr>
                      <w:rFonts w:hint="default"/>
                    </w:rPr>
                    <w:t>挥发酚</w:t>
                  </w:r>
                </w:p>
              </w:tc>
              <w:tc>
                <w:tcPr>
                  <w:tcW w:w="5138" w:type="dxa"/>
                  <w:noWrap w:val="0"/>
                  <w:vAlign w:val="center"/>
                </w:tcPr>
                <w:p>
                  <w:pPr>
                    <w:jc w:val="center"/>
                    <w:rPr>
                      <w:rFonts w:hint="default"/>
                    </w:rPr>
                  </w:pPr>
                  <w:r>
                    <w:rPr>
                      <w:rFonts w:hint="default"/>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32" w:type="dxa"/>
                  <w:noWrap w:val="0"/>
                  <w:vAlign w:val="center"/>
                </w:tcPr>
                <w:p>
                  <w:pPr>
                    <w:jc w:val="center"/>
                    <w:rPr>
                      <w:rFonts w:hint="default"/>
                    </w:rPr>
                  </w:pPr>
                  <w:r>
                    <w:rPr>
                      <w:rFonts w:hint="default"/>
                    </w:rPr>
                    <w:t>色度</w:t>
                  </w:r>
                </w:p>
              </w:tc>
              <w:tc>
                <w:tcPr>
                  <w:tcW w:w="5138" w:type="dxa"/>
                  <w:noWrap w:val="0"/>
                  <w:vAlign w:val="center"/>
                </w:tcPr>
                <w:p>
                  <w:pPr>
                    <w:jc w:val="center"/>
                    <w:rPr>
                      <w:rFonts w:hint="default"/>
                    </w:rPr>
                  </w:pPr>
                  <w:r>
                    <w:rPr>
                      <w:rFonts w:hint="defaul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32" w:type="dxa"/>
                  <w:noWrap w:val="0"/>
                  <w:vAlign w:val="center"/>
                </w:tcPr>
                <w:p>
                  <w:pPr>
                    <w:jc w:val="center"/>
                    <w:rPr>
                      <w:rFonts w:hint="default"/>
                    </w:rPr>
                  </w:pPr>
                  <w:r>
                    <w:rPr>
                      <w:rFonts w:hint="default"/>
                    </w:rPr>
                    <w:t>总氰化物</w:t>
                  </w:r>
                </w:p>
              </w:tc>
              <w:tc>
                <w:tcPr>
                  <w:tcW w:w="5138" w:type="dxa"/>
                  <w:noWrap w:val="0"/>
                  <w:vAlign w:val="center"/>
                </w:tcPr>
                <w:p>
                  <w:pPr>
                    <w:jc w:val="center"/>
                    <w:rPr>
                      <w:rFonts w:hint="default"/>
                    </w:rPr>
                  </w:pPr>
                  <w:r>
                    <w:rPr>
                      <w:rFonts w:hint="default"/>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932" w:type="dxa"/>
                  <w:noWrap w:val="0"/>
                  <w:vAlign w:val="center"/>
                </w:tcPr>
                <w:p>
                  <w:pPr>
                    <w:jc w:val="center"/>
                    <w:rPr>
                      <w:rFonts w:hint="default"/>
                    </w:rPr>
                  </w:pPr>
                  <w:r>
                    <w:rPr>
                      <w:rFonts w:hint="default"/>
                    </w:rPr>
                    <w:t>总余氯</w:t>
                  </w:r>
                </w:p>
              </w:tc>
              <w:tc>
                <w:tcPr>
                  <w:tcW w:w="5138" w:type="dxa"/>
                  <w:noWrap w:val="0"/>
                  <w:vAlign w:val="center"/>
                </w:tcPr>
                <w:p>
                  <w:pPr>
                    <w:jc w:val="center"/>
                    <w:rPr>
                      <w:rFonts w:hint="default"/>
                    </w:rPr>
                  </w:pPr>
                  <w:r>
                    <w:rPr>
                      <w:rFonts w:hint="default"/>
                    </w:rPr>
                    <w:t>消毒接触池接触时间≥1h，接触池出口总余氯2~8mg/L</w:t>
                  </w:r>
                </w:p>
              </w:tc>
            </w:tr>
          </w:tbl>
          <w:p>
            <w:pPr>
              <w:pStyle w:val="12"/>
              <w:numPr>
                <w:ilvl w:val="0"/>
                <w:numId w:val="0"/>
              </w:numPr>
              <w:ind w:right="113" w:rightChars="0"/>
              <w:rPr>
                <w:rFonts w:hint="eastAsia"/>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35" w:type="dxa"/>
            <w:noWrap w:val="0"/>
            <w:vAlign w:val="center"/>
          </w:tcPr>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总量</w:t>
            </w:r>
          </w:p>
          <w:p>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控制</w:t>
            </w:r>
          </w:p>
          <w:p>
            <w:pPr>
              <w:adjustRightInd w:val="0"/>
              <w:snapToGrid w:val="0"/>
              <w:jc w:val="center"/>
              <w:rPr>
                <w:rFonts w:hint="default" w:ascii="Times New Roman" w:hAnsi="Times New Roman" w:cs="Times New Roman"/>
                <w:color w:val="0000FF"/>
                <w:kern w:val="0"/>
                <w:szCs w:val="21"/>
              </w:rPr>
            </w:pPr>
            <w:r>
              <w:rPr>
                <w:rFonts w:hint="default" w:ascii="Times New Roman" w:hAnsi="Times New Roman" w:cs="Times New Roman"/>
                <w:color w:val="auto"/>
                <w:kern w:val="0"/>
                <w:sz w:val="24"/>
              </w:rPr>
              <w:t>指标</w:t>
            </w:r>
          </w:p>
        </w:tc>
        <w:tc>
          <w:tcPr>
            <w:tcW w:w="8626" w:type="dxa"/>
            <w:noWrap w:val="0"/>
            <w:vAlign w:val="center"/>
          </w:tcPr>
          <w:p>
            <w:pPr>
              <w:numPr>
                <w:ilvl w:val="0"/>
                <w:numId w:val="0"/>
              </w:numPr>
              <w:autoSpaceDE w:val="0"/>
              <w:autoSpaceDN w:val="0"/>
              <w:adjustRightInd w:val="0"/>
              <w:spacing w:line="360" w:lineRule="auto"/>
              <w:ind w:firstLine="480" w:firstLineChars="200"/>
              <w:jc w:val="left"/>
              <w:rPr>
                <w:rFonts w:hint="default"/>
                <w:sz w:val="24"/>
                <w:szCs w:val="24"/>
                <w:lang w:val="en-US" w:eastAsia="zh-CN"/>
              </w:rPr>
            </w:pPr>
            <w:r>
              <w:rPr>
                <w:rFonts w:hint="default"/>
                <w:sz w:val="24"/>
                <w:szCs w:val="24"/>
                <w:lang w:val="en-US" w:eastAsia="zh-CN"/>
              </w:rPr>
              <w:t>本项目冬季采用集中供暖，运营期</w:t>
            </w:r>
            <w:r>
              <w:rPr>
                <w:rFonts w:hint="eastAsia"/>
                <w:sz w:val="24"/>
                <w:szCs w:val="24"/>
                <w:lang w:val="en-US" w:eastAsia="zh-CN"/>
              </w:rPr>
              <w:t>医院综合废水</w:t>
            </w:r>
            <w:r>
              <w:rPr>
                <w:rFonts w:hint="default"/>
                <w:sz w:val="24"/>
                <w:szCs w:val="24"/>
                <w:lang w:val="en-US" w:eastAsia="zh-CN"/>
              </w:rPr>
              <w:t>均经医院污水处理站处理达标后排入市政管网，污水最终排入胡杨河市污水处理厂</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color w:val="auto"/>
                <w:sz w:val="24"/>
                <w:szCs w:val="24"/>
                <w:lang w:val="en-US" w:eastAsia="zh-CN"/>
              </w:rPr>
              <w:t>柴油发电机仅作为应急使用，不纳入总量控制要求。</w:t>
            </w:r>
            <w:r>
              <w:rPr>
                <w:rFonts w:hint="default" w:ascii="Times New Roman" w:hAnsi="Times New Roman" w:eastAsia="宋体" w:cs="Times New Roman"/>
                <w:color w:val="auto"/>
                <w:sz w:val="24"/>
                <w:szCs w:val="24"/>
                <w:lang w:val="en-US" w:eastAsia="zh-CN"/>
              </w:rPr>
              <w:t>因此</w:t>
            </w:r>
            <w:r>
              <w:rPr>
                <w:rFonts w:hint="default"/>
                <w:color w:val="auto"/>
                <w:sz w:val="24"/>
                <w:szCs w:val="24"/>
                <w:lang w:val="en-US" w:eastAsia="zh-CN"/>
              </w:rPr>
              <w:t>，本项目总量控制指标由污水</w:t>
            </w:r>
            <w:r>
              <w:rPr>
                <w:rFonts w:hint="default"/>
                <w:sz w:val="24"/>
                <w:szCs w:val="24"/>
                <w:lang w:val="en-US" w:eastAsia="zh-CN"/>
              </w:rPr>
              <w:t>处理厂统一设置，本评价不再建议设置总量控制指标。</w:t>
            </w:r>
          </w:p>
          <w:p>
            <w:pPr>
              <w:spacing w:line="360" w:lineRule="auto"/>
              <w:ind w:firstLine="480" w:firstLineChars="200"/>
              <w:rPr>
                <w:rFonts w:hint="default" w:ascii="Times New Roman" w:hAnsi="Times New Roman" w:cs="Times New Roman"/>
                <w:color w:val="auto"/>
                <w:sz w:val="24"/>
                <w:highlight w:val="yellow"/>
              </w:rPr>
            </w:pPr>
          </w:p>
          <w:p>
            <w:pPr>
              <w:spacing w:line="360" w:lineRule="auto"/>
              <w:ind w:firstLine="480" w:firstLineChars="200"/>
              <w:rPr>
                <w:rFonts w:hint="default" w:ascii="Times New Roman" w:hAnsi="Times New Roman" w:cs="Times New Roman"/>
                <w:color w:val="auto"/>
                <w:sz w:val="24"/>
              </w:rPr>
            </w:pPr>
          </w:p>
          <w:p>
            <w:pPr>
              <w:spacing w:line="360" w:lineRule="auto"/>
              <w:ind w:firstLine="420" w:firstLineChars="200"/>
              <w:rPr>
                <w:rFonts w:hint="default" w:ascii="Times New Roman" w:hAnsi="Times New Roman" w:cs="Times New Roman"/>
                <w:color w:val="auto"/>
              </w:rPr>
            </w:pPr>
          </w:p>
          <w:p>
            <w:pPr>
              <w:spacing w:line="360" w:lineRule="auto"/>
              <w:ind w:firstLine="420" w:firstLineChars="200"/>
              <w:rPr>
                <w:rFonts w:hint="default" w:ascii="Times New Roman" w:hAnsi="Times New Roman" w:cs="Times New Roman"/>
                <w:color w:val="auto"/>
              </w:rPr>
            </w:pPr>
          </w:p>
          <w:p>
            <w:pPr>
              <w:spacing w:line="360" w:lineRule="auto"/>
              <w:ind w:firstLine="420" w:firstLineChars="200"/>
              <w:rPr>
                <w:rFonts w:hint="default" w:ascii="Times New Roman" w:hAnsi="Times New Roman" w:cs="Times New Roman"/>
                <w:color w:val="auto"/>
              </w:rPr>
            </w:pPr>
          </w:p>
          <w:p>
            <w:pPr>
              <w:spacing w:line="360" w:lineRule="auto"/>
              <w:ind w:firstLine="420" w:firstLineChars="200"/>
              <w:rPr>
                <w:rFonts w:hint="default" w:ascii="Times New Roman" w:hAnsi="Times New Roman" w:cs="Times New Roman"/>
                <w:color w:val="auto"/>
              </w:rPr>
            </w:pPr>
          </w:p>
          <w:p>
            <w:pPr>
              <w:spacing w:line="360" w:lineRule="auto"/>
              <w:rPr>
                <w:rFonts w:hint="default" w:ascii="Times New Roman" w:hAnsi="Times New Roman" w:cs="Times New Roman"/>
                <w:color w:val="auto"/>
                <w:kern w:val="0"/>
                <w:szCs w:val="21"/>
              </w:rPr>
            </w:pPr>
          </w:p>
        </w:tc>
      </w:tr>
    </w:tbl>
    <w:p>
      <w:pPr>
        <w:pStyle w:val="24"/>
        <w:jc w:val="center"/>
        <w:outlineLvl w:val="0"/>
        <w:rPr>
          <w:rFonts w:ascii="Times New Roman" w:hAnsi="Times New Roman" w:eastAsia="黑体"/>
          <w:snapToGrid w:val="0"/>
          <w:sz w:val="30"/>
          <w:szCs w:val="30"/>
        </w:rPr>
      </w:pPr>
      <w:r>
        <w:rPr>
          <w:rFonts w:ascii="Times New Roman" w:hAnsi="Times New Roman" w:eastAsia="黑体"/>
          <w:snapToGrid w:val="0"/>
          <w:sz w:val="36"/>
          <w:szCs w:val="36"/>
        </w:rPr>
        <w:br w:type="page"/>
      </w:r>
      <w:r>
        <w:rPr>
          <w:rFonts w:ascii="Times New Roman" w:hAnsi="Times New Roman"/>
          <w:b/>
          <w:bCs/>
          <w:snapToGrid w:val="0"/>
          <w:sz w:val="30"/>
          <w:szCs w:val="30"/>
        </w:rPr>
        <w:t>四、主要环境影响和保护措施</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4"/>
        <w:gridCol w:w="868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94" w:type="dxa"/>
            <w:noWrap w:val="0"/>
            <w:tcMar>
              <w:left w:w="28" w:type="dxa"/>
              <w:right w:w="28" w:type="dxa"/>
            </w:tcMar>
            <w:vAlign w:val="center"/>
          </w:tcPr>
          <w:p>
            <w:pPr>
              <w:pStyle w:val="24"/>
              <w:adjustRightInd w:val="0"/>
              <w:snapToGrid w:val="0"/>
              <w:spacing w:before="0" w:beforeAutospacing="0" w:after="0" w:afterAutospacing="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施工</w:t>
            </w:r>
          </w:p>
          <w:p>
            <w:pPr>
              <w:pStyle w:val="24"/>
              <w:adjustRightInd w:val="0"/>
              <w:snapToGrid w:val="0"/>
              <w:spacing w:before="0" w:beforeAutospacing="0" w:after="0" w:afterAutospacing="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期环</w:t>
            </w:r>
          </w:p>
          <w:p>
            <w:pPr>
              <w:pStyle w:val="24"/>
              <w:adjustRightInd w:val="0"/>
              <w:snapToGrid w:val="0"/>
              <w:spacing w:before="0" w:beforeAutospacing="0" w:after="0" w:afterAutospacing="0"/>
              <w:jc w:val="center"/>
              <w:rPr>
                <w:rFonts w:hint="default" w:ascii="Times New Roman" w:hAnsi="Times New Roman" w:cs="Times New Roman"/>
                <w:color w:val="auto"/>
                <w:kern w:val="2"/>
                <w:szCs w:val="24"/>
                <w:highlight w:val="none"/>
              </w:rPr>
            </w:pPr>
            <w:r>
              <w:rPr>
                <w:rFonts w:hint="default" w:ascii="Times New Roman" w:hAnsi="Times New Roman" w:cs="Times New Roman"/>
                <w:color w:val="auto"/>
                <w:kern w:val="2"/>
                <w:szCs w:val="24"/>
                <w:highlight w:val="none"/>
              </w:rPr>
              <w:t>境保</w:t>
            </w:r>
          </w:p>
          <w:p>
            <w:pPr>
              <w:pStyle w:val="24"/>
              <w:adjustRightInd w:val="0"/>
              <w:snapToGrid w:val="0"/>
              <w:spacing w:before="0" w:beforeAutospacing="0" w:after="0" w:afterAutospacing="0"/>
              <w:jc w:val="center"/>
              <w:rPr>
                <w:rFonts w:hint="default" w:ascii="Times New Roman" w:hAnsi="Times New Roman" w:cs="Times New Roman"/>
                <w:color w:val="FF0000"/>
                <w:kern w:val="2"/>
                <w:szCs w:val="24"/>
                <w:highlight w:val="none"/>
              </w:rPr>
            </w:pPr>
            <w:r>
              <w:rPr>
                <w:rFonts w:hint="default" w:ascii="Times New Roman" w:hAnsi="Times New Roman" w:cs="Times New Roman"/>
                <w:color w:val="auto"/>
                <w:kern w:val="2"/>
                <w:szCs w:val="24"/>
                <w:highlight w:val="none"/>
              </w:rPr>
              <w:t>护措</w:t>
            </w:r>
          </w:p>
          <w:p>
            <w:pPr>
              <w:pStyle w:val="24"/>
              <w:adjustRightInd w:val="0"/>
              <w:snapToGrid w:val="0"/>
              <w:spacing w:before="0" w:beforeAutospacing="0" w:after="0" w:afterAutospacing="0"/>
              <w:jc w:val="center"/>
              <w:rPr>
                <w:rFonts w:hint="default" w:ascii="Times New Roman" w:hAnsi="Times New Roman" w:cs="Times New Roman"/>
                <w:bCs/>
                <w:color w:val="FF0000"/>
                <w:kern w:val="2"/>
                <w:szCs w:val="24"/>
                <w:highlight w:val="none"/>
              </w:rPr>
            </w:pPr>
            <w:r>
              <w:rPr>
                <w:rFonts w:hint="default" w:ascii="Times New Roman" w:hAnsi="Times New Roman" w:cs="Times New Roman"/>
                <w:color w:val="auto"/>
                <w:kern w:val="2"/>
                <w:szCs w:val="24"/>
                <w:highlight w:val="none"/>
              </w:rPr>
              <w:t>施</w:t>
            </w:r>
          </w:p>
        </w:tc>
        <w:tc>
          <w:tcPr>
            <w:tcW w:w="8687"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大气环境保护措施</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52" w:firstLineChars="200"/>
              <w:textAlignment w:val="auto"/>
              <w:rPr>
                <w:rFonts w:hint="default" w:ascii="Times New Roman" w:hAnsi="Times New Roman" w:eastAsia="宋体" w:cs="Times New Roman"/>
                <w:color w:val="auto"/>
                <w:spacing w:val="-7"/>
                <w:kern w:val="0"/>
                <w:sz w:val="24"/>
                <w:szCs w:val="24"/>
                <w:lang w:val="en-US" w:eastAsia="zh-CN" w:bidi="ar-SA"/>
              </w:rPr>
            </w:pPr>
            <w:r>
              <w:rPr>
                <w:rFonts w:hint="default" w:ascii="Times New Roman" w:hAnsi="Times New Roman" w:eastAsia="宋体" w:cs="Times New Roman"/>
                <w:color w:val="auto"/>
                <w:spacing w:val="-7"/>
                <w:kern w:val="0"/>
                <w:sz w:val="24"/>
                <w:szCs w:val="24"/>
                <w:lang w:val="en-US" w:eastAsia="zh-CN" w:bidi="ar-SA"/>
              </w:rPr>
              <w:t>施工区域设置1.8米以上围挡，围挡地段设置防溢座，确保围挡之间以及围挡与防溢座之间无缝隙。</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52" w:firstLineChars="200"/>
              <w:textAlignment w:val="auto"/>
              <w:rPr>
                <w:rFonts w:hint="default" w:ascii="Times New Roman" w:hAnsi="Times New Roman" w:eastAsia="宋体" w:cs="Times New Roman"/>
                <w:color w:val="auto"/>
                <w:spacing w:val="-7"/>
                <w:kern w:val="0"/>
                <w:sz w:val="24"/>
                <w:szCs w:val="24"/>
                <w:lang w:val="en-US" w:eastAsia="zh-CN" w:bidi="ar-SA"/>
              </w:rPr>
            </w:pPr>
            <w:r>
              <w:rPr>
                <w:rFonts w:hint="default" w:ascii="Times New Roman" w:hAnsi="Times New Roman" w:eastAsia="宋体" w:cs="Times New Roman"/>
                <w:color w:val="auto"/>
                <w:spacing w:val="-7"/>
                <w:kern w:val="0"/>
                <w:sz w:val="24"/>
                <w:szCs w:val="24"/>
                <w:lang w:val="en-US" w:eastAsia="zh-CN" w:bidi="ar-SA"/>
              </w:rPr>
              <w:t>施工器械、建筑材料分类停放和堆存；运输及堆放砂石料、建筑材料等易起尘的建筑材料时必须加盖篷布，防止散落而形成尘源。</w:t>
            </w:r>
          </w:p>
          <w:p>
            <w:pPr>
              <w:keepNext w:val="0"/>
              <w:keepLines w:val="0"/>
              <w:pageBreakBefore w:val="0"/>
              <w:widowControl w:val="0"/>
              <w:numPr>
                <w:ilvl w:val="0"/>
                <w:numId w:val="4"/>
              </w:numPr>
              <w:kinsoku/>
              <w:wordWrap/>
              <w:overflowPunct/>
              <w:topLinePunct w:val="0"/>
              <w:autoSpaceDE/>
              <w:autoSpaceDN/>
              <w:bidi w:val="0"/>
              <w:adjustRightInd w:val="0"/>
              <w:snapToGrid w:val="0"/>
              <w:spacing w:line="360" w:lineRule="auto"/>
              <w:ind w:left="0" w:leftChars="0" w:firstLine="452" w:firstLineChars="200"/>
              <w:textAlignment w:val="auto"/>
              <w:rPr>
                <w:rFonts w:hint="default" w:ascii="Times New Roman" w:hAnsi="Times New Roman" w:eastAsia="宋体" w:cs="Times New Roman"/>
                <w:color w:val="auto"/>
                <w:spacing w:val="-7"/>
                <w:kern w:val="0"/>
                <w:sz w:val="24"/>
                <w:szCs w:val="24"/>
                <w:lang w:val="en-US" w:eastAsia="zh-CN" w:bidi="ar-SA"/>
              </w:rPr>
            </w:pPr>
            <w:r>
              <w:rPr>
                <w:rFonts w:hint="default" w:ascii="Times New Roman" w:hAnsi="Times New Roman" w:eastAsia="宋体" w:cs="Times New Roman"/>
                <w:color w:val="auto"/>
                <w:spacing w:val="-7"/>
                <w:kern w:val="0"/>
                <w:sz w:val="24"/>
                <w:szCs w:val="24"/>
                <w:lang w:val="en-US" w:eastAsia="zh-CN" w:bidi="ar-SA"/>
              </w:rPr>
              <w:t>选用低能耗、低污染排放的施工机械车辆；加强机械、车辆的维护和管理，对使用燃油的施工机械设备配备尾气净化装置。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52" w:firstLineChars="200"/>
              <w:textAlignment w:val="auto"/>
              <w:rPr>
                <w:rFonts w:hint="default" w:ascii="Times New Roman" w:hAnsi="Times New Roman" w:eastAsia="宋体" w:cs="Times New Roman"/>
                <w:color w:val="auto"/>
                <w:spacing w:val="-7"/>
                <w:kern w:val="0"/>
                <w:sz w:val="24"/>
                <w:szCs w:val="24"/>
                <w:lang w:val="en-US" w:eastAsia="zh-CN" w:bidi="ar-SA"/>
              </w:rPr>
            </w:pPr>
            <w:r>
              <w:rPr>
                <w:rFonts w:hint="default" w:ascii="Times New Roman" w:hAnsi="Times New Roman" w:eastAsia="宋体" w:cs="Times New Roman"/>
                <w:color w:val="auto"/>
                <w:spacing w:val="-7"/>
                <w:kern w:val="0"/>
                <w:sz w:val="24"/>
                <w:szCs w:val="24"/>
                <w:lang w:val="en-US" w:eastAsia="zh-CN" w:bidi="ar-SA"/>
              </w:rPr>
              <w:t>（4）合理安排施工计划，施工场地、施工道路扬尘采取洒水和及时清扫的抑尘措施；合理规划运输线路，控制车速；遇到四级或四级以上大风天气，立即停止施工作业。</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52" w:firstLineChars="200"/>
              <w:textAlignment w:val="auto"/>
              <w:rPr>
                <w:rFonts w:hint="default" w:ascii="Times New Roman" w:hAnsi="Times New Roman" w:eastAsia="宋体" w:cs="Times New Roman"/>
                <w:color w:val="auto"/>
                <w:spacing w:val="-7"/>
                <w:kern w:val="0"/>
                <w:sz w:val="24"/>
                <w:szCs w:val="24"/>
                <w:lang w:val="en-US" w:eastAsia="zh-CN" w:bidi="ar-SA"/>
              </w:rPr>
            </w:pPr>
            <w:r>
              <w:rPr>
                <w:rFonts w:hint="eastAsia" w:ascii="Times New Roman" w:hAnsi="Times New Roman" w:eastAsia="宋体" w:cs="Times New Roman"/>
                <w:color w:val="auto"/>
                <w:spacing w:val="-7"/>
                <w:kern w:val="0"/>
                <w:sz w:val="24"/>
                <w:szCs w:val="24"/>
                <w:lang w:val="en-US" w:eastAsia="zh-CN" w:bidi="ar-SA"/>
              </w:rPr>
              <w:t>（5）施工期间的弃土应就地平整，弃土若在工地内堆置超过一周的，应覆盖尘布、防尘网；选择合理的运输路线和时间，运输车辆需用帆布覆盖，覆盖率要达到100%。黄沙及其他易飞扬的细颗粒建筑材料避免露天堆放，采取覆盖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52" w:firstLineChars="200"/>
              <w:textAlignment w:val="auto"/>
              <w:rPr>
                <w:rFonts w:hint="default" w:ascii="Times New Roman" w:hAnsi="Times New Roman" w:eastAsia="宋体" w:cs="Times New Roman"/>
                <w:color w:val="auto"/>
                <w:spacing w:val="-7"/>
                <w:kern w:val="0"/>
                <w:sz w:val="24"/>
                <w:szCs w:val="24"/>
                <w:lang w:val="en-US" w:eastAsia="zh-CN" w:bidi="ar-SA"/>
              </w:rPr>
            </w:pPr>
            <w:r>
              <w:rPr>
                <w:rFonts w:hint="eastAsia" w:ascii="Times New Roman" w:hAnsi="Times New Roman" w:eastAsia="宋体" w:cs="Times New Roman"/>
                <w:color w:val="auto"/>
                <w:spacing w:val="-7"/>
                <w:kern w:val="0"/>
                <w:sz w:val="24"/>
                <w:szCs w:val="24"/>
                <w:lang w:val="en-US" w:eastAsia="zh-CN" w:bidi="ar-SA"/>
              </w:rPr>
              <w:t>（6）</w:t>
            </w:r>
            <w:r>
              <w:rPr>
                <w:rFonts w:hint="default" w:ascii="Times New Roman" w:hAnsi="Times New Roman" w:eastAsia="宋体" w:cs="Times New Roman"/>
                <w:color w:val="auto"/>
                <w:spacing w:val="-7"/>
                <w:kern w:val="0"/>
                <w:sz w:val="24"/>
                <w:szCs w:val="24"/>
                <w:lang w:val="en-US" w:eastAsia="zh-CN" w:bidi="ar-SA"/>
              </w:rPr>
              <w:t>建筑施工工地必须严格落实工地周边100%围挡、易产生扬尘的物料堆放100%覆盖、土方开挖100%湿法作业、建筑工地主要道路100%硬化、</w:t>
            </w:r>
            <w:r>
              <w:rPr>
                <w:rFonts w:hint="eastAsia" w:ascii="Times New Roman" w:hAnsi="Times New Roman" w:eastAsia="宋体" w:cs="Times New Roman"/>
                <w:color w:val="auto"/>
                <w:spacing w:val="-7"/>
                <w:kern w:val="0"/>
                <w:sz w:val="24"/>
                <w:szCs w:val="24"/>
                <w:lang w:val="en-US" w:eastAsia="zh-CN" w:bidi="ar-SA"/>
              </w:rPr>
              <w:t>出</w:t>
            </w:r>
            <w:r>
              <w:rPr>
                <w:rFonts w:hint="default" w:ascii="Times New Roman" w:hAnsi="Times New Roman" w:eastAsia="宋体" w:cs="Times New Roman"/>
                <w:color w:val="auto"/>
                <w:spacing w:val="-7"/>
                <w:kern w:val="0"/>
                <w:sz w:val="24"/>
                <w:szCs w:val="24"/>
                <w:lang w:val="en-US" w:eastAsia="zh-CN" w:bidi="ar-SA"/>
              </w:rPr>
              <w:t>入车辆100%清洗、渣土车辆100%密闭运输。</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highlight w:val="none"/>
              </w:rPr>
              <w:t>1.</w:t>
            </w:r>
            <w:r>
              <w:rPr>
                <w:rFonts w:hint="default" w:ascii="Times New Roman" w:hAnsi="Times New Roman" w:eastAsia="宋体" w:cs="Times New Roman"/>
                <w:b/>
                <w:bCs/>
                <w:color w:val="auto"/>
                <w:sz w:val="24"/>
                <w:szCs w:val="24"/>
                <w:lang w:val="en-US" w:eastAsia="zh-CN"/>
              </w:rPr>
              <w:t>2水环境保护措施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52" w:firstLineChars="200"/>
              <w:textAlignment w:val="auto"/>
              <w:rPr>
                <w:rFonts w:hint="default" w:ascii="Times New Roman" w:hAnsi="Times New Roman" w:eastAsia="宋体" w:cs="Times New Roman"/>
                <w:color w:val="auto"/>
                <w:spacing w:val="-7"/>
                <w:kern w:val="0"/>
                <w:sz w:val="24"/>
                <w:szCs w:val="24"/>
                <w:lang w:val="en-US" w:eastAsia="zh-CN" w:bidi="ar-SA"/>
              </w:rPr>
            </w:pPr>
            <w:r>
              <w:rPr>
                <w:rFonts w:hint="eastAsia" w:ascii="Times New Roman" w:hAnsi="Times New Roman" w:eastAsia="宋体" w:cs="Times New Roman"/>
                <w:color w:val="auto"/>
                <w:spacing w:val="-7"/>
                <w:kern w:val="0"/>
                <w:sz w:val="24"/>
                <w:szCs w:val="24"/>
                <w:lang w:val="en-US" w:eastAsia="zh-CN" w:bidi="ar-SA"/>
              </w:rPr>
              <w:t>（1）</w:t>
            </w:r>
            <w:r>
              <w:rPr>
                <w:rFonts w:hint="default" w:ascii="Times New Roman" w:hAnsi="Times New Roman" w:eastAsia="宋体" w:cs="Times New Roman"/>
                <w:color w:val="auto"/>
                <w:spacing w:val="-7"/>
                <w:kern w:val="0"/>
                <w:sz w:val="24"/>
                <w:szCs w:val="24"/>
                <w:lang w:val="en-US" w:eastAsia="zh-CN" w:bidi="ar-SA"/>
              </w:rPr>
              <w:t>施工场地设沉淀池，生产废水经沉淀处理后用于场地洒水抑尘。施工结束后将隔油沉淀池拆除并恢复施工迹地。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52" w:firstLineChars="200"/>
              <w:textAlignment w:val="auto"/>
              <w:rPr>
                <w:rFonts w:hint="default" w:ascii="Times New Roman" w:hAnsi="Times New Roman" w:eastAsia="宋体" w:cs="Times New Roman"/>
                <w:color w:val="auto"/>
                <w:spacing w:val="-7"/>
                <w:kern w:val="0"/>
                <w:sz w:val="24"/>
                <w:szCs w:val="24"/>
                <w:lang w:val="en-US" w:eastAsia="zh-CN" w:bidi="ar-SA"/>
              </w:rPr>
            </w:pPr>
            <w:r>
              <w:rPr>
                <w:rFonts w:hint="eastAsia" w:ascii="Times New Roman" w:hAnsi="Times New Roman" w:eastAsia="宋体" w:cs="Times New Roman"/>
                <w:color w:val="auto"/>
                <w:spacing w:val="-7"/>
                <w:kern w:val="0"/>
                <w:sz w:val="24"/>
                <w:szCs w:val="24"/>
                <w:lang w:val="en-US" w:eastAsia="zh-CN" w:bidi="ar-SA"/>
              </w:rPr>
              <w:t>（2）</w:t>
            </w:r>
            <w:r>
              <w:rPr>
                <w:rFonts w:hint="default" w:ascii="Times New Roman" w:hAnsi="Times New Roman" w:eastAsia="宋体" w:cs="Times New Roman"/>
                <w:color w:val="auto"/>
                <w:spacing w:val="-7"/>
                <w:kern w:val="0"/>
                <w:sz w:val="24"/>
                <w:szCs w:val="24"/>
                <w:lang w:val="en-US" w:eastAsia="zh-CN" w:bidi="ar-SA"/>
              </w:rPr>
              <w:t>项目不设施工营地，</w:t>
            </w:r>
            <w:r>
              <w:rPr>
                <w:rFonts w:hint="eastAsia" w:ascii="Times New Roman" w:hAnsi="Times New Roman" w:eastAsia="宋体" w:cs="Times New Roman"/>
                <w:color w:val="auto"/>
                <w:spacing w:val="-7"/>
                <w:kern w:val="0"/>
                <w:sz w:val="24"/>
                <w:szCs w:val="24"/>
                <w:lang w:val="en-US" w:eastAsia="zh-CN" w:bidi="ar-SA"/>
              </w:rPr>
              <w:t>施工现场设置移动式环保厕所供施工人员如厕。</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3声环境保护措施</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52" w:firstLineChars="200"/>
              <w:textAlignment w:val="auto"/>
              <w:rPr>
                <w:rFonts w:hint="default" w:ascii="Times New Roman" w:hAnsi="Times New Roman" w:eastAsia="宋体" w:cs="Times New Roman"/>
                <w:color w:val="auto"/>
                <w:spacing w:val="-7"/>
                <w:kern w:val="0"/>
                <w:sz w:val="24"/>
                <w:szCs w:val="24"/>
                <w:lang w:val="en-US" w:eastAsia="zh-CN" w:bidi="ar-SA"/>
              </w:rPr>
            </w:pPr>
            <w:r>
              <w:rPr>
                <w:rFonts w:hint="eastAsia" w:ascii="Times New Roman" w:hAnsi="Times New Roman" w:eastAsia="宋体" w:cs="Times New Roman"/>
                <w:color w:val="auto"/>
                <w:spacing w:val="-7"/>
                <w:kern w:val="0"/>
                <w:sz w:val="24"/>
                <w:szCs w:val="24"/>
                <w:lang w:val="en-US" w:eastAsia="zh-CN" w:bidi="ar-SA"/>
              </w:rPr>
              <w:t>（1）</w:t>
            </w:r>
            <w:r>
              <w:rPr>
                <w:rFonts w:hint="default" w:ascii="Times New Roman" w:hAnsi="Times New Roman" w:eastAsia="宋体" w:cs="Times New Roman"/>
                <w:color w:val="auto"/>
                <w:spacing w:val="-7"/>
                <w:kern w:val="0"/>
                <w:sz w:val="24"/>
                <w:szCs w:val="24"/>
                <w:lang w:val="en-US" w:eastAsia="zh-CN" w:bidi="ar-SA"/>
              </w:rPr>
              <w:t>选用低噪声施工机械和设备，加强施工机械的维修、管理，合理安排高噪声施工作业的时间，振动较大的固定机械设备加装减振机座与隔声装置；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52" w:firstLineChars="200"/>
              <w:textAlignment w:val="auto"/>
              <w:rPr>
                <w:rFonts w:hint="default" w:ascii="Times New Roman" w:hAnsi="Times New Roman" w:eastAsia="宋体" w:cs="Times New Roman"/>
                <w:color w:val="auto"/>
                <w:spacing w:val="-7"/>
                <w:kern w:val="0"/>
                <w:sz w:val="24"/>
                <w:szCs w:val="24"/>
                <w:lang w:val="en-US" w:eastAsia="zh-CN" w:bidi="ar-SA"/>
              </w:rPr>
            </w:pPr>
            <w:r>
              <w:rPr>
                <w:rFonts w:hint="eastAsia" w:ascii="Times New Roman" w:hAnsi="Times New Roman" w:eastAsia="宋体" w:cs="Times New Roman"/>
                <w:color w:val="auto"/>
                <w:spacing w:val="-7"/>
                <w:kern w:val="0"/>
                <w:sz w:val="24"/>
                <w:szCs w:val="24"/>
                <w:lang w:val="en-US" w:eastAsia="zh-CN" w:bidi="ar-SA"/>
              </w:rPr>
              <w:t>（2）</w:t>
            </w:r>
            <w:r>
              <w:rPr>
                <w:rFonts w:hint="default" w:ascii="Times New Roman" w:hAnsi="Times New Roman" w:eastAsia="宋体" w:cs="Times New Roman"/>
                <w:color w:val="auto"/>
                <w:spacing w:val="-7"/>
                <w:kern w:val="0"/>
                <w:sz w:val="24"/>
                <w:szCs w:val="24"/>
                <w:lang w:val="en-US" w:eastAsia="zh-CN" w:bidi="ar-SA"/>
              </w:rPr>
              <w:t>固定强噪声源加装隔音罩，禁止在同一时间集中使用大量的动力机械设备。</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52" w:firstLineChars="200"/>
              <w:textAlignment w:val="auto"/>
              <w:rPr>
                <w:rFonts w:hint="default" w:ascii="Times New Roman" w:hAnsi="Times New Roman" w:eastAsia="宋体" w:cs="Times New Roman"/>
                <w:color w:val="auto"/>
                <w:spacing w:val="-7"/>
                <w:kern w:val="0"/>
                <w:sz w:val="24"/>
                <w:szCs w:val="24"/>
                <w:lang w:val="en-US" w:eastAsia="zh-CN" w:bidi="ar-SA"/>
              </w:rPr>
            </w:pPr>
            <w:r>
              <w:rPr>
                <w:rFonts w:hint="default" w:ascii="Times New Roman" w:hAnsi="Times New Roman" w:eastAsia="宋体" w:cs="Times New Roman"/>
                <w:color w:val="auto"/>
                <w:spacing w:val="-7"/>
                <w:kern w:val="0"/>
                <w:sz w:val="24"/>
                <w:szCs w:val="24"/>
                <w:lang w:val="en-US" w:eastAsia="zh-CN" w:bidi="ar-SA"/>
              </w:rPr>
              <w:t>（3）避免多台施工机械同时作业。</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4固体废物环境保护措施</w:t>
            </w:r>
          </w:p>
          <w:p>
            <w:pPr>
              <w:autoSpaceDE w:val="0"/>
              <w:autoSpaceDN w:val="0"/>
              <w:adjustRightInd w:val="0"/>
              <w:spacing w:line="360" w:lineRule="auto"/>
              <w:ind w:firstLine="452" w:firstLineChars="200"/>
              <w:jc w:val="left"/>
              <w:rPr>
                <w:rFonts w:hint="default" w:ascii="Times New Roman" w:hAnsi="Times New Roman" w:eastAsia="宋体" w:cs="Times New Roman"/>
                <w:color w:val="auto"/>
                <w:spacing w:val="-7"/>
                <w:kern w:val="0"/>
                <w:sz w:val="24"/>
                <w:szCs w:val="24"/>
                <w:lang w:val="en-US" w:eastAsia="zh-CN" w:bidi="ar-SA"/>
              </w:rPr>
            </w:pPr>
            <w:r>
              <w:rPr>
                <w:rFonts w:hint="default" w:ascii="Times New Roman" w:hAnsi="Times New Roman" w:eastAsia="宋体" w:cs="Times New Roman"/>
                <w:color w:val="auto"/>
                <w:spacing w:val="-7"/>
                <w:kern w:val="0"/>
                <w:sz w:val="24"/>
                <w:szCs w:val="24"/>
                <w:lang w:val="en-US" w:eastAsia="zh-CN" w:bidi="ar-SA"/>
              </w:rPr>
              <w:t>施工建筑垃圾、施工前地表清除的弃土石方收集后拉运至当地环卫部门指定的填埋地点填埋处理。施工人员生活垃圾由垃圾箱收集后定期集中就近运往垃圾中转站，由环卫部门进行统一处理。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1.5</w:t>
            </w:r>
            <w:r>
              <w:rPr>
                <w:rFonts w:hint="eastAsia" w:cs="Times New Roman"/>
                <w:b/>
                <w:bCs/>
                <w:color w:val="auto"/>
                <w:sz w:val="24"/>
                <w:szCs w:val="24"/>
                <w:lang w:val="en-US" w:eastAsia="zh-CN"/>
              </w:rPr>
              <w:t>施工期水土流失影响分析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水土流失的成因主要有：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施工过程中开挖使原有地表植被、土壤结构受到破坏，造成地表裸露，表层土抗蚀能力减弱，将加剧水土流失；建设过程中施工区的土石渣料，不可避免的产生部分水土流失。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施工过程中的土石方因受地形和运输条件限制，不便运走时，由于结构疏松，空隙度增大，易产生水土流失。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在建设本项目的过程中，基础处理、建设施工等过程中所产生的污染有：施工机械设备的噪声、余泥渣土和建筑垃圾、粉尘扬尘、地基施工时的抽排积水等污染因素，如不妥善处理，会给周围环境造成不良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本环评要求建设单位严格按照《中华人民共和国防沙治沙法》（2018）中有关规定，执行以下防沙治沙防治措施：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（1）土地临时使用过程中发现土地沙化或者沙化程度加重的，应当及时报告当地人民政府。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（2）应当按照当地人民政府防沙防治规划，因地制宜营造防风固林网、林带，种植多年生灌木和草本植物。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（3）禁止在沙化土地上砍挖灌木、药材及其他固沙植物。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（4）禁止一切在沙化土地封禁保护区范围内破坏植被的活动。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（5）应当按照林业或其他有关行政部门的技术要求进行治理，并可将所种植的林、草委托他人管护或者交由当地人民政府有关行政主管部门管护。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 xml:space="preserve">（6）治理完成后，应当向当地人民政府主管部门提出验收申请，验收不合格的，应继续治理。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color w:val="FF0000"/>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4"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运营</w:t>
            </w:r>
          </w:p>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期环</w:t>
            </w:r>
          </w:p>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境影</w:t>
            </w:r>
          </w:p>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响和</w:t>
            </w:r>
          </w:p>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保护</w:t>
            </w:r>
          </w:p>
          <w:p>
            <w:pPr>
              <w:adjustRightInd w:val="0"/>
              <w:snapToGrid w:val="0"/>
              <w:jc w:val="center"/>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措施</w:t>
            </w:r>
          </w:p>
        </w:tc>
        <w:tc>
          <w:tcPr>
            <w:tcW w:w="8687" w:type="dxa"/>
            <w:noWrap w:val="0"/>
            <w:vAlign w:val="top"/>
          </w:tcPr>
          <w:p>
            <w:pPr>
              <w:widowControl/>
              <w:numPr>
                <w:ilvl w:val="0"/>
                <w:numId w:val="5"/>
              </w:numPr>
              <w:adjustRightInd w:val="0"/>
              <w:snapToGrid w:val="0"/>
              <w:spacing w:line="360" w:lineRule="auto"/>
              <w:ind w:left="0" w:firstLine="0"/>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大气影响分析及环保措施</w:t>
            </w:r>
          </w:p>
          <w:p>
            <w:pPr>
              <w:numPr>
                <w:ilvl w:val="1"/>
                <w:numId w:val="6"/>
              </w:numPr>
              <w:adjustRightIn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污染源源强核算</w:t>
            </w:r>
          </w:p>
          <w:p>
            <w:pPr>
              <w:pStyle w:val="12"/>
              <w:numPr>
                <w:ilvl w:val="0"/>
                <w:numId w:val="0"/>
              </w:numPr>
              <w:ind w:leftChars="0" w:right="113" w:rightChars="0" w:firstLine="480" w:firstLineChars="200"/>
              <w:rPr>
                <w:rFonts w:hint="default" w:ascii="Times New Roman" w:hAnsi="Times New Roman" w:eastAsia="宋体" w:cs="Times New Roman"/>
                <w:bCs/>
                <w:color w:val="auto"/>
                <w:kern w:val="0"/>
                <w:sz w:val="24"/>
                <w:szCs w:val="24"/>
                <w:highlight w:val="none"/>
                <w:lang w:val="en-US" w:eastAsia="zh-CN" w:bidi="en-US"/>
              </w:rPr>
            </w:pPr>
            <w:r>
              <w:rPr>
                <w:rFonts w:hint="eastAsia" w:ascii="Times New Roman" w:hAnsi="Times New Roman" w:eastAsia="宋体" w:cs="Times New Roman"/>
                <w:bCs/>
                <w:color w:val="auto"/>
                <w:kern w:val="0"/>
                <w:sz w:val="24"/>
                <w:szCs w:val="24"/>
                <w:highlight w:val="none"/>
                <w:lang w:val="en-US" w:eastAsia="zh-CN" w:bidi="en-US"/>
              </w:rPr>
              <w:t>本项目主要废气为污水处理站恶臭气体、中药磨粉废气、中药代煎废气及食堂油烟。</w:t>
            </w:r>
          </w:p>
          <w:p>
            <w:pPr>
              <w:pStyle w:val="1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w:t>
            </w:r>
            <w:r>
              <w:rPr>
                <w:rFonts w:hint="eastAsia" w:ascii="Times New Roman" w:hAnsi="Times New Roman" w:eastAsia="宋体" w:cs="Times New Roman"/>
                <w:bCs/>
                <w:color w:val="auto"/>
                <w:kern w:val="0"/>
                <w:sz w:val="24"/>
                <w:szCs w:val="24"/>
                <w:highlight w:val="none"/>
                <w:lang w:val="en-US" w:eastAsia="zh-CN" w:bidi="en-US"/>
              </w:rPr>
              <w:t>污水处理站恶臭气体</w:t>
            </w:r>
          </w:p>
          <w:p>
            <w:pPr>
              <w:pStyle w:val="10"/>
              <w:spacing w:line="360" w:lineRule="auto"/>
              <w:ind w:firstLine="480" w:firstLineChars="200"/>
              <w:rPr>
                <w:rFonts w:hint="default" w:ascii="Times New Roman" w:hAnsi="Times New Roman" w:cs="Times New Roman"/>
                <w:bCs/>
                <w:color w:val="auto"/>
                <w:sz w:val="24"/>
                <w:highlight w:val="none"/>
              </w:rPr>
            </w:pPr>
            <w:r>
              <w:rPr>
                <w:rFonts w:hint="eastAsia" w:ascii="Times New Roman" w:hAnsi="Times New Roman" w:cs="Times New Roman"/>
                <w:bCs/>
                <w:color w:val="auto"/>
                <w:sz w:val="24"/>
                <w:highlight w:val="none"/>
                <w:lang w:val="en-US" w:eastAsia="zh-CN"/>
              </w:rPr>
              <w:t>本项目污水站为地埋式，污水处理设施为一体化处设备，恶臭主要成</w:t>
            </w:r>
            <w:r>
              <w:rPr>
                <w:rFonts w:hint="eastAsia" w:cs="Times New Roman"/>
                <w:bCs/>
                <w:color w:val="auto"/>
                <w:sz w:val="24"/>
                <w:highlight w:val="none"/>
                <w:lang w:val="en-US" w:eastAsia="zh-CN"/>
              </w:rPr>
              <w:t>分</w:t>
            </w:r>
            <w:r>
              <w:rPr>
                <w:rFonts w:hint="eastAsia" w:ascii="Times New Roman" w:hAnsi="Times New Roman" w:cs="Times New Roman"/>
                <w:bCs/>
                <w:color w:val="auto"/>
                <w:sz w:val="24"/>
                <w:highlight w:val="none"/>
                <w:lang w:val="en-US" w:eastAsia="zh-CN"/>
              </w:rPr>
              <w:t>为NH</w:t>
            </w:r>
            <w:r>
              <w:rPr>
                <w:rFonts w:hint="eastAsia" w:ascii="Times New Roman" w:hAnsi="Times New Roman" w:cs="Times New Roman"/>
                <w:bCs/>
                <w:color w:val="auto"/>
                <w:sz w:val="24"/>
                <w:highlight w:val="none"/>
                <w:vertAlign w:val="subscript"/>
                <w:lang w:val="en-US" w:eastAsia="zh-CN"/>
              </w:rPr>
              <w:t>3</w:t>
            </w:r>
            <w:r>
              <w:rPr>
                <w:rFonts w:hint="eastAsia" w:ascii="Times New Roman" w:hAnsi="Times New Roman" w:cs="Times New Roman"/>
                <w:bCs/>
                <w:color w:val="auto"/>
                <w:sz w:val="24"/>
                <w:highlight w:val="none"/>
                <w:lang w:val="en-US" w:eastAsia="zh-CN"/>
              </w:rPr>
              <w:t>、H</w:t>
            </w:r>
            <w:r>
              <w:rPr>
                <w:rFonts w:hint="eastAsia" w:ascii="Times New Roman" w:hAnsi="Times New Roman" w:cs="Times New Roman"/>
                <w:bCs/>
                <w:color w:val="auto"/>
                <w:sz w:val="24"/>
                <w:highlight w:val="none"/>
                <w:vertAlign w:val="subscript"/>
                <w:lang w:val="en-US" w:eastAsia="zh-CN"/>
              </w:rPr>
              <w:t>2</w:t>
            </w:r>
            <w:r>
              <w:rPr>
                <w:rFonts w:hint="eastAsia" w:ascii="Times New Roman" w:hAnsi="Times New Roman" w:cs="Times New Roman"/>
                <w:bCs/>
                <w:color w:val="auto"/>
                <w:sz w:val="24"/>
                <w:highlight w:val="none"/>
                <w:lang w:val="en-US" w:eastAsia="zh-CN"/>
              </w:rPr>
              <w:t>S、臭气浓度等。根据环境影响评价工程师职业资格考试教材《环境影响评价案例分析》</w:t>
            </w:r>
            <w:r>
              <w:rPr>
                <w:rFonts w:hint="default" w:ascii="Times New Roman" w:hAnsi="Times New Roman" w:cs="Times New Roman"/>
                <w:bCs/>
                <w:color w:val="auto"/>
                <w:sz w:val="24"/>
                <w:highlight w:val="none"/>
              </w:rPr>
              <w:t>每处理1g的BOD</w:t>
            </w:r>
            <w:r>
              <w:rPr>
                <w:rFonts w:hint="default" w:ascii="Times New Roman" w:hAnsi="Times New Roman" w:cs="Times New Roman"/>
                <w:bCs/>
                <w:color w:val="auto"/>
                <w:sz w:val="24"/>
                <w:highlight w:val="none"/>
                <w:vertAlign w:val="subscript"/>
              </w:rPr>
              <w:t>5</w:t>
            </w:r>
            <w:r>
              <w:rPr>
                <w:rFonts w:hint="default" w:ascii="Times New Roman" w:hAnsi="Times New Roman" w:cs="Times New Roman"/>
                <w:bCs/>
                <w:color w:val="auto"/>
                <w:sz w:val="24"/>
                <w:highlight w:val="none"/>
              </w:rPr>
              <w:t>，可产生0.0031g的</w:t>
            </w:r>
            <w:r>
              <w:rPr>
                <w:rStyle w:val="47"/>
                <w:rFonts w:hint="default" w:ascii="Times New Roman" w:hAnsi="Times New Roman" w:cs="Times New Roman"/>
                <w:b w:val="0"/>
                <w:bCs w:val="0"/>
                <w:color w:val="auto"/>
                <w:sz w:val="24"/>
                <w:highlight w:val="none"/>
              </w:rPr>
              <w:t>NH</w:t>
            </w:r>
            <w:r>
              <w:rPr>
                <w:rStyle w:val="47"/>
                <w:rFonts w:hint="default" w:ascii="Times New Roman" w:hAnsi="Times New Roman" w:cs="Times New Roman"/>
                <w:b w:val="0"/>
                <w:bCs w:val="0"/>
                <w:color w:val="auto"/>
                <w:sz w:val="24"/>
                <w:highlight w:val="none"/>
                <w:vertAlign w:val="subscript"/>
              </w:rPr>
              <w:t>3</w:t>
            </w:r>
            <w:r>
              <w:rPr>
                <w:rFonts w:hint="default" w:ascii="Times New Roman" w:hAnsi="Times New Roman" w:cs="Times New Roman"/>
                <w:bCs/>
                <w:color w:val="auto"/>
                <w:sz w:val="24"/>
                <w:highlight w:val="none"/>
              </w:rPr>
              <w:t>和0.00012g的</w:t>
            </w:r>
            <w:r>
              <w:rPr>
                <w:rStyle w:val="47"/>
                <w:rFonts w:hint="default" w:ascii="Times New Roman" w:hAnsi="Times New Roman" w:cs="Times New Roman"/>
                <w:b w:val="0"/>
                <w:bCs w:val="0"/>
                <w:color w:val="auto"/>
                <w:sz w:val="24"/>
                <w:highlight w:val="none"/>
              </w:rPr>
              <w:t>H</w:t>
            </w:r>
            <w:r>
              <w:rPr>
                <w:rStyle w:val="47"/>
                <w:rFonts w:hint="default" w:ascii="Times New Roman" w:hAnsi="Times New Roman" w:cs="Times New Roman"/>
                <w:b w:val="0"/>
                <w:bCs w:val="0"/>
                <w:color w:val="auto"/>
                <w:sz w:val="24"/>
                <w:highlight w:val="none"/>
                <w:vertAlign w:val="subscript"/>
              </w:rPr>
              <w:t>2</w:t>
            </w:r>
            <w:r>
              <w:rPr>
                <w:rStyle w:val="47"/>
                <w:rFonts w:hint="default" w:ascii="Times New Roman" w:hAnsi="Times New Roman" w:cs="Times New Roman"/>
                <w:b w:val="0"/>
                <w:bCs w:val="0"/>
                <w:color w:val="auto"/>
                <w:sz w:val="24"/>
                <w:highlight w:val="none"/>
              </w:rPr>
              <w:t>S</w:t>
            </w:r>
            <w:r>
              <w:rPr>
                <w:rFonts w:hint="default" w:ascii="Times New Roman" w:hAnsi="Times New Roman" w:cs="Times New Roman"/>
                <w:bCs/>
                <w:color w:val="auto"/>
                <w:sz w:val="24"/>
                <w:highlight w:val="none"/>
              </w:rPr>
              <w:t>，废水处理规模为</w:t>
            </w:r>
            <w:r>
              <w:rPr>
                <w:rFonts w:hint="eastAsia" w:ascii="Times New Roman" w:hAnsi="Times New Roman" w:cs="Times New Roman"/>
                <w:bCs/>
                <w:color w:val="auto"/>
                <w:sz w:val="24"/>
                <w:highlight w:val="none"/>
                <w:lang w:val="en-US" w:eastAsia="zh-CN"/>
              </w:rPr>
              <w:t>37096.41</w:t>
            </w:r>
            <w:r>
              <w:rPr>
                <w:rFonts w:hint="default" w:ascii="Times New Roman" w:hAnsi="Times New Roman" w:cs="Times New Roman"/>
                <w:bCs/>
                <w:color w:val="auto"/>
                <w:sz w:val="24"/>
                <w:highlight w:val="none"/>
              </w:rPr>
              <w:t>m</w:t>
            </w:r>
            <w:r>
              <w:rPr>
                <w:rFonts w:hint="default" w:ascii="Times New Roman" w:hAnsi="Times New Roman" w:cs="Times New Roman"/>
                <w:bCs/>
                <w:color w:val="auto"/>
                <w:sz w:val="24"/>
                <w:highlight w:val="none"/>
                <w:vertAlign w:val="superscript"/>
              </w:rPr>
              <w:t>3</w:t>
            </w:r>
            <w:r>
              <w:rPr>
                <w:rFonts w:hint="default" w:ascii="Times New Roman" w:hAnsi="Times New Roman" w:cs="Times New Roman"/>
                <w:bCs/>
                <w:color w:val="auto"/>
                <w:sz w:val="24"/>
                <w:highlight w:val="none"/>
              </w:rPr>
              <w:t>/</w:t>
            </w:r>
            <w:r>
              <w:rPr>
                <w:rFonts w:hint="eastAsia" w:ascii="Times New Roman" w:hAnsi="Times New Roman" w:cs="Times New Roman"/>
                <w:bCs/>
                <w:color w:val="auto"/>
                <w:sz w:val="24"/>
                <w:highlight w:val="none"/>
                <w:lang w:val="en-US" w:eastAsia="zh-CN"/>
              </w:rPr>
              <w:t>a</w:t>
            </w:r>
            <w:r>
              <w:rPr>
                <w:rFonts w:hint="default" w:ascii="Times New Roman" w:hAnsi="Times New Roman" w:cs="Times New Roman"/>
                <w:bCs/>
                <w:color w:val="auto"/>
                <w:sz w:val="24"/>
                <w:highlight w:val="none"/>
              </w:rPr>
              <w:t>，污水处理站年去除BOD</w:t>
            </w:r>
            <w:r>
              <w:rPr>
                <w:rFonts w:hint="default" w:ascii="Times New Roman" w:hAnsi="Times New Roman" w:cs="Times New Roman"/>
                <w:bCs/>
                <w:color w:val="auto"/>
                <w:sz w:val="24"/>
                <w:highlight w:val="none"/>
                <w:vertAlign w:val="subscript"/>
              </w:rPr>
              <w:t>5</w:t>
            </w:r>
            <w:r>
              <w:rPr>
                <w:rFonts w:hint="default" w:ascii="Times New Roman" w:hAnsi="Times New Roman" w:cs="Times New Roman"/>
                <w:bCs/>
                <w:color w:val="auto"/>
                <w:sz w:val="24"/>
                <w:highlight w:val="none"/>
              </w:rPr>
              <w:t>约为</w:t>
            </w:r>
            <w:r>
              <w:rPr>
                <w:rFonts w:hint="eastAsia" w:cs="Times New Roman"/>
                <w:bCs/>
                <w:color w:val="auto"/>
                <w:sz w:val="24"/>
                <w:highlight w:val="none"/>
                <w:lang w:val="en-US" w:eastAsia="zh-CN"/>
              </w:rPr>
              <w:t>0.028</w:t>
            </w:r>
            <w:r>
              <w:rPr>
                <w:rFonts w:hint="default" w:ascii="Times New Roman" w:hAnsi="Times New Roman" w:cs="Times New Roman"/>
                <w:bCs/>
                <w:color w:val="auto"/>
                <w:sz w:val="24"/>
                <w:highlight w:val="none"/>
              </w:rPr>
              <w:t>t，可产生</w:t>
            </w:r>
            <w:r>
              <w:rPr>
                <w:rFonts w:hint="eastAsia" w:cs="Times New Roman"/>
                <w:bCs/>
                <w:color w:val="auto"/>
                <w:sz w:val="24"/>
                <w:highlight w:val="none"/>
                <w:lang w:val="en-US" w:eastAsia="zh-CN"/>
              </w:rPr>
              <w:t>0.0868</w:t>
            </w:r>
            <w:r>
              <w:rPr>
                <w:rFonts w:hint="default" w:ascii="Times New Roman" w:hAnsi="Times New Roman" w:cs="Times New Roman"/>
                <w:bCs/>
                <w:color w:val="auto"/>
                <w:sz w:val="24"/>
                <w:highlight w:val="none"/>
              </w:rPr>
              <w:t>kg的</w:t>
            </w:r>
            <w:r>
              <w:rPr>
                <w:rStyle w:val="47"/>
                <w:rFonts w:hint="default" w:ascii="Times New Roman" w:hAnsi="Times New Roman" w:cs="Times New Roman"/>
                <w:b w:val="0"/>
                <w:bCs w:val="0"/>
                <w:color w:val="auto"/>
                <w:sz w:val="24"/>
                <w:highlight w:val="none"/>
              </w:rPr>
              <w:t>NH</w:t>
            </w:r>
            <w:r>
              <w:rPr>
                <w:rStyle w:val="47"/>
                <w:rFonts w:hint="default" w:ascii="Times New Roman" w:hAnsi="Times New Roman" w:cs="Times New Roman"/>
                <w:b w:val="0"/>
                <w:bCs w:val="0"/>
                <w:color w:val="auto"/>
                <w:sz w:val="24"/>
                <w:highlight w:val="none"/>
                <w:vertAlign w:val="subscript"/>
              </w:rPr>
              <w:t>3</w:t>
            </w:r>
            <w:r>
              <w:rPr>
                <w:rFonts w:hint="default" w:ascii="Times New Roman" w:hAnsi="Times New Roman" w:cs="Times New Roman"/>
                <w:bCs/>
                <w:color w:val="auto"/>
                <w:sz w:val="24"/>
                <w:highlight w:val="none"/>
              </w:rPr>
              <w:t>和</w:t>
            </w:r>
            <w:r>
              <w:rPr>
                <w:rFonts w:hint="eastAsia" w:cs="Times New Roman"/>
                <w:bCs/>
                <w:color w:val="auto"/>
                <w:sz w:val="24"/>
                <w:highlight w:val="none"/>
                <w:lang w:val="en-US" w:eastAsia="zh-CN"/>
              </w:rPr>
              <w:t>0.00336</w:t>
            </w:r>
            <w:r>
              <w:rPr>
                <w:rFonts w:hint="default" w:ascii="Times New Roman" w:hAnsi="Times New Roman" w:cs="Times New Roman"/>
                <w:bCs/>
                <w:color w:val="auto"/>
                <w:sz w:val="24"/>
                <w:highlight w:val="none"/>
              </w:rPr>
              <w:t>kg的</w:t>
            </w:r>
            <w:r>
              <w:rPr>
                <w:rStyle w:val="47"/>
                <w:rFonts w:hint="default" w:ascii="Times New Roman" w:hAnsi="Times New Roman" w:cs="Times New Roman"/>
                <w:b w:val="0"/>
                <w:bCs w:val="0"/>
                <w:color w:val="auto"/>
                <w:sz w:val="24"/>
                <w:highlight w:val="none"/>
              </w:rPr>
              <w:t>H</w:t>
            </w:r>
            <w:r>
              <w:rPr>
                <w:rStyle w:val="47"/>
                <w:rFonts w:hint="default" w:ascii="Times New Roman" w:hAnsi="Times New Roman" w:cs="Times New Roman"/>
                <w:b w:val="0"/>
                <w:bCs w:val="0"/>
                <w:color w:val="auto"/>
                <w:sz w:val="24"/>
                <w:highlight w:val="none"/>
                <w:vertAlign w:val="subscript"/>
              </w:rPr>
              <w:t>2</w:t>
            </w:r>
            <w:r>
              <w:rPr>
                <w:rStyle w:val="47"/>
                <w:rFonts w:hint="default" w:ascii="Times New Roman" w:hAnsi="Times New Roman" w:cs="Times New Roman"/>
                <w:b w:val="0"/>
                <w:bCs w:val="0"/>
                <w:color w:val="auto"/>
                <w:sz w:val="24"/>
                <w:highlight w:val="none"/>
              </w:rPr>
              <w:t>S</w:t>
            </w:r>
            <w:r>
              <w:rPr>
                <w:rFonts w:hint="default" w:ascii="Times New Roman" w:hAnsi="Times New Roman" w:cs="Times New Roman"/>
                <w:bCs/>
                <w:color w:val="auto"/>
                <w:sz w:val="24"/>
                <w:highlight w:val="none"/>
              </w:rPr>
              <w:t>。</w:t>
            </w:r>
          </w:p>
          <w:p>
            <w:pPr>
              <w:pStyle w:val="13"/>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bCs/>
                <w:color w:val="auto"/>
                <w:kern w:val="0"/>
                <w:sz w:val="24"/>
                <w:szCs w:val="24"/>
                <w:highlight w:val="none"/>
                <w:lang w:val="en-US" w:eastAsia="zh-CN" w:bidi="en-US"/>
              </w:rPr>
            </w:pPr>
            <w:r>
              <w:rPr>
                <w:rFonts w:hint="eastAsia" w:ascii="Times New Roman" w:hAnsi="Times New Roman" w:cs="Times New Roman"/>
                <w:color w:val="auto"/>
                <w:sz w:val="24"/>
                <w:szCs w:val="24"/>
                <w:lang w:val="en-US" w:eastAsia="zh-CN"/>
              </w:rPr>
              <w:t>（2）</w:t>
            </w:r>
            <w:r>
              <w:rPr>
                <w:rFonts w:hint="eastAsia" w:ascii="Times New Roman" w:hAnsi="Times New Roman" w:eastAsia="宋体" w:cs="Times New Roman"/>
                <w:bCs/>
                <w:color w:val="auto"/>
                <w:kern w:val="0"/>
                <w:sz w:val="24"/>
                <w:szCs w:val="24"/>
                <w:highlight w:val="none"/>
                <w:lang w:val="en-US" w:eastAsia="zh-CN" w:bidi="en-US"/>
              </w:rPr>
              <w:t>中药磨粉废气</w:t>
            </w:r>
          </w:p>
          <w:p>
            <w:pPr>
              <w:adjustRightInd w:val="0"/>
              <w:spacing w:line="360" w:lineRule="auto"/>
              <w:ind w:firstLine="480" w:firstLineChars="200"/>
              <w:rPr>
                <w:rFonts w:hint="eastAsia" w:ascii="Times New Roman" w:hAnsi="Times New Roman" w:eastAsia="宋体" w:cs="Times New Roman"/>
                <w:bCs/>
                <w:color w:val="auto"/>
                <w:kern w:val="2"/>
                <w:sz w:val="24"/>
                <w:szCs w:val="24"/>
                <w:highlight w:val="none"/>
                <w:lang w:val="en-US" w:eastAsia="zh-CN" w:bidi="ar-SA"/>
              </w:rPr>
            </w:pPr>
            <w:r>
              <w:rPr>
                <w:rFonts w:hint="eastAsia" w:ascii="Times New Roman" w:hAnsi="Times New Roman" w:eastAsia="宋体" w:cs="Times New Roman"/>
                <w:bCs/>
                <w:color w:val="auto"/>
                <w:kern w:val="0"/>
                <w:sz w:val="24"/>
                <w:szCs w:val="24"/>
                <w:highlight w:val="none"/>
                <w:lang w:val="en-US" w:eastAsia="zh-CN" w:bidi="en-US"/>
              </w:rPr>
              <w:t>本项目在中药散剂及药物制剂粉磨工序会产生粉尘，根据调查，粉尘的产生量约为原料用量的5%，本项目中药散剂10.5t/a，共10.5t/a，则本项目粉尘产生量为0.525t/a，项目购置小型一体化中药粉磨机，拥有全密闭式粉磨仓，打粉时无粉尘外溢，在开盖及倾倒中药粉末时会有粉尘产生，设备自带粉尘收集箱，内置布袋除尘器（除尘效率99%），</w:t>
            </w:r>
            <w:r>
              <w:rPr>
                <w:rFonts w:hint="eastAsia" w:ascii="Times New Roman" w:hAnsi="Times New Roman" w:eastAsia="宋体" w:cs="Times New Roman"/>
                <w:bCs/>
                <w:color w:val="auto"/>
                <w:kern w:val="2"/>
                <w:sz w:val="24"/>
                <w:szCs w:val="24"/>
                <w:highlight w:val="none"/>
                <w:lang w:val="en-US" w:eastAsia="zh-CN" w:bidi="ar-SA"/>
              </w:rPr>
              <w:t>粉尘经收集后，以无组织形式排放，粉尘的排放量为0.005t/a。</w:t>
            </w:r>
          </w:p>
          <w:p>
            <w:pPr>
              <w:pStyle w:val="1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w:t>
            </w:r>
            <w:r>
              <w:rPr>
                <w:rFonts w:hint="eastAsia" w:ascii="Times New Roman" w:hAnsi="Times New Roman" w:eastAsia="宋体" w:cs="Times New Roman"/>
                <w:bCs/>
                <w:color w:val="auto"/>
                <w:kern w:val="0"/>
                <w:sz w:val="24"/>
                <w:szCs w:val="24"/>
                <w:highlight w:val="none"/>
                <w:lang w:val="en-US" w:eastAsia="zh-CN" w:bidi="en-US"/>
              </w:rPr>
              <w:t>中药代煎废气</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rPr>
              <w:t>项目中药煎煮、中药提取浓缩以及中药制剂过程中会有轻微异味排出，</w:t>
            </w:r>
            <w:r>
              <w:rPr>
                <w:rFonts w:hint="default" w:ascii="Times New Roman" w:hAnsi="Times New Roman" w:eastAsia="宋体" w:cs="Times New Roman"/>
                <w:color w:val="auto"/>
                <w:sz w:val="24"/>
                <w:highlight w:val="none"/>
              </w:rPr>
              <w:t>中药挥发油成分复杂，主要是小分子的醛类、酯类化合物，单萜、倍半萜类化合物和小分子芳香化合物等，</w:t>
            </w:r>
            <w:r>
              <w:rPr>
                <w:rFonts w:hint="eastAsia" w:ascii="Times New Roman" w:hAnsi="Times New Roman" w:eastAsia="宋体" w:cs="Times New Roman"/>
                <w:color w:val="auto"/>
                <w:sz w:val="24"/>
                <w:highlight w:val="none"/>
              </w:rPr>
              <w:t>间歇产生。</w:t>
            </w:r>
          </w:p>
          <w:p>
            <w:pPr>
              <w:pStyle w:val="12"/>
              <w:numPr>
                <w:ilvl w:val="0"/>
                <w:numId w:val="4"/>
              </w:numPr>
              <w:ind w:left="0" w:leftChars="0" w:firstLine="480" w:firstLineChars="200"/>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食堂油烟</w:t>
            </w:r>
          </w:p>
          <w:p>
            <w:pPr>
              <w:pStyle w:val="1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highlight w:val="none"/>
              </w:rPr>
              <w:t>本项目食堂属于饮食业单位规模划分的中型，其最高允许排放浓度为2.0mg/</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sz w:val="24"/>
                <w:highlight w:val="none"/>
              </w:rPr>
              <w:t>，油烟净化设施最低去除效率为</w:t>
            </w:r>
            <w:r>
              <w:rPr>
                <w:rFonts w:hint="default" w:ascii="Times New Roman" w:hAnsi="Times New Roman" w:cs="Times New Roman"/>
                <w:color w:val="auto"/>
                <w:sz w:val="24"/>
                <w:highlight w:val="none"/>
                <w:lang w:val="en-US" w:eastAsia="zh-CN"/>
              </w:rPr>
              <w:t>75</w:t>
            </w:r>
            <w:r>
              <w:rPr>
                <w:rFonts w:hint="default" w:ascii="Times New Roman" w:hAnsi="Times New Roman" w:cs="Times New Roman"/>
                <w:color w:val="auto"/>
                <w:sz w:val="24"/>
                <w:highlight w:val="none"/>
              </w:rPr>
              <w:t>%。用油量平均按0.01kg/人·次计算，食堂就餐人数约</w:t>
            </w:r>
            <w:r>
              <w:rPr>
                <w:rFonts w:hint="eastAsia" w:ascii="Times New Roman" w:hAnsi="Times New Roman" w:cs="Times New Roman"/>
                <w:color w:val="auto"/>
                <w:sz w:val="24"/>
                <w:highlight w:val="none"/>
                <w:lang w:val="en-US" w:eastAsia="zh-CN"/>
              </w:rPr>
              <w:t>720</w:t>
            </w:r>
            <w:r>
              <w:rPr>
                <w:rFonts w:hint="default" w:ascii="Times New Roman" w:hAnsi="Times New Roman" w:cs="Times New Roman"/>
                <w:color w:val="auto"/>
                <w:sz w:val="24"/>
                <w:highlight w:val="none"/>
              </w:rPr>
              <w:t>人次/天，则耗油量约</w:t>
            </w:r>
            <w:r>
              <w:rPr>
                <w:rFonts w:hint="eastAsia" w:ascii="Times New Roman" w:hAnsi="Times New Roman" w:cs="Times New Roman"/>
                <w:color w:val="auto"/>
                <w:sz w:val="24"/>
                <w:highlight w:val="none"/>
                <w:lang w:val="en-US" w:eastAsia="zh-CN"/>
              </w:rPr>
              <w:t>7.2</w:t>
            </w:r>
            <w:r>
              <w:rPr>
                <w:rFonts w:hint="default" w:ascii="Times New Roman" w:hAnsi="Times New Roman" w:cs="Times New Roman"/>
                <w:color w:val="auto"/>
                <w:sz w:val="24"/>
                <w:highlight w:val="none"/>
              </w:rPr>
              <w:t>kg/d（</w:t>
            </w:r>
            <w:r>
              <w:rPr>
                <w:rFonts w:hint="eastAsia" w:ascii="Times New Roman" w:hAnsi="Times New Roman" w:cs="Times New Roman"/>
                <w:color w:val="auto"/>
                <w:sz w:val="24"/>
                <w:highlight w:val="none"/>
                <w:lang w:val="en-US" w:eastAsia="zh-CN"/>
              </w:rPr>
              <w:t>2.628</w:t>
            </w:r>
            <w:r>
              <w:rPr>
                <w:rFonts w:hint="default" w:ascii="Times New Roman" w:hAnsi="Times New Roman" w:cs="Times New Roman"/>
                <w:color w:val="auto"/>
                <w:sz w:val="24"/>
                <w:highlight w:val="none"/>
              </w:rPr>
              <w:t>t/a）。据类比调查油烟挥发量约占总量2%~4%，本环评取中间值3%，则食堂油烟产生量约为</w:t>
            </w:r>
            <w:r>
              <w:rPr>
                <w:rFonts w:hint="default" w:ascii="Times New Roman" w:hAnsi="Times New Roman" w:cs="Times New Roman"/>
                <w:color w:val="auto"/>
                <w:sz w:val="24"/>
                <w:highlight w:val="none"/>
                <w:lang w:val="en-US" w:eastAsia="zh-CN"/>
              </w:rPr>
              <w:t>0.</w:t>
            </w:r>
            <w:r>
              <w:rPr>
                <w:rFonts w:hint="eastAsia" w:ascii="Times New Roman" w:hAnsi="Times New Roman" w:cs="Times New Roman"/>
                <w:color w:val="auto"/>
                <w:sz w:val="24"/>
                <w:highlight w:val="none"/>
                <w:lang w:val="en-US" w:eastAsia="zh-CN"/>
              </w:rPr>
              <w:t>79</w:t>
            </w:r>
            <w:r>
              <w:rPr>
                <w:rFonts w:hint="default" w:ascii="Times New Roman" w:hAnsi="Times New Roman" w:cs="Times New Roman"/>
                <w:color w:val="auto"/>
                <w:sz w:val="24"/>
                <w:highlight w:val="none"/>
              </w:rPr>
              <w:t>t/a，烹饪时间按</w:t>
            </w:r>
            <w:r>
              <w:rPr>
                <w:rFonts w:hint="eastAsia" w:ascii="Times New Roman" w:hAnsi="Times New Roman" w:cs="Times New Roman"/>
                <w:color w:val="auto"/>
                <w:sz w:val="24"/>
                <w:highlight w:val="none"/>
                <w:lang w:val="en-US" w:eastAsia="zh-CN"/>
              </w:rPr>
              <w:t>6</w:t>
            </w:r>
            <w:r>
              <w:rPr>
                <w:rFonts w:hint="default" w:ascii="Times New Roman" w:hAnsi="Times New Roman" w:cs="Times New Roman"/>
                <w:color w:val="auto"/>
                <w:sz w:val="24"/>
                <w:highlight w:val="none"/>
              </w:rPr>
              <w:t>h/d计算，油烟净化设施平均风量</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000m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/h，</w:t>
            </w:r>
            <w:r>
              <w:rPr>
                <w:rFonts w:hint="eastAsia" w:ascii="Times New Roman" w:hAnsi="Times New Roman" w:cs="Times New Roman"/>
                <w:color w:val="auto"/>
                <w:sz w:val="24"/>
                <w:szCs w:val="24"/>
                <w:lang w:val="en-US" w:eastAsia="zh-CN"/>
              </w:rPr>
              <w:t>则本项目油烟废气产生量为0.079t/a，油烟排放浓度为1.80mg/m</w:t>
            </w:r>
            <w:r>
              <w:rPr>
                <w:rFonts w:hint="eastAsia" w:ascii="Times New Roman" w:hAnsi="Times New Roman" w:cs="Times New Roman"/>
                <w:color w:val="auto"/>
                <w:sz w:val="24"/>
                <w:szCs w:val="24"/>
                <w:vertAlign w:val="superscript"/>
                <w:lang w:val="en-US" w:eastAsia="zh-CN"/>
              </w:rPr>
              <w:t>3</w:t>
            </w:r>
            <w:r>
              <w:rPr>
                <w:rFonts w:hint="eastAsia" w:ascii="Times New Roman" w:hAnsi="Times New Roman" w:cs="Times New Roman"/>
                <w:color w:val="auto"/>
                <w:sz w:val="24"/>
                <w:szCs w:val="24"/>
                <w:lang w:val="en-US" w:eastAsia="zh-CN"/>
              </w:rPr>
              <w:t>。油烟废气经专用烟道至食堂所在建筑楼顶排放。对照《饮食业油烟排放标准（试行）》（GB18483-2001），本项目油烟废气可达标排放。</w:t>
            </w:r>
          </w:p>
          <w:p>
            <w:pPr>
              <w:adjustRightInd w:val="0"/>
              <w:spacing w:line="360" w:lineRule="auto"/>
              <w:ind w:firstLine="482" w:firstLineChars="200"/>
              <w:rPr>
                <w:rFonts w:hint="eastAsia"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1.2大气环境影响分析</w:t>
            </w:r>
          </w:p>
          <w:p>
            <w:pPr>
              <w:pStyle w:val="13"/>
              <w:keepNext w:val="0"/>
              <w:keepLines w:val="0"/>
              <w:pageBreakBefore w:val="0"/>
              <w:widowControl w:val="0"/>
              <w:numPr>
                <w:ilvl w:val="0"/>
                <w:numId w:val="7"/>
              </w:numPr>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bCs/>
                <w:color w:val="auto"/>
                <w:kern w:val="0"/>
                <w:sz w:val="24"/>
                <w:szCs w:val="24"/>
                <w:highlight w:val="none"/>
                <w:lang w:val="en-US" w:eastAsia="zh-CN" w:bidi="en-US"/>
              </w:rPr>
            </w:pPr>
            <w:r>
              <w:rPr>
                <w:rFonts w:hint="eastAsia" w:ascii="Times New Roman" w:hAnsi="Times New Roman" w:eastAsia="宋体" w:cs="Times New Roman"/>
                <w:bCs/>
                <w:color w:val="auto"/>
                <w:kern w:val="0"/>
                <w:sz w:val="24"/>
                <w:szCs w:val="24"/>
                <w:highlight w:val="none"/>
                <w:lang w:val="en-US" w:eastAsia="zh-CN" w:bidi="en-US"/>
              </w:rPr>
              <w:t>污水处理站恶臭气体环境影响分析</w:t>
            </w:r>
          </w:p>
          <w:p>
            <w:pPr>
              <w:pStyle w:val="10"/>
              <w:spacing w:line="360" w:lineRule="auto"/>
              <w:ind w:firstLine="480" w:firstLineChars="200"/>
              <w:rPr>
                <w:rFonts w:hint="default" w:ascii="Times New Roman" w:hAnsi="Times New Roman" w:eastAsia="宋体" w:cs="Times New Roman"/>
                <w:bCs/>
                <w:color w:val="auto"/>
                <w:kern w:val="0"/>
                <w:sz w:val="24"/>
                <w:highlight w:val="none"/>
                <w:lang w:val="en-US" w:eastAsia="zh-CN" w:bidi="en-US"/>
              </w:rPr>
            </w:pPr>
            <w:r>
              <w:rPr>
                <w:rFonts w:hint="eastAsia" w:ascii="Times New Roman" w:hAnsi="Times New Roman" w:eastAsia="宋体" w:cs="Times New Roman"/>
                <w:bCs/>
                <w:color w:val="auto"/>
                <w:kern w:val="0"/>
                <w:sz w:val="24"/>
                <w:highlight w:val="none"/>
                <w:lang w:val="en-US" w:eastAsia="zh-CN" w:bidi="en-US"/>
              </w:rPr>
              <w:t>经地埋式设计、定期喷洒生物除臭剂、加强局部绿化等治理措施后H</w:t>
            </w:r>
            <w:r>
              <w:rPr>
                <w:rFonts w:hint="eastAsia" w:ascii="Times New Roman" w:hAnsi="Times New Roman" w:eastAsia="宋体" w:cs="Times New Roman"/>
                <w:bCs/>
                <w:color w:val="auto"/>
                <w:kern w:val="0"/>
                <w:sz w:val="24"/>
                <w:highlight w:val="none"/>
                <w:vertAlign w:val="subscript"/>
                <w:lang w:val="en-US" w:eastAsia="zh-CN" w:bidi="en-US"/>
              </w:rPr>
              <w:t>2</w:t>
            </w:r>
            <w:r>
              <w:rPr>
                <w:rFonts w:hint="eastAsia" w:ascii="Times New Roman" w:hAnsi="Times New Roman" w:eastAsia="宋体" w:cs="Times New Roman"/>
                <w:bCs/>
                <w:color w:val="auto"/>
                <w:kern w:val="0"/>
                <w:sz w:val="24"/>
                <w:highlight w:val="none"/>
                <w:lang w:val="en-US" w:eastAsia="zh-CN" w:bidi="en-US"/>
              </w:rPr>
              <w:t>S和NH</w:t>
            </w:r>
            <w:r>
              <w:rPr>
                <w:rFonts w:hint="eastAsia" w:ascii="Times New Roman" w:hAnsi="Times New Roman" w:eastAsia="宋体" w:cs="Times New Roman"/>
                <w:bCs/>
                <w:color w:val="auto"/>
                <w:kern w:val="0"/>
                <w:sz w:val="24"/>
                <w:highlight w:val="none"/>
                <w:vertAlign w:val="subscript"/>
                <w:lang w:val="en-US" w:eastAsia="zh-CN" w:bidi="en-US"/>
              </w:rPr>
              <w:t>3</w:t>
            </w:r>
            <w:r>
              <w:rPr>
                <w:rFonts w:hint="eastAsia" w:ascii="Times New Roman" w:hAnsi="Times New Roman" w:eastAsia="宋体" w:cs="Times New Roman"/>
                <w:bCs/>
                <w:color w:val="auto"/>
                <w:kern w:val="0"/>
                <w:sz w:val="24"/>
                <w:highlight w:val="none"/>
                <w:lang w:val="en-US" w:eastAsia="zh-CN" w:bidi="en-US"/>
              </w:rPr>
              <w:t>无组织排放满足《恶臭污染物排放标准》（GB14554-93）（硫化氢</w:t>
            </w:r>
            <w:r>
              <w:rPr>
                <w:rFonts w:hint="eastAsia" w:ascii="Times New Roman" w:hAnsi="Times New Roman" w:eastAsia="宋体" w:cs="Times New Roman"/>
                <w:bCs/>
                <w:color w:val="auto"/>
                <w:kern w:val="0"/>
                <w:sz w:val="24"/>
                <w:szCs w:val="24"/>
                <w:highlight w:val="none"/>
                <w:lang w:val="en-US" w:eastAsia="zh-CN" w:bidi="en-US"/>
              </w:rPr>
              <w:t>0.06mg/m</w:t>
            </w:r>
            <w:r>
              <w:rPr>
                <w:rFonts w:hint="eastAsia" w:ascii="Times New Roman" w:hAnsi="Times New Roman" w:eastAsia="宋体" w:cs="Times New Roman"/>
                <w:bCs/>
                <w:color w:val="auto"/>
                <w:kern w:val="0"/>
                <w:sz w:val="24"/>
                <w:szCs w:val="24"/>
                <w:highlight w:val="none"/>
                <w:vertAlign w:val="superscript"/>
                <w:lang w:val="en-US" w:eastAsia="zh-CN" w:bidi="en-US"/>
              </w:rPr>
              <w:t>3</w:t>
            </w:r>
            <w:r>
              <w:rPr>
                <w:rFonts w:hint="eastAsia" w:ascii="Times New Roman" w:hAnsi="Times New Roman" w:eastAsia="宋体" w:cs="Times New Roman"/>
                <w:bCs/>
                <w:color w:val="auto"/>
                <w:kern w:val="0"/>
                <w:sz w:val="24"/>
                <w:szCs w:val="24"/>
                <w:highlight w:val="none"/>
                <w:lang w:val="en-US" w:eastAsia="zh-CN" w:bidi="en-US"/>
              </w:rPr>
              <w:t>，氨1.5mg/m</w:t>
            </w:r>
            <w:r>
              <w:rPr>
                <w:rFonts w:hint="eastAsia" w:ascii="Times New Roman" w:hAnsi="Times New Roman" w:eastAsia="宋体" w:cs="Times New Roman"/>
                <w:bCs/>
                <w:color w:val="auto"/>
                <w:kern w:val="0"/>
                <w:sz w:val="24"/>
                <w:szCs w:val="24"/>
                <w:highlight w:val="none"/>
                <w:vertAlign w:val="superscript"/>
                <w:lang w:val="en-US" w:eastAsia="zh-CN" w:bidi="en-US"/>
              </w:rPr>
              <w:t>3</w:t>
            </w:r>
            <w:r>
              <w:rPr>
                <w:rFonts w:hint="eastAsia" w:ascii="Times New Roman" w:hAnsi="Times New Roman" w:eastAsia="宋体" w:cs="Times New Roman"/>
                <w:bCs/>
                <w:color w:val="auto"/>
                <w:kern w:val="0"/>
                <w:sz w:val="24"/>
                <w:szCs w:val="24"/>
                <w:highlight w:val="none"/>
                <w:lang w:val="en-US" w:eastAsia="zh-CN" w:bidi="en-US"/>
              </w:rPr>
              <w:t>）要求。说明本项目运行后产生的无组织废气污染源对周</w:t>
            </w:r>
            <w:r>
              <w:rPr>
                <w:rFonts w:hint="eastAsia" w:ascii="Times New Roman" w:hAnsi="Times New Roman" w:eastAsia="宋体" w:cs="Times New Roman"/>
                <w:bCs/>
                <w:color w:val="auto"/>
                <w:kern w:val="0"/>
                <w:sz w:val="24"/>
                <w:highlight w:val="none"/>
                <w:lang w:val="en-US" w:eastAsia="zh-CN" w:bidi="en-US"/>
              </w:rPr>
              <w:t>围环境空气质量影响很小。</w:t>
            </w:r>
          </w:p>
          <w:p>
            <w:pPr>
              <w:pStyle w:val="13"/>
              <w:keepNext w:val="0"/>
              <w:keepLines w:val="0"/>
              <w:pageBreakBefore w:val="0"/>
              <w:widowControl w:val="0"/>
              <w:numPr>
                <w:ilvl w:val="0"/>
                <w:numId w:val="7"/>
              </w:numPr>
              <w:kinsoku/>
              <w:wordWrap/>
              <w:overflowPunct/>
              <w:topLinePunct w:val="0"/>
              <w:autoSpaceDE/>
              <w:autoSpaceDN/>
              <w:bidi w:val="0"/>
              <w:adjustRightInd/>
              <w:snapToGrid/>
              <w:spacing w:before="157" w:beforeLines="50" w:after="0" w:line="360" w:lineRule="auto"/>
              <w:ind w:left="0" w:leftChars="0" w:firstLine="480" w:firstLineChars="200"/>
              <w:textAlignment w:val="auto"/>
              <w:rPr>
                <w:rFonts w:hint="eastAsia" w:ascii="Times New Roman" w:hAnsi="Times New Roman" w:eastAsia="宋体" w:cs="Times New Roman"/>
                <w:bCs/>
                <w:color w:val="auto"/>
                <w:kern w:val="0"/>
                <w:sz w:val="24"/>
                <w:szCs w:val="24"/>
                <w:highlight w:val="none"/>
                <w:lang w:val="en-US" w:eastAsia="zh-CN" w:bidi="en-US"/>
              </w:rPr>
            </w:pPr>
            <w:r>
              <w:rPr>
                <w:rFonts w:hint="eastAsia" w:ascii="Times New Roman" w:hAnsi="Times New Roman" w:eastAsia="宋体" w:cs="Times New Roman"/>
                <w:bCs/>
                <w:color w:val="auto"/>
                <w:kern w:val="0"/>
                <w:sz w:val="24"/>
                <w:szCs w:val="24"/>
                <w:highlight w:val="none"/>
                <w:lang w:val="en-US" w:eastAsia="zh-CN" w:bidi="en-US"/>
              </w:rPr>
              <w:t>中药磨粉废气环境影响分析</w:t>
            </w:r>
          </w:p>
          <w:p>
            <w:pPr>
              <w:keepNext w:val="0"/>
              <w:keepLines w:val="0"/>
              <w:pageBreakBefore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bCs/>
                <w:color w:val="auto"/>
                <w:kern w:val="0"/>
                <w:sz w:val="24"/>
                <w:szCs w:val="24"/>
                <w:highlight w:val="none"/>
                <w:lang w:val="en-US" w:eastAsia="zh-CN" w:bidi="en-US"/>
              </w:rPr>
            </w:pPr>
            <w:r>
              <w:rPr>
                <w:rFonts w:hint="eastAsia" w:ascii="Times New Roman" w:hAnsi="Times New Roman" w:eastAsia="宋体" w:cs="Times New Roman"/>
                <w:bCs/>
                <w:color w:val="auto"/>
                <w:kern w:val="0"/>
                <w:sz w:val="24"/>
                <w:szCs w:val="24"/>
                <w:highlight w:val="none"/>
                <w:lang w:val="en-US" w:eastAsia="zh-CN" w:bidi="en-US"/>
              </w:rPr>
              <w:t>本项目采用一体化中药磨粉机，产生的粉尘通过中药磨粉设备的排风排出室外，满足《大气污染物综合排放标准》（GB16297-1996）中表2无组织排放标准限制准要求，对周围环境影响很小。</w:t>
            </w:r>
          </w:p>
          <w:p>
            <w:pPr>
              <w:pStyle w:val="1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w:t>
            </w:r>
            <w:r>
              <w:rPr>
                <w:rFonts w:hint="eastAsia" w:ascii="Times New Roman" w:hAnsi="Times New Roman" w:eastAsia="宋体" w:cs="Times New Roman"/>
                <w:bCs/>
                <w:color w:val="auto"/>
                <w:kern w:val="0"/>
                <w:sz w:val="24"/>
                <w:szCs w:val="24"/>
                <w:highlight w:val="none"/>
                <w:lang w:val="en-US" w:eastAsia="zh-CN" w:bidi="en-US"/>
              </w:rPr>
              <w:t>中药代煎废气环境影响分析</w:t>
            </w:r>
          </w:p>
          <w:p>
            <w:pPr>
              <w:keepNext w:val="0"/>
              <w:keepLines w:val="0"/>
              <w:pageBreakBefore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bCs/>
                <w:color w:val="auto"/>
                <w:kern w:val="0"/>
                <w:sz w:val="24"/>
                <w:szCs w:val="24"/>
                <w:highlight w:val="none"/>
                <w:lang w:val="en-US" w:eastAsia="zh-CN" w:bidi="en-US"/>
              </w:rPr>
            </w:pPr>
            <w:r>
              <w:rPr>
                <w:rFonts w:hint="eastAsia" w:ascii="Times New Roman" w:hAnsi="Times New Roman" w:eastAsia="宋体" w:cs="Times New Roman"/>
                <w:color w:val="auto"/>
                <w:sz w:val="24"/>
                <w:highlight w:val="none"/>
              </w:rPr>
              <w:t>项目采用活性炭吸附净化设施处理中药异味，利用活性炭表面吸附能力，使废气与多孔活性炭吸附剂相接触，废气中的污染物被吸附在活性炭表面上，去除气体中所含异味。将活性炭吸附箱安装至</w:t>
            </w:r>
            <w:r>
              <w:rPr>
                <w:rFonts w:hint="eastAsia" w:cs="Times New Roman"/>
                <w:color w:val="auto"/>
                <w:sz w:val="24"/>
                <w:highlight w:val="none"/>
                <w:lang w:val="en-US" w:eastAsia="zh-CN"/>
              </w:rPr>
              <w:t>集气罩后方，</w:t>
            </w:r>
            <w:r>
              <w:rPr>
                <w:rFonts w:hint="eastAsia" w:ascii="Times New Roman" w:hAnsi="Times New Roman" w:eastAsia="宋体" w:cs="Times New Roman"/>
                <w:color w:val="auto"/>
                <w:sz w:val="24"/>
                <w:highlight w:val="none"/>
              </w:rPr>
              <w:t>中药异味经活性炭吸附</w:t>
            </w:r>
            <w:r>
              <w:rPr>
                <w:rFonts w:hint="eastAsia" w:ascii="Times New Roman" w:hAnsi="Times New Roman" w:eastAsia="宋体" w:cs="Times New Roman"/>
                <w:bCs/>
                <w:color w:val="auto"/>
                <w:kern w:val="0"/>
                <w:sz w:val="24"/>
                <w:szCs w:val="24"/>
                <w:highlight w:val="none"/>
                <w:lang w:val="en-US" w:eastAsia="zh-CN" w:bidi="en-US"/>
              </w:rPr>
              <w:t>后以无组织形式排放。该活性炭箱需</w:t>
            </w:r>
            <w:r>
              <w:rPr>
                <w:rFonts w:hint="eastAsia" w:cs="Times New Roman"/>
                <w:bCs/>
                <w:color w:val="auto"/>
                <w:kern w:val="0"/>
                <w:sz w:val="24"/>
                <w:szCs w:val="24"/>
                <w:highlight w:val="none"/>
                <w:lang w:val="en-US" w:eastAsia="zh-CN" w:bidi="en-US"/>
              </w:rPr>
              <w:t>一季度</w:t>
            </w:r>
            <w:r>
              <w:rPr>
                <w:rFonts w:hint="eastAsia" w:ascii="Times New Roman" w:hAnsi="Times New Roman" w:eastAsia="宋体" w:cs="Times New Roman"/>
                <w:bCs/>
                <w:color w:val="auto"/>
                <w:kern w:val="0"/>
                <w:sz w:val="24"/>
                <w:szCs w:val="24"/>
                <w:highlight w:val="none"/>
                <w:lang w:val="en-US" w:eastAsia="zh-CN" w:bidi="en-US"/>
              </w:rPr>
              <w:t>更换一次。</w:t>
            </w:r>
            <w:r>
              <w:rPr>
                <w:rFonts w:hint="eastAsia" w:cs="Times New Roman"/>
                <w:color w:val="auto"/>
                <w:sz w:val="24"/>
                <w:highlight w:val="none"/>
                <w:lang w:val="en-US" w:eastAsia="zh-CN"/>
              </w:rPr>
              <w:t>房间内安装</w:t>
            </w:r>
            <w:r>
              <w:rPr>
                <w:rFonts w:hint="eastAsia" w:ascii="Times New Roman" w:hAnsi="Times New Roman" w:eastAsia="宋体" w:cs="Times New Roman"/>
                <w:color w:val="auto"/>
                <w:sz w:val="24"/>
                <w:highlight w:val="none"/>
              </w:rPr>
              <w:t>空调换气系统</w:t>
            </w:r>
            <w:r>
              <w:rPr>
                <w:rFonts w:hint="eastAsia" w:eastAsia="宋体" w:cs="Times New Roman"/>
                <w:color w:val="auto"/>
                <w:sz w:val="24"/>
                <w:highlight w:val="none"/>
                <w:lang w:eastAsia="zh-CN"/>
              </w:rPr>
              <w:t>。</w:t>
            </w:r>
          </w:p>
          <w:p>
            <w:pPr>
              <w:keepNext w:val="0"/>
              <w:keepLines w:val="0"/>
              <w:pageBreakBefore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auto"/>
                <w:kern w:val="0"/>
                <w:sz w:val="24"/>
                <w:szCs w:val="24"/>
                <w:highlight w:val="none"/>
                <w:lang w:val="en-US" w:eastAsia="zh-CN" w:bidi="en-US"/>
              </w:rPr>
            </w:pPr>
            <w:r>
              <w:rPr>
                <w:rFonts w:hint="eastAsia" w:ascii="Times New Roman" w:hAnsi="Times New Roman" w:eastAsia="宋体" w:cs="Times New Roman"/>
                <w:bCs/>
                <w:color w:val="auto"/>
                <w:kern w:val="0"/>
                <w:sz w:val="24"/>
                <w:szCs w:val="24"/>
                <w:highlight w:val="none"/>
                <w:lang w:val="en-US" w:eastAsia="zh-CN" w:bidi="en-US"/>
              </w:rPr>
              <w:t>（4）食堂油烟环境影响分析</w:t>
            </w:r>
          </w:p>
          <w:p>
            <w:pPr>
              <w:keepNext w:val="0"/>
              <w:keepLines w:val="0"/>
              <w:pageBreakBefore w:val="0"/>
              <w:numPr>
                <w:ilvl w:val="0"/>
                <w:numId w:val="0"/>
              </w:numPr>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bCs/>
                <w:color w:val="auto"/>
                <w:kern w:val="0"/>
                <w:sz w:val="24"/>
                <w:szCs w:val="24"/>
                <w:highlight w:val="none"/>
                <w:lang w:val="en-US" w:eastAsia="zh-CN" w:bidi="en-US"/>
              </w:rPr>
            </w:pPr>
            <w:r>
              <w:rPr>
                <w:rFonts w:hint="eastAsia" w:ascii="Times New Roman" w:hAnsi="Times New Roman" w:eastAsia="宋体" w:cs="Times New Roman"/>
                <w:bCs/>
                <w:color w:val="auto"/>
                <w:kern w:val="0"/>
                <w:sz w:val="24"/>
                <w:szCs w:val="24"/>
                <w:highlight w:val="none"/>
                <w:lang w:val="en-US" w:eastAsia="zh-CN" w:bidi="en-US"/>
              </w:rPr>
              <w:t>项目食堂设置油烟净化装置，油烟废气去除率以75%计，油烟排放浓度为1.80g/m3，油烟废气经专用烟道至食堂所在建筑楼顶排放。对照《饮食业油烟排放标准（试行）》（GB18483-2001），本项目油烟废气可达标排放。本项目食堂对周边环境影响较小。</w:t>
            </w:r>
          </w:p>
          <w:p>
            <w:pPr>
              <w:adjustRightIn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eastAsia" w:ascii="Times New Roman" w:hAnsi="Times New Roman" w:eastAsia="宋体" w:cs="Times New Roman"/>
                <w:b/>
                <w:bCs/>
                <w:color w:val="auto"/>
                <w:sz w:val="24"/>
                <w:highlight w:val="none"/>
                <w:lang w:val="en-US" w:eastAsia="zh-CN"/>
              </w:rPr>
              <w:t>3</w:t>
            </w:r>
            <w:r>
              <w:rPr>
                <w:rFonts w:hint="default" w:ascii="Times New Roman" w:hAnsi="Times New Roman" w:eastAsia="宋体" w:cs="Times New Roman"/>
                <w:b/>
                <w:bCs/>
                <w:color w:val="auto"/>
                <w:sz w:val="24"/>
                <w:highlight w:val="none"/>
                <w:lang w:val="en-US" w:eastAsia="zh-CN"/>
              </w:rPr>
              <w:t xml:space="preserve"> </w:t>
            </w:r>
            <w:r>
              <w:rPr>
                <w:rFonts w:hint="eastAsia" w:ascii="Times New Roman" w:hAnsi="Times New Roman" w:eastAsia="宋体" w:cs="Times New Roman"/>
                <w:b/>
                <w:bCs/>
                <w:color w:val="auto"/>
                <w:sz w:val="24"/>
                <w:highlight w:val="none"/>
                <w:lang w:val="en-US" w:eastAsia="zh-CN"/>
              </w:rPr>
              <w:t>非正常工况环境影响分析</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default"/>
                <w:color w:val="auto"/>
                <w:lang w:val="en-US" w:eastAsia="zh-CN"/>
              </w:rPr>
            </w:pPr>
            <w:r>
              <w:rPr>
                <w:rFonts w:hint="eastAsia" w:ascii="Times New Roman" w:hAnsi="Times New Roman" w:eastAsia="宋体" w:cs="Times New Roman"/>
                <w:color w:val="auto"/>
                <w:kern w:val="2"/>
                <w:sz w:val="24"/>
                <w:szCs w:val="24"/>
                <w:highlight w:val="none"/>
                <w:lang w:val="en-US" w:eastAsia="zh-CN" w:bidi="ar-SA"/>
              </w:rPr>
              <w:t>非正常排放指非正常工况下的污染物排放，如污染物排放控制措施达不到应有效率、工艺设备运转异常等情况下的排放。本项目非正常工况主要为食堂油烟废气处理装置</w:t>
            </w:r>
            <w:r>
              <w:rPr>
                <w:rFonts w:hint="eastAsia"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中药磨粉设备发生故障以及</w:t>
            </w:r>
            <w:r>
              <w:rPr>
                <w:rFonts w:hint="eastAsia" w:cs="Times New Roman"/>
                <w:color w:val="auto"/>
                <w:kern w:val="2"/>
                <w:sz w:val="24"/>
                <w:szCs w:val="24"/>
                <w:highlight w:val="none"/>
                <w:lang w:val="en-US" w:eastAsia="zh-CN" w:bidi="ar-SA"/>
              </w:rPr>
              <w:t>医院所在区域停电时用的备用柴油发电机</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lang w:val="en-US" w:eastAsia="zh-CN"/>
              </w:rPr>
              <w:t>本项目非正常排放情况见表</w:t>
            </w:r>
            <w:r>
              <w:rPr>
                <w:rFonts w:hint="eastAsia" w:ascii="Times New Roman" w:hAnsi="Times New Roman" w:eastAsia="宋体" w:cs="Times New Roman"/>
                <w:b w:val="0"/>
                <w:bCs w:val="0"/>
                <w:i w:val="0"/>
                <w:iCs w:val="0"/>
                <w:color w:val="auto"/>
                <w:sz w:val="24"/>
                <w:szCs w:val="24"/>
                <w:lang w:val="en-US" w:eastAsia="zh-CN"/>
              </w:rPr>
              <w:t>4-1</w:t>
            </w:r>
            <w:r>
              <w:rPr>
                <w:rFonts w:hint="eastAsia" w:cs="Times New Roman"/>
                <w:b w:val="0"/>
                <w:bCs w:val="0"/>
                <w:i w:val="0"/>
                <w:iCs w:val="0"/>
                <w:color w:val="auto"/>
                <w:sz w:val="24"/>
                <w:szCs w:val="24"/>
                <w:lang w:val="en-US" w:eastAsia="zh-CN"/>
              </w:rPr>
              <w:t>、表4-2</w:t>
            </w:r>
            <w:r>
              <w:rPr>
                <w:rFonts w:hint="eastAsia" w:ascii="Times New Roman" w:hAnsi="Times New Roman" w:eastAsia="宋体" w:cs="Times New Roman"/>
                <w:color w:val="auto"/>
                <w:sz w:val="24"/>
                <w:szCs w:val="24"/>
                <w:lang w:val="en-US" w:eastAsia="zh-CN"/>
              </w:rPr>
              <w:t>。</w:t>
            </w:r>
          </w:p>
          <w:p>
            <w:pPr>
              <w:adjustRightInd w:val="0"/>
              <w:snapToGrid w:val="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w:t>
            </w:r>
            <w:r>
              <w:rPr>
                <w:rFonts w:hint="eastAsia" w:ascii="Times New Roman" w:hAnsi="Times New Roman" w:eastAsia="宋体" w:cs="Times New Roman"/>
                <w:b/>
                <w:color w:val="auto"/>
                <w:sz w:val="24"/>
                <w:szCs w:val="24"/>
                <w:highlight w:val="none"/>
                <w:lang w:val="en-US" w:eastAsia="zh-CN"/>
              </w:rPr>
              <w:t xml:space="preserve">1  </w:t>
            </w:r>
            <w:r>
              <w:rPr>
                <w:rFonts w:hint="default" w:ascii="Times New Roman" w:hAnsi="Times New Roman" w:eastAsia="宋体" w:cs="Times New Roman"/>
                <w:b/>
                <w:color w:val="auto"/>
                <w:sz w:val="24"/>
                <w:szCs w:val="24"/>
                <w:highlight w:val="none"/>
              </w:rPr>
              <w:t>年排放量汇总</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1409"/>
              <w:gridCol w:w="1410"/>
              <w:gridCol w:w="1410"/>
              <w:gridCol w:w="1410"/>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9" w:type="dxa"/>
                  <w:noWrap w:val="0"/>
                  <w:vAlign w:val="center"/>
                </w:tcPr>
                <w:p>
                  <w:pPr>
                    <w:adjustRightInd w:val="0"/>
                    <w:snapToGrid w:val="0"/>
                    <w:ind w:left="-105" w:leftChars="-50" w:right="-105" w:rightChars="-5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污染源位置</w:t>
                  </w:r>
                </w:p>
              </w:tc>
              <w:tc>
                <w:tcPr>
                  <w:tcW w:w="1409" w:type="dxa"/>
                  <w:noWrap w:val="0"/>
                  <w:vAlign w:val="center"/>
                </w:tcPr>
                <w:p>
                  <w:pPr>
                    <w:adjustRightInd w:val="0"/>
                    <w:snapToGrid w:val="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污染工序</w:t>
                  </w:r>
                </w:p>
              </w:tc>
              <w:tc>
                <w:tcPr>
                  <w:tcW w:w="1410" w:type="dxa"/>
                  <w:noWrap w:val="0"/>
                  <w:vAlign w:val="center"/>
                </w:tcPr>
                <w:p>
                  <w:pPr>
                    <w:adjustRightInd w:val="0"/>
                    <w:snapToGrid w:val="0"/>
                    <w:ind w:left="-105" w:leftChars="-50" w:right="-105" w:rightChars="-5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污染物名称</w:t>
                  </w:r>
                </w:p>
              </w:tc>
              <w:tc>
                <w:tcPr>
                  <w:tcW w:w="1410" w:type="dxa"/>
                  <w:noWrap w:val="0"/>
                  <w:vAlign w:val="center"/>
                </w:tcPr>
                <w:p>
                  <w:pPr>
                    <w:adjustRightInd w:val="0"/>
                    <w:snapToGrid w:val="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排放量</w:t>
                  </w:r>
                </w:p>
                <w:p>
                  <w:pPr>
                    <w:adjustRightInd w:val="0"/>
                    <w:snapToGrid w:val="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kg</w:t>
                  </w:r>
                </w:p>
              </w:tc>
              <w:tc>
                <w:tcPr>
                  <w:tcW w:w="1410" w:type="dxa"/>
                  <w:noWrap w:val="0"/>
                  <w:vAlign w:val="center"/>
                </w:tcPr>
                <w:p>
                  <w:pPr>
                    <w:adjustRightInd w:val="0"/>
                    <w:snapToGrid w:val="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非正常排放速率kg/h</w:t>
                  </w:r>
                </w:p>
              </w:tc>
              <w:tc>
                <w:tcPr>
                  <w:tcW w:w="1413" w:type="dxa"/>
                  <w:noWrap w:val="0"/>
                  <w:vAlign w:val="center"/>
                </w:tcPr>
                <w:p>
                  <w:pPr>
                    <w:adjustRightInd w:val="0"/>
                    <w:snapToGrid w:val="0"/>
                    <w:jc w:val="center"/>
                    <w:rPr>
                      <w:rFonts w:hint="default" w:ascii="Times New Roman" w:hAnsi="Times New Roman" w:cs="Times New Roman"/>
                      <w:b w:val="0"/>
                      <w:bCs/>
                      <w:color w:val="auto"/>
                      <w:szCs w:val="21"/>
                    </w:rPr>
                  </w:pPr>
                  <w:r>
                    <w:rPr>
                      <w:rFonts w:hint="default" w:ascii="Times New Roman" w:hAnsi="Times New Roman" w:cs="Times New Roman"/>
                      <w:b w:val="0"/>
                      <w:bCs/>
                      <w:color w:val="auto"/>
                      <w:szCs w:val="21"/>
                    </w:rPr>
                    <w:t>排放时间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409" w:type="dxa"/>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食堂</w:t>
                  </w:r>
                </w:p>
              </w:tc>
              <w:tc>
                <w:tcPr>
                  <w:tcW w:w="1409" w:type="dxa"/>
                  <w:noWrap w:val="0"/>
                  <w:vAlign w:val="center"/>
                </w:tcPr>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油烟</w:t>
                  </w:r>
                </w:p>
              </w:tc>
              <w:tc>
                <w:tcPr>
                  <w:tcW w:w="1410" w:type="dxa"/>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油烟</w:t>
                  </w:r>
                </w:p>
              </w:tc>
              <w:tc>
                <w:tcPr>
                  <w:tcW w:w="1410" w:type="dxa"/>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w:t>
                  </w:r>
                  <w:r>
                    <w:rPr>
                      <w:rFonts w:hint="eastAsia" w:ascii="Times New Roman" w:hAnsi="Times New Roman" w:eastAsia="宋体" w:cs="Times New Roman"/>
                      <w:bCs/>
                      <w:color w:val="auto"/>
                      <w:szCs w:val="21"/>
                      <w:highlight w:val="none"/>
                      <w:lang w:val="en-US" w:eastAsia="zh-CN"/>
                    </w:rPr>
                    <w:t>079</w:t>
                  </w:r>
                </w:p>
              </w:tc>
              <w:tc>
                <w:tcPr>
                  <w:tcW w:w="1410" w:type="dxa"/>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0.</w:t>
                  </w:r>
                  <w:r>
                    <w:rPr>
                      <w:rFonts w:hint="eastAsia" w:ascii="Times New Roman" w:hAnsi="Times New Roman" w:eastAsia="宋体" w:cs="Times New Roman"/>
                      <w:bCs/>
                      <w:color w:val="auto"/>
                      <w:szCs w:val="21"/>
                      <w:highlight w:val="none"/>
                      <w:lang w:val="en-US" w:eastAsia="zh-CN"/>
                    </w:rPr>
                    <w:t>079</w:t>
                  </w:r>
                </w:p>
              </w:tc>
              <w:tc>
                <w:tcPr>
                  <w:tcW w:w="1413" w:type="dxa"/>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1409" w:type="dxa"/>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磨粉机</w:t>
                  </w:r>
                </w:p>
              </w:tc>
              <w:tc>
                <w:tcPr>
                  <w:tcW w:w="1409" w:type="dxa"/>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磨粉</w:t>
                  </w:r>
                </w:p>
              </w:tc>
              <w:tc>
                <w:tcPr>
                  <w:tcW w:w="1410" w:type="dxa"/>
                  <w:noWrap w:val="0"/>
                  <w:vAlign w:val="center"/>
                </w:tcPr>
                <w:p>
                  <w:pPr>
                    <w:adjustRightInd w:val="0"/>
                    <w:snapToGrid w:val="0"/>
                    <w:jc w:val="center"/>
                    <w:rPr>
                      <w:rFonts w:hint="eastAsia"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粉尘</w:t>
                  </w:r>
                </w:p>
              </w:tc>
              <w:tc>
                <w:tcPr>
                  <w:tcW w:w="1410" w:type="dxa"/>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0.525</w:t>
                  </w:r>
                </w:p>
              </w:tc>
              <w:tc>
                <w:tcPr>
                  <w:tcW w:w="1410" w:type="dxa"/>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0.525</w:t>
                  </w:r>
                </w:p>
              </w:tc>
              <w:tc>
                <w:tcPr>
                  <w:tcW w:w="1413" w:type="dxa"/>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1h</w:t>
                  </w: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本项目设常用功率1000kW柴发机组1套，发电机燃料采用0#柴油（密度850kg/m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），单位燃油量按200g/kW·h 计算，则柴油发电机组的耗油量为200kg/h，0.235m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/h。区域供电系统正常，按发电机每月使用2h计算，年柴油使用量为4800kg。当空气过剩系数为 1 时，1kg柴油产生的烟气量约为11Nm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根据《大气环境工程师实用手册》，一般柴油发电机空气过剩系数为1.8，则发电机每燃烧1kg 柴油产生的烟气量为11×1.8=19.8Nm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，则本项目柴油发电机烟气量为3960Nm</w:t>
            </w:r>
            <w:r>
              <w:rPr>
                <w:rFonts w:hint="eastAsia" w:ascii="Times New Roman" w:hAnsi="Times New Roman" w:eastAsia="宋体" w:cs="Times New Roman"/>
                <w:color w:val="auto"/>
                <w:kern w:val="2"/>
                <w:sz w:val="24"/>
                <w:szCs w:val="24"/>
                <w:highlight w:val="none"/>
                <w:vertAlign w:val="superscript"/>
                <w:lang w:val="en-US" w:eastAsia="zh-CN" w:bidi="ar-SA"/>
              </w:rPr>
              <w:t>3</w:t>
            </w:r>
            <w:r>
              <w:rPr>
                <w:rFonts w:hint="eastAsia" w:ascii="Times New Roman" w:hAnsi="Times New Roman" w:eastAsia="宋体" w:cs="Times New Roman"/>
                <w:color w:val="auto"/>
                <w:kern w:val="2"/>
                <w:sz w:val="24"/>
                <w:szCs w:val="24"/>
                <w:highlight w:val="none"/>
                <w:lang w:val="en-US" w:eastAsia="zh-CN" w:bidi="ar-SA"/>
              </w:rPr>
              <w:t>/h。本项目柴油发电机燃油尾气经由专用烟道引至室外以有组织形式排放。</w:t>
            </w:r>
          </w:p>
          <w:p>
            <w:pPr>
              <w:keepNext w:val="0"/>
              <w:keepLines w:val="0"/>
              <w:pageBreakBefore w:val="0"/>
              <w:widowControl w:val="0"/>
              <w:kinsoku/>
              <w:wordWrap/>
              <w:overflowPunct/>
              <w:topLinePunct w:val="0"/>
              <w:autoSpaceDE/>
              <w:autoSpaceDN/>
              <w:bidi w:val="0"/>
              <w:adjustRightInd w:val="0"/>
              <w:snapToGrid w:val="0"/>
              <w:spacing w:line="360" w:lineRule="auto"/>
              <w:ind w:right="0"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根据环评工程师注册培训教材《社会区域》给出的计算参数可知，柴油燃烧的污染物排放系数为：SO</w:t>
            </w:r>
            <w:r>
              <w:rPr>
                <w:rFonts w:hint="eastAsia" w:ascii="Times New Roman" w:hAnsi="Times New Roman" w:eastAsia="宋体" w:cs="Times New Roman"/>
                <w:color w:val="auto"/>
                <w:kern w:val="2"/>
                <w:sz w:val="24"/>
                <w:szCs w:val="24"/>
                <w:highlight w:val="none"/>
                <w:vertAlign w:val="sub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：2.24kg/t，烟尘：0.31kg/t，NOx：2.92kg/t。故本项目柴油发电机排污情况见下表。</w:t>
            </w:r>
          </w:p>
          <w:p>
            <w:pPr>
              <w:adjustRightInd w:val="0"/>
              <w:snapToGrid w:val="0"/>
              <w:jc w:val="center"/>
              <w:rPr>
                <w:rFonts w:hint="default" w:ascii="Times New Roman" w:hAnsi="Times New Roman" w:eastAsia="宋体" w:cs="Times New Roman"/>
                <w:b/>
                <w:color w:val="auto"/>
                <w:sz w:val="24"/>
                <w:szCs w:val="24"/>
                <w:highlight w:val="none"/>
                <w:lang w:val="en-US" w:eastAsia="zh-CN"/>
              </w:rPr>
            </w:pPr>
            <w:r>
              <w:rPr>
                <w:rFonts w:hint="eastAsia" w:ascii="Times New Roman" w:hAnsi="Times New Roman" w:eastAsia="宋体" w:cs="Times New Roman"/>
                <w:b/>
                <w:color w:val="auto"/>
                <w:sz w:val="24"/>
                <w:szCs w:val="24"/>
                <w:highlight w:val="none"/>
                <w:lang w:val="en-US" w:eastAsia="zh-CN"/>
              </w:rPr>
              <w:t>表4-2   柴油发电机排污情况表</w:t>
            </w:r>
          </w:p>
          <w:tbl>
            <w:tblPr>
              <w:tblStyle w:val="28"/>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853"/>
              <w:gridCol w:w="853"/>
              <w:gridCol w:w="853"/>
              <w:gridCol w:w="853"/>
              <w:gridCol w:w="854"/>
              <w:gridCol w:w="644"/>
              <w:gridCol w:w="1064"/>
              <w:gridCol w:w="854"/>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污染源</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污染物</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风量</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superscript"/>
                      <w:lang w:val="en-US" w:eastAsia="zh-CN"/>
                    </w:rPr>
                  </w:pPr>
                  <w:r>
                    <w:rPr>
                      <w:rFonts w:hint="eastAsia" w:hAnsi="宋体" w:cs="宋体"/>
                      <w:bCs/>
                      <w:color w:val="auto"/>
                      <w:szCs w:val="21"/>
                      <w:highlight w:val="none"/>
                      <w:vertAlign w:val="baseline"/>
                      <w:lang w:val="en-US" w:eastAsia="zh-CN"/>
                    </w:rPr>
                    <w:t>产生浓度mg/m</w:t>
                  </w:r>
                  <w:r>
                    <w:rPr>
                      <w:rFonts w:hint="eastAsia" w:hAnsi="宋体" w:cs="宋体"/>
                      <w:bCs/>
                      <w:color w:val="auto"/>
                      <w:szCs w:val="21"/>
                      <w:highlight w:val="none"/>
                      <w:vertAlign w:val="superscript"/>
                      <w:lang w:val="en-US" w:eastAsia="zh-CN"/>
                    </w:rPr>
                    <w:t>3</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产生速率kg/h</w:t>
                  </w:r>
                </w:p>
              </w:tc>
              <w:tc>
                <w:tcPr>
                  <w:tcW w:w="8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产生量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kg/a</w:t>
                  </w:r>
                </w:p>
              </w:tc>
              <w:tc>
                <w:tcPr>
                  <w:tcW w:w="6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防治措施</w:t>
                  </w:r>
                </w:p>
              </w:tc>
              <w:tc>
                <w:tcPr>
                  <w:tcW w:w="10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排放浓度mg/m</w:t>
                  </w:r>
                  <w:r>
                    <w:rPr>
                      <w:rFonts w:hint="eastAsia" w:hAnsi="宋体" w:cs="宋体"/>
                      <w:bCs/>
                      <w:color w:val="auto"/>
                      <w:szCs w:val="21"/>
                      <w:highlight w:val="none"/>
                      <w:vertAlign w:val="superscript"/>
                      <w:lang w:val="en-US" w:eastAsia="zh-CN"/>
                    </w:rPr>
                    <w:t>3</w:t>
                  </w:r>
                </w:p>
              </w:tc>
              <w:tc>
                <w:tcPr>
                  <w:tcW w:w="8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排放速率kg/h</w:t>
                  </w:r>
                </w:p>
              </w:tc>
              <w:tc>
                <w:tcPr>
                  <w:tcW w:w="8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排放量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5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柴油发电机</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颗粒物</w:t>
                  </w:r>
                </w:p>
              </w:tc>
              <w:tc>
                <w:tcPr>
                  <w:tcW w:w="85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3960</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15.7</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0.062</w:t>
                  </w:r>
                </w:p>
              </w:tc>
              <w:tc>
                <w:tcPr>
                  <w:tcW w:w="8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1.49</w:t>
                  </w:r>
                </w:p>
              </w:tc>
              <w:tc>
                <w:tcPr>
                  <w:tcW w:w="644"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引至室外有组织排放</w:t>
                  </w:r>
                </w:p>
              </w:tc>
              <w:tc>
                <w:tcPr>
                  <w:tcW w:w="10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15.7</w:t>
                  </w:r>
                </w:p>
              </w:tc>
              <w:tc>
                <w:tcPr>
                  <w:tcW w:w="8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0.062</w:t>
                  </w:r>
                </w:p>
              </w:tc>
              <w:tc>
                <w:tcPr>
                  <w:tcW w:w="8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85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s="宋体"/>
                      <w:bCs/>
                      <w:color w:val="auto"/>
                      <w:szCs w:val="21"/>
                      <w:highlight w:val="none"/>
                      <w:vertAlign w:val="baseline"/>
                    </w:rPr>
                  </w:pP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SO</w:t>
                  </w:r>
                  <w:r>
                    <w:rPr>
                      <w:rFonts w:hint="eastAsia" w:hAnsi="宋体" w:cs="宋体"/>
                      <w:bCs/>
                      <w:color w:val="auto"/>
                      <w:szCs w:val="21"/>
                      <w:highlight w:val="none"/>
                      <w:vertAlign w:val="subscript"/>
                      <w:lang w:val="en-US" w:eastAsia="zh-CN"/>
                    </w:rPr>
                    <w:t>2</w:t>
                  </w:r>
                </w:p>
              </w:tc>
              <w:tc>
                <w:tcPr>
                  <w:tcW w:w="85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s="宋体"/>
                      <w:bCs/>
                      <w:color w:val="auto"/>
                      <w:szCs w:val="21"/>
                      <w:highlight w:val="none"/>
                      <w:vertAlign w:val="baseline"/>
                    </w:rPr>
                  </w:pP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113</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0.448</w:t>
                  </w:r>
                </w:p>
              </w:tc>
              <w:tc>
                <w:tcPr>
                  <w:tcW w:w="8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10.75</w:t>
                  </w:r>
                </w:p>
              </w:tc>
              <w:tc>
                <w:tcPr>
                  <w:tcW w:w="64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s="宋体"/>
                      <w:bCs/>
                      <w:color w:val="auto"/>
                      <w:szCs w:val="21"/>
                      <w:highlight w:val="none"/>
                      <w:vertAlign w:val="baseline"/>
                    </w:rPr>
                  </w:pPr>
                </w:p>
              </w:tc>
              <w:tc>
                <w:tcPr>
                  <w:tcW w:w="10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113</w:t>
                  </w:r>
                </w:p>
              </w:tc>
              <w:tc>
                <w:tcPr>
                  <w:tcW w:w="8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0.448</w:t>
                  </w:r>
                </w:p>
              </w:tc>
              <w:tc>
                <w:tcPr>
                  <w:tcW w:w="8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10.75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5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s="宋体"/>
                      <w:bCs/>
                      <w:color w:val="auto"/>
                      <w:szCs w:val="21"/>
                      <w:highlight w:val="none"/>
                      <w:vertAlign w:val="baseline"/>
                    </w:rPr>
                  </w:pP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NO</w:t>
                  </w:r>
                  <w:r>
                    <w:rPr>
                      <w:rFonts w:hint="eastAsia" w:hAnsi="宋体" w:cs="宋体"/>
                      <w:bCs/>
                      <w:color w:val="auto"/>
                      <w:szCs w:val="21"/>
                      <w:highlight w:val="none"/>
                      <w:vertAlign w:val="subscript"/>
                      <w:lang w:val="en-US" w:eastAsia="zh-CN"/>
                    </w:rPr>
                    <w:t>x</w:t>
                  </w:r>
                </w:p>
              </w:tc>
              <w:tc>
                <w:tcPr>
                  <w:tcW w:w="85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s="宋体"/>
                      <w:bCs/>
                      <w:color w:val="auto"/>
                      <w:szCs w:val="21"/>
                      <w:highlight w:val="none"/>
                      <w:vertAlign w:val="baseline"/>
                    </w:rPr>
                  </w:pP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147</w:t>
                  </w:r>
                </w:p>
              </w:tc>
              <w:tc>
                <w:tcPr>
                  <w:tcW w:w="85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0.58</w:t>
                  </w:r>
                </w:p>
              </w:tc>
              <w:tc>
                <w:tcPr>
                  <w:tcW w:w="8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14.02</w:t>
                  </w:r>
                </w:p>
              </w:tc>
              <w:tc>
                <w:tcPr>
                  <w:tcW w:w="644"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hAnsi="宋体" w:cs="宋体"/>
                      <w:bCs/>
                      <w:color w:val="auto"/>
                      <w:szCs w:val="21"/>
                      <w:highlight w:val="none"/>
                      <w:vertAlign w:val="baseline"/>
                    </w:rPr>
                  </w:pPr>
                </w:p>
              </w:tc>
              <w:tc>
                <w:tcPr>
                  <w:tcW w:w="106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147</w:t>
                  </w:r>
                </w:p>
              </w:tc>
              <w:tc>
                <w:tcPr>
                  <w:tcW w:w="8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0.58</w:t>
                  </w:r>
                </w:p>
              </w:tc>
              <w:tc>
                <w:tcPr>
                  <w:tcW w:w="85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hAnsi="宋体" w:eastAsia="宋体" w:cs="宋体"/>
                      <w:bCs/>
                      <w:color w:val="auto"/>
                      <w:szCs w:val="21"/>
                      <w:highlight w:val="none"/>
                      <w:vertAlign w:val="baseline"/>
                      <w:lang w:val="en-US" w:eastAsia="zh-CN"/>
                    </w:rPr>
                  </w:pPr>
                  <w:r>
                    <w:rPr>
                      <w:rFonts w:hint="eastAsia" w:hAnsi="宋体" w:cs="宋体"/>
                      <w:bCs/>
                      <w:color w:val="auto"/>
                      <w:szCs w:val="21"/>
                      <w:highlight w:val="none"/>
                      <w:vertAlign w:val="baseline"/>
                      <w:lang w:val="en-US" w:eastAsia="zh-CN"/>
                    </w:rPr>
                    <w:t>14.02</w:t>
                  </w:r>
                </w:p>
              </w:tc>
            </w:tr>
          </w:tbl>
          <w:p>
            <w:pPr>
              <w:adjustRightIn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非正常工况下污染物排放浓度超标，污染物排放量明显增加，因此医院应加强在设备运行的管理，尽量降低、避免非正常情况的发生，当废气处理设施出现故障不能短时间恢复时，食堂</w:t>
            </w:r>
            <w:r>
              <w:rPr>
                <w:rFonts w:hint="eastAsia" w:ascii="Times New Roman" w:hAnsi="Times New Roman" w:cs="Times New Roman"/>
                <w:bCs/>
                <w:color w:val="auto"/>
                <w:sz w:val="24"/>
                <w:lang w:val="en-US" w:eastAsia="zh-CN"/>
              </w:rPr>
              <w:t>和中药磨粉设备</w:t>
            </w:r>
            <w:r>
              <w:rPr>
                <w:rFonts w:hint="default" w:ascii="Times New Roman" w:hAnsi="Times New Roman" w:cs="Times New Roman"/>
                <w:bCs/>
                <w:color w:val="auto"/>
                <w:sz w:val="24"/>
              </w:rPr>
              <w:t>应停止使用，尽快维修。</w:t>
            </w:r>
          </w:p>
          <w:p>
            <w:pPr>
              <w:adjustRightIn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val="en-US" w:eastAsia="zh-CN"/>
              </w:rPr>
              <w:t>4废气</w:t>
            </w:r>
            <w:r>
              <w:rPr>
                <w:rFonts w:hint="default" w:ascii="Times New Roman" w:hAnsi="Times New Roman" w:eastAsia="宋体" w:cs="Times New Roman"/>
                <w:b/>
                <w:bCs/>
                <w:color w:val="auto"/>
                <w:sz w:val="24"/>
                <w:highlight w:val="none"/>
                <w:lang w:val="en-US" w:eastAsia="zh-CN"/>
              </w:rPr>
              <w:t>监测</w:t>
            </w:r>
          </w:p>
          <w:p>
            <w:pPr>
              <w:adjustRightInd w:val="0"/>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根据《排污单位自行监测技术指南总则》</w:t>
            </w:r>
            <w:r>
              <w:rPr>
                <w:rFonts w:hint="default" w:ascii="Times New Roman" w:hAnsi="Times New Roman" w:eastAsia="宋体" w:cs="Times New Roman"/>
                <w:bCs/>
                <w:color w:val="auto"/>
                <w:sz w:val="24"/>
              </w:rPr>
              <w:t>(HJ819-2017</w:t>
            </w:r>
            <w:r>
              <w:rPr>
                <w:rFonts w:hint="eastAsia" w:ascii="Times New Roman" w:hAnsi="Times New Roman" w:eastAsia="宋体" w:cs="Times New Roman"/>
                <w:bCs/>
                <w:color w:val="auto"/>
                <w:sz w:val="24"/>
                <w:lang w:eastAsia="zh-CN"/>
              </w:rPr>
              <w:t>）</w:t>
            </w:r>
            <w:r>
              <w:rPr>
                <w:rFonts w:hint="eastAsia" w:cs="Times New Roman"/>
                <w:bCs/>
                <w:color w:val="auto"/>
                <w:sz w:val="24"/>
                <w:lang w:eastAsia="zh-CN"/>
              </w:rPr>
              <w:t>、</w:t>
            </w:r>
            <w:r>
              <w:rPr>
                <w:rFonts w:hint="eastAsia" w:ascii="Times New Roman" w:hAnsi="Times New Roman" w:eastAsia="宋体" w:cs="Times New Roman"/>
                <w:bCs/>
                <w:color w:val="auto"/>
                <w:sz w:val="24"/>
              </w:rPr>
              <w:t>《排污许可证申请与核发技术规范制药工业—中成药生产》（HJ1064-2019）以及《排污许可证申请与核发技术规范</w:t>
            </w:r>
            <w:r>
              <w:rPr>
                <w:rFonts w:hint="eastAsia" w:ascii="Times New Roman" w:hAnsi="Times New Roman" w:eastAsia="宋体" w:cs="Times New Roman"/>
                <w:bCs/>
                <w:color w:val="auto"/>
                <w:sz w:val="24"/>
                <w:lang w:val="en-US" w:eastAsia="zh-CN"/>
              </w:rPr>
              <w:t>医疗机构</w:t>
            </w:r>
            <w:r>
              <w:rPr>
                <w:rFonts w:hint="eastAsia" w:ascii="Times New Roman" w:hAnsi="Times New Roman" w:eastAsia="宋体" w:cs="Times New Roman"/>
                <w:bCs/>
                <w:color w:val="auto"/>
                <w:sz w:val="24"/>
              </w:rPr>
              <w:t>》（HJ1</w:t>
            </w:r>
            <w:r>
              <w:rPr>
                <w:rFonts w:hint="eastAsia" w:ascii="Times New Roman" w:hAnsi="Times New Roman" w:eastAsia="宋体" w:cs="Times New Roman"/>
                <w:bCs/>
                <w:color w:val="auto"/>
                <w:sz w:val="24"/>
                <w:lang w:val="en-US" w:eastAsia="zh-CN"/>
              </w:rPr>
              <w:t>105</w:t>
            </w:r>
            <w:r>
              <w:rPr>
                <w:rFonts w:hint="eastAsia" w:ascii="Times New Roman" w:hAnsi="Times New Roman" w:eastAsia="宋体" w:cs="Times New Roman"/>
                <w:bCs/>
                <w:color w:val="auto"/>
                <w:sz w:val="24"/>
              </w:rPr>
              <w:t>-20</w:t>
            </w:r>
            <w:r>
              <w:rPr>
                <w:rFonts w:hint="eastAsia" w:ascii="Times New Roman" w:hAnsi="Times New Roman" w:eastAsia="宋体" w:cs="Times New Roman"/>
                <w:bCs/>
                <w:color w:val="auto"/>
                <w:sz w:val="24"/>
                <w:lang w:val="en-US" w:eastAsia="zh-CN"/>
              </w:rPr>
              <w:t>20</w:t>
            </w:r>
            <w:r>
              <w:rPr>
                <w:rFonts w:hint="eastAsia" w:ascii="Times New Roman" w:hAnsi="Times New Roman" w:eastAsia="宋体" w:cs="Times New Roman"/>
                <w:bCs/>
                <w:color w:val="auto"/>
                <w:sz w:val="24"/>
              </w:rPr>
              <w:t>）中的相关规定开展本项目的自行监测工作。</w:t>
            </w:r>
          </w:p>
          <w:p>
            <w:pPr>
              <w:adjustRightInd w:val="0"/>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自行监测是指排污单位为掌握本单位的污染物排放状况及其对周边环境质量的影响等情况，按照相关法律法规和技术规范，组织开展的环境监测活动。</w:t>
            </w:r>
          </w:p>
          <w:p>
            <w:pPr>
              <w:adjustRightInd w:val="0"/>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排污单位应查清所有污染源，确定主要污染源及主要监测指标，制定监测方案。监测方案内容包括：单位基本情况、监测点位及示意图、监测指标、执行标准及其限值、监测频次、采样和样品保存方法、监测分析方法和仪器、质量保证与质量控制等。</w:t>
            </w:r>
          </w:p>
          <w:p>
            <w:pPr>
              <w:adjustRightInd w:val="0"/>
              <w:spacing w:line="360" w:lineRule="auto"/>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rPr>
              <w:t>监测内容：废气污染物（以无组织形式排入环境）</w:t>
            </w:r>
          </w:p>
          <w:p>
            <w:pPr>
              <w:adjustRightInd w:val="0"/>
              <w:spacing w:line="360" w:lineRule="auto"/>
              <w:ind w:firstLine="480" w:firstLineChars="200"/>
              <w:rPr>
                <w:rFonts w:hint="eastAsia" w:ascii="Times New Roman" w:hAnsi="Times New Roman" w:eastAsia="宋体" w:cs="Times New Roman"/>
                <w:bCs/>
                <w:color w:val="auto"/>
                <w:sz w:val="24"/>
              </w:rPr>
            </w:pPr>
            <w:r>
              <w:rPr>
                <w:rFonts w:hint="eastAsia" w:ascii="Times New Roman" w:hAnsi="Times New Roman" w:eastAsia="宋体" w:cs="Times New Roman"/>
                <w:bCs/>
                <w:color w:val="auto"/>
                <w:sz w:val="24"/>
              </w:rPr>
              <w:t>本项目投产后，企业应重点搞好厂内污染源监测工作，根据本项目特点，评价提出本项目投产后污染源监测方案。本项目废气污染源监测点位、监测项目及监测频率见下表。</w:t>
            </w:r>
          </w:p>
          <w:p>
            <w:pPr>
              <w:adjustRightInd w:val="0"/>
              <w:snapToGrid w:val="0"/>
              <w:jc w:val="center"/>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表4-</w:t>
            </w:r>
            <w:r>
              <w:rPr>
                <w:rFonts w:hint="eastAsia" w:cs="Times New Roman"/>
                <w:b/>
                <w:color w:val="auto"/>
                <w:sz w:val="24"/>
                <w:szCs w:val="24"/>
                <w:highlight w:val="none"/>
                <w:lang w:val="en-US" w:eastAsia="zh-CN"/>
              </w:rPr>
              <w:t>3</w:t>
            </w:r>
            <w:r>
              <w:rPr>
                <w:rFonts w:hint="eastAsia" w:ascii="Times New Roman" w:hAnsi="Times New Roman" w:eastAsia="宋体" w:cs="Times New Roman"/>
                <w:b/>
                <w:color w:val="auto"/>
                <w:sz w:val="24"/>
                <w:szCs w:val="24"/>
                <w:highlight w:val="none"/>
              </w:rPr>
              <w:t xml:space="preserve">   环境监测工作计划</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1349"/>
              <w:gridCol w:w="1659"/>
              <w:gridCol w:w="3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74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监测项目</w:t>
                  </w:r>
                </w:p>
              </w:tc>
              <w:tc>
                <w:tcPr>
                  <w:tcW w:w="134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监测位置</w:t>
                  </w:r>
                </w:p>
              </w:tc>
              <w:tc>
                <w:tcPr>
                  <w:tcW w:w="165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监测频率</w:t>
                  </w:r>
                </w:p>
              </w:tc>
              <w:tc>
                <w:tcPr>
                  <w:tcW w:w="37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74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颗粒物</w:t>
                  </w:r>
                </w:p>
              </w:tc>
              <w:tc>
                <w:tcPr>
                  <w:tcW w:w="1349" w:type="dxa"/>
                  <w:vMerge w:val="restart"/>
                  <w:tcBorders>
                    <w:top w:val="single" w:color="auto" w:sz="4" w:space="0"/>
                    <w:left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厂界</w:t>
                  </w:r>
                </w:p>
              </w:tc>
              <w:tc>
                <w:tcPr>
                  <w:tcW w:w="165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1次/半年</w:t>
                  </w:r>
                </w:p>
              </w:tc>
              <w:tc>
                <w:tcPr>
                  <w:tcW w:w="3717"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满足《大气污染物综合排放标准》(GB16297-1996）表2无组织排放限值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74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臭气浓度</w:t>
                  </w:r>
                </w:p>
              </w:tc>
              <w:tc>
                <w:tcPr>
                  <w:tcW w:w="1349" w:type="dxa"/>
                  <w:vMerge w:val="continue"/>
                  <w:tcBorders>
                    <w:left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p>
              </w:tc>
              <w:tc>
                <w:tcPr>
                  <w:tcW w:w="165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1次/半年</w:t>
                  </w:r>
                </w:p>
              </w:tc>
              <w:tc>
                <w:tcPr>
                  <w:tcW w:w="3717" w:type="dxa"/>
                  <w:tcBorders>
                    <w:left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满足《恶臭污染物排放标准》（GB14554-93）表1中二级标准。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174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氨、硫化氢、臭气浓度、氯气、甲烷</w:t>
                  </w:r>
                </w:p>
              </w:tc>
              <w:tc>
                <w:tcPr>
                  <w:tcW w:w="1349" w:type="dxa"/>
                  <w:tcBorders>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污水处理站周界</w:t>
                  </w:r>
                </w:p>
              </w:tc>
              <w:tc>
                <w:tcPr>
                  <w:tcW w:w="1659"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1次/季度</w:t>
                  </w:r>
                </w:p>
              </w:tc>
              <w:tc>
                <w:tcPr>
                  <w:tcW w:w="3717" w:type="dxa"/>
                  <w:tcBorders>
                    <w:left w:val="single" w:color="auto" w:sz="4" w:space="0"/>
                    <w:bottom w:val="single" w:color="auto" w:sz="4" w:space="0"/>
                    <w:right w:val="single" w:color="auto" w:sz="4" w:space="0"/>
                  </w:tcBorders>
                  <w:noWrap w:val="0"/>
                  <w:vAlign w:val="center"/>
                </w:tcPr>
                <w:p>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满足《医疗机构水污染物排放标准》（GB18466-2005）表3限制要求</w:t>
                  </w:r>
                </w:p>
              </w:tc>
            </w:tr>
          </w:tbl>
          <w:p>
            <w:pPr>
              <w:adjustRightInd w:val="0"/>
              <w:spacing w:line="360" w:lineRule="auto"/>
              <w:ind w:firstLine="482"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en-US" w:eastAsia="zh-CN"/>
              </w:rPr>
              <w:t>.</w:t>
            </w:r>
            <w:r>
              <w:rPr>
                <w:rFonts w:hint="eastAsia" w:ascii="Times New Roman" w:hAnsi="Times New Roman" w:eastAsia="宋体" w:cs="Times New Roman"/>
                <w:b/>
                <w:bCs/>
                <w:color w:val="auto"/>
                <w:sz w:val="24"/>
                <w:highlight w:val="none"/>
                <w:lang w:val="en-US" w:eastAsia="zh-CN"/>
              </w:rPr>
              <w:t>5废气</w:t>
            </w:r>
            <w:r>
              <w:rPr>
                <w:rFonts w:hint="default" w:ascii="Times New Roman" w:hAnsi="Times New Roman" w:eastAsia="宋体" w:cs="Times New Roman"/>
                <w:b/>
                <w:bCs/>
                <w:color w:val="auto"/>
                <w:sz w:val="24"/>
                <w:highlight w:val="none"/>
                <w:lang w:val="en-US" w:eastAsia="zh-CN"/>
              </w:rPr>
              <w:t>污染防治</w:t>
            </w:r>
            <w:r>
              <w:rPr>
                <w:rFonts w:hint="eastAsia" w:ascii="Times New Roman" w:hAnsi="Times New Roman" w:eastAsia="宋体" w:cs="Times New Roman"/>
                <w:b/>
                <w:bCs/>
                <w:color w:val="auto"/>
                <w:sz w:val="24"/>
                <w:highlight w:val="none"/>
                <w:lang w:val="en-US" w:eastAsia="zh-CN"/>
              </w:rPr>
              <w:t>措施</w:t>
            </w:r>
            <w:r>
              <w:rPr>
                <w:rFonts w:hint="default" w:ascii="Times New Roman" w:hAnsi="Times New Roman" w:eastAsia="宋体" w:cs="Times New Roman"/>
                <w:b/>
                <w:bCs/>
                <w:color w:val="auto"/>
                <w:sz w:val="24"/>
                <w:highlight w:val="none"/>
                <w:lang w:val="en-US" w:eastAsia="zh-CN"/>
              </w:rPr>
              <w:t>可行性分析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污水处理站主要密闭，定期喷洒除臭剂。根据《排污许可证申请与核发技术规范医疗机构》（HJ1105-2020）中污水站恶臭治理要求，无组织排放要求为：产生恶臭区域加罩或加盖，投放除臭剂。</w:t>
            </w:r>
            <w:r>
              <w:rPr>
                <w:rFonts w:hint="default" w:ascii="Times New Roman" w:hAnsi="Times New Roman" w:eastAsia="宋体" w:cs="Times New Roman"/>
                <w:bCs/>
                <w:color w:val="auto"/>
                <w:kern w:val="2"/>
                <w:sz w:val="24"/>
                <w:szCs w:val="24"/>
                <w:lang w:val="en-US" w:eastAsia="zh-CN" w:bidi="ar-SA"/>
              </w:rPr>
              <w:t>污水处理站年去除BOD5约为</w:t>
            </w:r>
            <w:r>
              <w:rPr>
                <w:rFonts w:hint="eastAsia" w:ascii="Times New Roman" w:hAnsi="Times New Roman" w:eastAsia="宋体" w:cs="Times New Roman"/>
                <w:bCs/>
                <w:color w:val="auto"/>
                <w:kern w:val="2"/>
                <w:sz w:val="24"/>
                <w:szCs w:val="24"/>
                <w:lang w:val="en-US" w:eastAsia="zh-CN" w:bidi="ar-SA"/>
              </w:rPr>
              <w:t>0.078</w:t>
            </w:r>
            <w:r>
              <w:rPr>
                <w:rFonts w:hint="default" w:ascii="Times New Roman" w:hAnsi="Times New Roman" w:eastAsia="宋体" w:cs="Times New Roman"/>
                <w:bCs/>
                <w:color w:val="auto"/>
                <w:kern w:val="2"/>
                <w:sz w:val="24"/>
                <w:szCs w:val="24"/>
                <w:lang w:val="en-US" w:eastAsia="zh-CN" w:bidi="ar-SA"/>
              </w:rPr>
              <w:t>t，可产生</w:t>
            </w:r>
            <w:r>
              <w:rPr>
                <w:rFonts w:hint="eastAsia" w:ascii="Times New Roman" w:hAnsi="Times New Roman" w:eastAsia="宋体" w:cs="Times New Roman"/>
                <w:bCs/>
                <w:color w:val="auto"/>
                <w:kern w:val="2"/>
                <w:sz w:val="24"/>
                <w:szCs w:val="24"/>
                <w:lang w:val="en-US" w:eastAsia="zh-CN" w:bidi="ar-SA"/>
              </w:rPr>
              <w:t>0.242</w:t>
            </w:r>
            <w:r>
              <w:rPr>
                <w:rFonts w:hint="default" w:ascii="Times New Roman" w:hAnsi="Times New Roman" w:eastAsia="宋体" w:cs="Times New Roman"/>
                <w:bCs/>
                <w:color w:val="auto"/>
                <w:kern w:val="2"/>
                <w:sz w:val="24"/>
                <w:szCs w:val="24"/>
                <w:lang w:val="en-US" w:eastAsia="zh-CN" w:bidi="ar-SA"/>
              </w:rPr>
              <w:t>kg的NH</w:t>
            </w:r>
            <w:r>
              <w:rPr>
                <w:rFonts w:hint="default" w:ascii="Times New Roman" w:hAnsi="Times New Roman" w:eastAsia="宋体" w:cs="Times New Roman"/>
                <w:bCs/>
                <w:color w:val="auto"/>
                <w:kern w:val="2"/>
                <w:sz w:val="24"/>
                <w:szCs w:val="24"/>
                <w:vertAlign w:val="subscript"/>
                <w:lang w:val="en-US" w:eastAsia="zh-CN" w:bidi="ar-SA"/>
              </w:rPr>
              <w:t>3</w:t>
            </w:r>
            <w:r>
              <w:rPr>
                <w:rFonts w:hint="default" w:ascii="Times New Roman" w:hAnsi="Times New Roman" w:eastAsia="宋体" w:cs="Times New Roman"/>
                <w:bCs/>
                <w:color w:val="auto"/>
                <w:kern w:val="2"/>
                <w:sz w:val="24"/>
                <w:szCs w:val="24"/>
                <w:lang w:val="en-US" w:eastAsia="zh-CN" w:bidi="ar-SA"/>
              </w:rPr>
              <w:t>和</w:t>
            </w:r>
            <w:r>
              <w:rPr>
                <w:rFonts w:hint="eastAsia" w:ascii="Times New Roman" w:hAnsi="Times New Roman" w:eastAsia="宋体" w:cs="Times New Roman"/>
                <w:bCs/>
                <w:color w:val="auto"/>
                <w:kern w:val="2"/>
                <w:sz w:val="24"/>
                <w:szCs w:val="24"/>
                <w:lang w:val="en-US" w:eastAsia="zh-CN" w:bidi="ar-SA"/>
              </w:rPr>
              <w:t>0.029</w:t>
            </w:r>
            <w:r>
              <w:rPr>
                <w:rFonts w:hint="default" w:ascii="Times New Roman" w:hAnsi="Times New Roman" w:eastAsia="宋体" w:cs="Times New Roman"/>
                <w:bCs/>
                <w:color w:val="auto"/>
                <w:kern w:val="2"/>
                <w:sz w:val="24"/>
                <w:szCs w:val="24"/>
                <w:lang w:val="en-US" w:eastAsia="zh-CN" w:bidi="ar-SA"/>
              </w:rPr>
              <w:t>kg的H</w:t>
            </w:r>
            <w:r>
              <w:rPr>
                <w:rFonts w:hint="default" w:ascii="Times New Roman" w:hAnsi="Times New Roman" w:eastAsia="宋体" w:cs="Times New Roman"/>
                <w:bCs/>
                <w:color w:val="auto"/>
                <w:kern w:val="2"/>
                <w:sz w:val="24"/>
                <w:szCs w:val="24"/>
                <w:vertAlign w:val="subscript"/>
                <w:lang w:val="en-US" w:eastAsia="zh-CN" w:bidi="ar-SA"/>
              </w:rPr>
              <w:t>2</w:t>
            </w:r>
            <w:r>
              <w:rPr>
                <w:rFonts w:hint="default" w:ascii="Times New Roman" w:hAnsi="Times New Roman" w:eastAsia="宋体" w:cs="Times New Roman"/>
                <w:bCs/>
                <w:color w:val="auto"/>
                <w:kern w:val="2"/>
                <w:sz w:val="24"/>
                <w:szCs w:val="24"/>
                <w:lang w:val="en-US" w:eastAsia="zh-CN" w:bidi="ar-SA"/>
              </w:rPr>
              <w:t>S</w:t>
            </w:r>
            <w:r>
              <w:rPr>
                <w:rFonts w:hint="eastAsia" w:ascii="Times New Roman" w:hAnsi="Times New Roman" w:eastAsia="宋体" w:cs="Times New Roman"/>
                <w:bCs/>
                <w:color w:val="auto"/>
                <w:kern w:val="2"/>
                <w:sz w:val="24"/>
                <w:szCs w:val="24"/>
                <w:lang w:val="en-US" w:eastAsia="zh-CN" w:bidi="ar-SA"/>
              </w:rPr>
              <w:t>，满足《恶臭污染物排放标准》（GB14554-93）（硫化氢0.06mg/m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，氨1.5mg/m</w:t>
            </w:r>
            <w:r>
              <w:rPr>
                <w:rFonts w:hint="eastAsia" w:ascii="Times New Roman" w:hAnsi="Times New Roman" w:eastAsia="宋体" w:cs="Times New Roman"/>
                <w:bCs/>
                <w:color w:val="auto"/>
                <w:kern w:val="2"/>
                <w:sz w:val="24"/>
                <w:szCs w:val="24"/>
                <w:vertAlign w:val="superscript"/>
                <w:lang w:val="en-US" w:eastAsia="zh-CN" w:bidi="ar-SA"/>
              </w:rPr>
              <w:t>3</w:t>
            </w:r>
            <w:r>
              <w:rPr>
                <w:rFonts w:hint="eastAsia" w:ascii="Times New Roman" w:hAnsi="Times New Roman" w:eastAsia="宋体" w:cs="Times New Roman"/>
                <w:bCs/>
                <w:color w:val="auto"/>
                <w:kern w:val="2"/>
                <w:sz w:val="24"/>
                <w:szCs w:val="24"/>
                <w:lang w:val="en-US" w:eastAsia="zh-CN" w:bidi="ar-SA"/>
              </w:rPr>
              <w:t>）要求。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cs="Times New Roman"/>
                <w:color w:val="auto"/>
                <w:sz w:val="24"/>
                <w:szCs w:val="20"/>
              </w:rPr>
            </w:pPr>
            <w:r>
              <w:rPr>
                <w:rFonts w:hint="default" w:ascii="Times New Roman" w:hAnsi="Times New Roman" w:cs="Times New Roman"/>
                <w:color w:val="auto"/>
                <w:sz w:val="24"/>
              </w:rPr>
              <w:t>本项目采取排污许可规范中可行技术，同时</w:t>
            </w:r>
            <w:r>
              <w:rPr>
                <w:rFonts w:hint="default" w:ascii="Times New Roman" w:hAnsi="Times New Roman" w:cs="Times New Roman"/>
                <w:color w:val="auto"/>
                <w:sz w:val="24"/>
                <w:szCs w:val="20"/>
              </w:rPr>
              <w:t>参考《乌鲁木齐县人民医院综合病房建设项目</w:t>
            </w:r>
            <w:r>
              <w:rPr>
                <w:rFonts w:hint="eastAsia" w:ascii="Times New Roman" w:hAnsi="Times New Roman" w:cs="Times New Roman"/>
                <w:color w:val="auto"/>
                <w:sz w:val="24"/>
                <w:szCs w:val="20"/>
                <w:lang w:eastAsia="zh-CN"/>
              </w:rPr>
              <w:t>－</w:t>
            </w:r>
            <w:r>
              <w:rPr>
                <w:rFonts w:hint="default" w:ascii="Times New Roman" w:hAnsi="Times New Roman" w:cs="Times New Roman"/>
                <w:color w:val="auto"/>
                <w:sz w:val="24"/>
                <w:szCs w:val="20"/>
              </w:rPr>
              <w:t>竣工环境保护验收监测报告》中监测结果，其处理方式无组织排放浓度能够满足《医疗机构水污染物排放标准》（GB18466-2005）表3限值要求。</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中药磨粉，粉碎机自带布袋除尘器，</w:t>
            </w:r>
            <w:r>
              <w:rPr>
                <w:rFonts w:hint="eastAsia" w:ascii="Times New Roman" w:hAnsi="Times New Roman" w:eastAsia="宋体" w:cs="Times New Roman"/>
                <w:bCs/>
                <w:color w:val="auto"/>
                <w:kern w:val="2"/>
                <w:sz w:val="24"/>
                <w:szCs w:val="24"/>
                <w:lang w:val="en-US" w:eastAsia="zh-CN" w:bidi="ar-SA"/>
              </w:rPr>
              <w:t>除尘效率为99%，</w:t>
            </w:r>
            <w:r>
              <w:rPr>
                <w:rFonts w:hint="eastAsia" w:ascii="Times New Roman" w:hAnsi="Times New Roman" w:eastAsia="宋体" w:cs="Times New Roman"/>
                <w:color w:val="auto"/>
                <w:kern w:val="2"/>
                <w:sz w:val="24"/>
                <w:szCs w:val="20"/>
                <w:lang w:val="en-US" w:eastAsia="zh-CN" w:bidi="ar-SA"/>
              </w:rPr>
              <w:t>经处理可满足《大气污染物综合排放标准》</w:t>
            </w:r>
            <w:r>
              <w:rPr>
                <w:rFonts w:hint="default" w:ascii="Times New Roman" w:hAnsi="Times New Roman" w:eastAsia="宋体" w:cs="Times New Roman"/>
                <w:color w:val="auto"/>
                <w:kern w:val="2"/>
                <w:sz w:val="24"/>
                <w:szCs w:val="20"/>
                <w:lang w:val="en-US" w:eastAsia="zh-CN" w:bidi="ar-SA"/>
              </w:rPr>
              <w:t>(GB</w:t>
            </w:r>
            <w:r>
              <w:rPr>
                <w:rFonts w:hint="eastAsia" w:ascii="Times New Roman" w:hAnsi="Times New Roman" w:eastAsia="宋体" w:cs="Times New Roman"/>
                <w:color w:val="auto"/>
                <w:kern w:val="2"/>
                <w:sz w:val="24"/>
                <w:szCs w:val="20"/>
                <w:lang w:val="en-US" w:eastAsia="zh-CN" w:bidi="ar-SA"/>
              </w:rPr>
              <w:t>16297</w:t>
            </w:r>
            <w:r>
              <w:rPr>
                <w:rFonts w:hint="default"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1996）</w:t>
            </w:r>
            <w:r>
              <w:rPr>
                <w:rFonts w:hint="default" w:ascii="Times New Roman" w:hAnsi="Times New Roman" w:eastAsia="宋体" w:cs="Times New Roman"/>
                <w:color w:val="auto"/>
                <w:kern w:val="2"/>
                <w:sz w:val="24"/>
                <w:szCs w:val="20"/>
                <w:lang w:val="en-US" w:eastAsia="zh-CN" w:bidi="ar-SA"/>
              </w:rPr>
              <w:t>表</w:t>
            </w:r>
            <w:r>
              <w:rPr>
                <w:rFonts w:hint="eastAsia" w:ascii="Times New Roman" w:hAnsi="Times New Roman" w:eastAsia="宋体" w:cs="Times New Roman"/>
                <w:color w:val="auto"/>
                <w:kern w:val="2"/>
                <w:sz w:val="24"/>
                <w:szCs w:val="20"/>
                <w:lang w:val="en-US" w:eastAsia="zh-CN" w:bidi="ar-SA"/>
              </w:rPr>
              <w:t>2无组织排放限值。</w:t>
            </w:r>
          </w:p>
          <w:p>
            <w:pPr>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中药代煎采用活性炭吸附净化设施处理中药异味，利用活性炭表面吸附能力，使废气与多孔活性炭吸附剂相接触，废气中的污染物被吸附在活性炭表面上，可去除气体中所含异味，可满足《恶臭污染物排放标准》（GB14554-93）表1中二级标准。</w:t>
            </w:r>
          </w:p>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cs="Times New Roman"/>
                <w:color w:val="auto"/>
                <w:kern w:val="0"/>
                <w:sz w:val="24"/>
              </w:rPr>
            </w:pPr>
            <w:r>
              <w:rPr>
                <w:rFonts w:hint="default" w:ascii="Times New Roman" w:hAnsi="Times New Roman" w:cs="Times New Roman"/>
                <w:bCs/>
                <w:color w:val="auto"/>
                <w:sz w:val="24"/>
                <w:szCs w:val="20"/>
              </w:rPr>
              <w:t>食堂油烟采用油烟净化器，其油烟净化器为现行的可行净化装置</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eastAsia="宋体" w:cs="Times New Roman"/>
                <w:bCs/>
                <w:color w:val="auto"/>
                <w:kern w:val="2"/>
                <w:sz w:val="24"/>
                <w:szCs w:val="24"/>
                <w:lang w:val="en-US" w:eastAsia="zh-CN" w:bidi="ar-SA"/>
              </w:rPr>
              <w:t>油烟净化设施最低去除效率为75%</w:t>
            </w:r>
            <w:r>
              <w:rPr>
                <w:rFonts w:hint="eastAsia" w:ascii="Times New Roman" w:hAnsi="Times New Roman" w:eastAsia="宋体" w:cs="Times New Roman"/>
                <w:bCs/>
                <w:color w:val="auto"/>
                <w:kern w:val="2"/>
                <w:sz w:val="24"/>
                <w:szCs w:val="24"/>
                <w:lang w:val="en-US" w:eastAsia="zh-CN" w:bidi="ar-SA"/>
              </w:rPr>
              <w:t>，</w:t>
            </w:r>
            <w:r>
              <w:rPr>
                <w:rFonts w:hint="default" w:ascii="Times New Roman" w:hAnsi="Times New Roman" w:cs="Times New Roman"/>
                <w:color w:val="auto"/>
                <w:kern w:val="0"/>
                <w:sz w:val="24"/>
              </w:rPr>
              <w:t>处理能够达到《饮食业油烟排放标准》（GB18483-2001）标准。</w:t>
            </w:r>
          </w:p>
          <w:p>
            <w:pPr>
              <w:pStyle w:val="13"/>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综上所述，本项目采用的废气防治措施可行。</w:t>
            </w:r>
          </w:p>
          <w:p>
            <w:pPr>
              <w:widowControl/>
              <w:numPr>
                <w:ilvl w:val="0"/>
                <w:numId w:val="5"/>
              </w:numPr>
              <w:adjustRightInd w:val="0"/>
              <w:snapToGrid w:val="0"/>
              <w:spacing w:line="360" w:lineRule="auto"/>
              <w:ind w:left="0" w:firstLine="0"/>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水环境影响分析和保护措施</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2.1废水源强核算</w:t>
            </w:r>
          </w:p>
          <w:p>
            <w:pPr>
              <w:autoSpaceDE w:val="0"/>
              <w:autoSpaceDN w:val="0"/>
              <w:adjustRightInd w:val="0"/>
              <w:spacing w:line="360" w:lineRule="auto"/>
              <w:ind w:firstLine="480" w:firstLineChars="200"/>
              <w:jc w:val="both"/>
              <w:rPr>
                <w:rFonts w:hint="default"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本项目排水主要为医疗废水、生活污水</w:t>
            </w:r>
            <w:r>
              <w:rPr>
                <w:rFonts w:hint="eastAsia" w:cs="Times New Roman"/>
                <w:color w:val="auto"/>
                <w:kern w:val="2"/>
                <w:sz w:val="24"/>
                <w:szCs w:val="20"/>
                <w:lang w:val="en-US" w:eastAsia="zh-CN" w:bidi="ar-SA"/>
              </w:rPr>
              <w:t>、煎药废水及</w:t>
            </w:r>
            <w:r>
              <w:rPr>
                <w:rFonts w:hint="eastAsia" w:ascii="Times New Roman" w:hAnsi="Times New Roman" w:eastAsia="宋体" w:cs="Times New Roman"/>
                <w:color w:val="auto"/>
                <w:kern w:val="2"/>
                <w:sz w:val="24"/>
                <w:szCs w:val="20"/>
                <w:lang w:val="en-US" w:eastAsia="zh-CN" w:bidi="ar-SA"/>
              </w:rPr>
              <w:t>清洗废水</w:t>
            </w:r>
            <w:r>
              <w:rPr>
                <w:rFonts w:hint="eastAsia" w:cs="Times New Roman"/>
                <w:color w:val="auto"/>
                <w:kern w:val="2"/>
                <w:sz w:val="24"/>
                <w:szCs w:val="20"/>
                <w:lang w:val="en-US" w:eastAsia="zh-CN" w:bidi="ar-SA"/>
              </w:rPr>
              <w:t>。</w:t>
            </w:r>
          </w:p>
          <w:p>
            <w:pPr>
              <w:keepNext w:val="0"/>
              <w:keepLines w:val="0"/>
              <w:pageBreakBefore w:val="0"/>
              <w:widowControl/>
              <w:numPr>
                <w:ilvl w:val="0"/>
                <w:numId w:val="8"/>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color w:val="auto"/>
                <w:sz w:val="24"/>
                <w:szCs w:val="24"/>
                <w:highlight w:val="none"/>
              </w:rPr>
            </w:pPr>
            <w:r>
              <w:rPr>
                <w:rFonts w:hint="eastAsia" w:ascii="Times New Roman" w:hAnsi="Times New Roman" w:eastAsia="宋体" w:cs="Times New Roman"/>
                <w:color w:val="auto"/>
                <w:kern w:val="2"/>
                <w:sz w:val="24"/>
                <w:szCs w:val="20"/>
                <w:lang w:val="en-US" w:eastAsia="zh-CN" w:bidi="ar-SA"/>
              </w:rPr>
              <w:t>医疗废水产生量按用水量的80%计，产生量为</w:t>
            </w:r>
            <w:r>
              <w:rPr>
                <w:rFonts w:hint="eastAsia" w:cs="Times New Roman"/>
                <w:color w:val="auto"/>
                <w:kern w:val="2"/>
                <w:sz w:val="24"/>
                <w:szCs w:val="20"/>
                <w:lang w:val="en-US" w:eastAsia="zh-CN" w:bidi="ar-SA"/>
              </w:rPr>
              <w:t>11.252</w:t>
            </w:r>
            <w:r>
              <w:rPr>
                <w:rFonts w:hint="eastAsia" w:ascii="Times New Roman" w:hAnsi="Times New Roman" w:eastAsia="宋体" w:cs="Times New Roman"/>
                <w:color w:val="auto"/>
                <w:kern w:val="2"/>
                <w:sz w:val="24"/>
                <w:szCs w:val="20"/>
                <w:lang w:val="en-US" w:eastAsia="zh-CN" w:bidi="ar-SA"/>
              </w:rPr>
              <w:t>m</w:t>
            </w:r>
            <w:r>
              <w:rPr>
                <w:rFonts w:hint="eastAsia" w:ascii="Times New Roman" w:hAnsi="Times New Roman" w:eastAsia="宋体" w:cs="Times New Roman"/>
                <w:color w:val="auto"/>
                <w:kern w:val="2"/>
                <w:sz w:val="24"/>
                <w:szCs w:val="20"/>
                <w:vertAlign w:val="superscript"/>
                <w:lang w:val="en-US" w:eastAsia="zh-CN" w:bidi="ar-SA"/>
              </w:rPr>
              <w:t>3</w:t>
            </w:r>
            <w:r>
              <w:rPr>
                <w:rFonts w:hint="eastAsia" w:ascii="Times New Roman" w:hAnsi="Times New Roman" w:eastAsia="宋体" w:cs="Times New Roman"/>
                <w:color w:val="auto"/>
                <w:kern w:val="2"/>
                <w:sz w:val="24"/>
                <w:szCs w:val="20"/>
                <w:lang w:val="en-US" w:eastAsia="zh-CN" w:bidi="ar-SA"/>
              </w:rPr>
              <w:t>/d（</w:t>
            </w:r>
            <w:r>
              <w:rPr>
                <w:rFonts w:hint="eastAsia" w:cs="Times New Roman"/>
                <w:color w:val="auto"/>
                <w:kern w:val="2"/>
                <w:sz w:val="24"/>
                <w:szCs w:val="20"/>
                <w:lang w:val="en-US" w:eastAsia="zh-CN" w:bidi="ar-SA"/>
              </w:rPr>
              <w:t>4106.98</w:t>
            </w:r>
            <w:r>
              <w:rPr>
                <w:rFonts w:hint="eastAsia" w:ascii="Times New Roman" w:hAnsi="Times New Roman" w:eastAsia="宋体" w:cs="Times New Roman"/>
                <w:color w:val="auto"/>
                <w:kern w:val="2"/>
                <w:sz w:val="24"/>
                <w:szCs w:val="20"/>
                <w:lang w:val="en-US" w:eastAsia="zh-CN" w:bidi="ar-SA"/>
              </w:rPr>
              <w:t>m</w:t>
            </w:r>
            <w:r>
              <w:rPr>
                <w:rFonts w:hint="eastAsia" w:ascii="Times New Roman" w:hAnsi="Times New Roman" w:eastAsia="宋体" w:cs="Times New Roman"/>
                <w:color w:val="auto"/>
                <w:kern w:val="2"/>
                <w:sz w:val="24"/>
                <w:szCs w:val="20"/>
                <w:vertAlign w:val="superscript"/>
                <w:lang w:val="en-US" w:eastAsia="zh-CN" w:bidi="ar-SA"/>
              </w:rPr>
              <w:t>3</w:t>
            </w:r>
            <w:r>
              <w:rPr>
                <w:rFonts w:hint="eastAsia" w:ascii="Times New Roman" w:hAnsi="Times New Roman" w:eastAsia="宋体" w:cs="Times New Roman"/>
                <w:color w:val="auto"/>
                <w:kern w:val="2"/>
                <w:sz w:val="24"/>
                <w:szCs w:val="20"/>
                <w:lang w:val="en-US" w:eastAsia="zh-CN" w:bidi="ar-SA"/>
              </w:rPr>
              <w:t>/a）。医疗废水的主要污染物及</w:t>
            </w:r>
            <w:r>
              <w:rPr>
                <w:rFonts w:hint="eastAsia" w:cs="Times New Roman"/>
                <w:color w:val="auto"/>
                <w:kern w:val="2"/>
                <w:sz w:val="24"/>
                <w:szCs w:val="20"/>
                <w:lang w:val="en-US" w:eastAsia="zh-CN" w:bidi="ar-SA"/>
              </w:rPr>
              <w:t>产生浓度</w:t>
            </w:r>
            <w:r>
              <w:rPr>
                <w:rFonts w:hint="eastAsia" w:ascii="Times New Roman" w:hAnsi="Times New Roman" w:eastAsia="宋体" w:cs="Times New Roman"/>
                <w:color w:val="auto"/>
                <w:kern w:val="2"/>
                <w:sz w:val="24"/>
                <w:szCs w:val="20"/>
                <w:lang w:val="en-US" w:eastAsia="zh-CN" w:bidi="ar-SA"/>
              </w:rPr>
              <w:t>为</w:t>
            </w:r>
            <w:r>
              <w:rPr>
                <w:rFonts w:hint="default" w:ascii="Times New Roman" w:hAnsi="Times New Roman" w:eastAsia="宋体" w:cs="Times New Roman"/>
                <w:color w:val="auto"/>
                <w:kern w:val="2"/>
                <w:sz w:val="24"/>
                <w:szCs w:val="20"/>
                <w:lang w:val="en-US" w:eastAsia="zh-CN" w:bidi="ar-SA"/>
              </w:rPr>
              <w:t>COD</w:t>
            </w:r>
            <w:r>
              <w:rPr>
                <w:rFonts w:hint="eastAsia" w:ascii="Times New Roman" w:hAnsi="Times New Roman" w:eastAsia="宋体" w:cs="Times New Roman"/>
                <w:color w:val="auto"/>
                <w:kern w:val="2"/>
                <w:sz w:val="24"/>
                <w:szCs w:val="20"/>
                <w:lang w:val="en-US" w:eastAsia="zh-CN" w:bidi="ar-SA"/>
              </w:rPr>
              <w:t>2</w:t>
            </w:r>
            <w:r>
              <w:rPr>
                <w:rFonts w:hint="default" w:ascii="Times New Roman" w:hAnsi="Times New Roman" w:eastAsia="宋体" w:cs="Times New Roman"/>
                <w:color w:val="auto"/>
                <w:kern w:val="2"/>
                <w:sz w:val="24"/>
                <w:szCs w:val="20"/>
                <w:lang w:val="en-US" w:eastAsia="zh-CN" w:bidi="ar-SA"/>
              </w:rPr>
              <w:t>50mg/L、BOD</w:t>
            </w:r>
            <w:r>
              <w:rPr>
                <w:rFonts w:hint="eastAsia" w:ascii="Times New Roman" w:hAnsi="Times New Roman" w:eastAsia="宋体" w:cs="Times New Roman"/>
                <w:color w:val="auto"/>
                <w:kern w:val="2"/>
                <w:sz w:val="24"/>
                <w:szCs w:val="20"/>
                <w:lang w:val="en-US" w:eastAsia="zh-CN" w:bidi="ar-SA"/>
              </w:rPr>
              <w:t>1</w:t>
            </w:r>
            <w:r>
              <w:rPr>
                <w:rFonts w:hint="default" w:ascii="Times New Roman" w:hAnsi="Times New Roman" w:eastAsia="宋体" w:cs="Times New Roman"/>
                <w:color w:val="auto"/>
                <w:kern w:val="2"/>
                <w:sz w:val="24"/>
                <w:szCs w:val="20"/>
                <w:lang w:val="en-US" w:eastAsia="zh-CN" w:bidi="ar-SA"/>
              </w:rPr>
              <w:t>00mg/L、</w:t>
            </w:r>
            <w:r>
              <w:rPr>
                <w:rFonts w:hint="eastAsia" w:ascii="Times New Roman" w:hAnsi="Times New Roman" w:eastAsia="宋体" w:cs="Times New Roman"/>
                <w:color w:val="auto"/>
                <w:kern w:val="2"/>
                <w:sz w:val="24"/>
                <w:szCs w:val="20"/>
                <w:lang w:val="en-US" w:eastAsia="zh-CN" w:bidi="ar-SA"/>
              </w:rPr>
              <w:t>氨氮3</w:t>
            </w:r>
            <w:r>
              <w:rPr>
                <w:rFonts w:hint="default" w:ascii="Times New Roman" w:hAnsi="Times New Roman" w:eastAsia="宋体" w:cs="Times New Roman"/>
                <w:color w:val="auto"/>
                <w:kern w:val="2"/>
                <w:sz w:val="24"/>
                <w:szCs w:val="20"/>
                <w:lang w:val="en-US" w:eastAsia="zh-CN" w:bidi="ar-SA"/>
              </w:rPr>
              <w:t>0mg/L</w:t>
            </w:r>
            <w:r>
              <w:rPr>
                <w:rFonts w:hint="eastAsia" w:ascii="Times New Roman" w:hAnsi="Times New Roman" w:eastAsia="宋体" w:cs="Times New Roman"/>
                <w:color w:val="auto"/>
                <w:kern w:val="2"/>
                <w:sz w:val="24"/>
                <w:szCs w:val="20"/>
                <w:lang w:val="en-US" w:eastAsia="zh-CN" w:bidi="ar-SA"/>
              </w:rPr>
              <w:t>、SS60</w:t>
            </w:r>
            <w:r>
              <w:rPr>
                <w:rFonts w:hint="default" w:ascii="Times New Roman" w:hAnsi="Times New Roman" w:eastAsia="宋体" w:cs="Times New Roman"/>
                <w:color w:val="auto"/>
                <w:kern w:val="2"/>
                <w:sz w:val="24"/>
                <w:szCs w:val="20"/>
                <w:lang w:val="en-US" w:eastAsia="zh-CN" w:bidi="ar-SA"/>
              </w:rPr>
              <w:t>mg/L</w:t>
            </w:r>
            <w:r>
              <w:rPr>
                <w:rFonts w:hint="eastAsia" w:ascii="Times New Roman" w:hAnsi="Times New Roman" w:eastAsia="宋体" w:cs="Times New Roman"/>
                <w:color w:val="auto"/>
                <w:kern w:val="2"/>
                <w:sz w:val="24"/>
                <w:szCs w:val="20"/>
                <w:lang w:val="en-US" w:eastAsia="zh-CN" w:bidi="ar-SA"/>
              </w:rPr>
              <w:t>、粪大肠菌群 1.6×108个/L、总磷10</w:t>
            </w:r>
            <w:r>
              <w:rPr>
                <w:rFonts w:hint="default" w:ascii="Times New Roman" w:hAnsi="Times New Roman" w:eastAsia="宋体" w:cs="Times New Roman"/>
                <w:color w:val="auto"/>
                <w:kern w:val="2"/>
                <w:sz w:val="24"/>
                <w:szCs w:val="20"/>
                <w:lang w:val="en-US" w:eastAsia="zh-CN" w:bidi="ar-SA"/>
              </w:rPr>
              <w:t>mg/L</w:t>
            </w:r>
            <w:r>
              <w:rPr>
                <w:rFonts w:hint="eastAsia" w:ascii="Times New Roman" w:hAnsi="Times New Roman" w:eastAsia="宋体" w:cs="Times New Roman"/>
                <w:color w:val="auto"/>
                <w:kern w:val="2"/>
                <w:sz w:val="24"/>
                <w:szCs w:val="20"/>
                <w:lang w:val="en-US" w:eastAsia="zh-CN" w:bidi="ar-SA"/>
              </w:rPr>
              <w:t>、动植物油20</w:t>
            </w:r>
            <w:r>
              <w:rPr>
                <w:rFonts w:hint="default" w:ascii="Times New Roman" w:hAnsi="Times New Roman" w:eastAsia="宋体" w:cs="Times New Roman"/>
                <w:color w:val="auto"/>
                <w:kern w:val="2"/>
                <w:sz w:val="24"/>
                <w:szCs w:val="20"/>
                <w:lang w:val="en-US" w:eastAsia="zh-CN" w:bidi="ar-SA"/>
              </w:rPr>
              <w:t>mg/L。</w:t>
            </w:r>
            <w:r>
              <w:rPr>
                <w:rFonts w:hint="eastAsia" w:ascii="Times New Roman" w:hAnsi="Times New Roman" w:eastAsia="宋体" w:cs="Times New Roman"/>
                <w:color w:val="auto"/>
                <w:kern w:val="2"/>
                <w:sz w:val="24"/>
                <w:szCs w:val="20"/>
                <w:lang w:val="en-US" w:eastAsia="zh-CN" w:bidi="ar-SA"/>
              </w:rPr>
              <w:t>主要污染物排放浓度为</w:t>
            </w:r>
            <w:r>
              <w:rPr>
                <w:rFonts w:hint="default" w:ascii="Times New Roman" w:hAnsi="Times New Roman" w:eastAsia="宋体" w:cs="Times New Roman"/>
                <w:color w:val="auto"/>
                <w:kern w:val="2"/>
                <w:sz w:val="24"/>
                <w:szCs w:val="20"/>
                <w:lang w:val="en-US" w:eastAsia="zh-CN" w:bidi="ar-SA"/>
              </w:rPr>
              <w:t>COD</w:t>
            </w:r>
            <w:r>
              <w:rPr>
                <w:rFonts w:hint="eastAsia" w:ascii="Times New Roman" w:hAnsi="Times New Roman" w:eastAsia="宋体" w:cs="Times New Roman"/>
                <w:color w:val="auto"/>
                <w:kern w:val="2"/>
                <w:sz w:val="24"/>
                <w:szCs w:val="20"/>
                <w:lang w:val="en-US" w:eastAsia="zh-CN" w:bidi="ar-SA"/>
              </w:rPr>
              <w:t>100</w:t>
            </w:r>
            <w:r>
              <w:rPr>
                <w:rFonts w:hint="default" w:ascii="Times New Roman" w:hAnsi="Times New Roman" w:eastAsia="宋体" w:cs="Times New Roman"/>
                <w:color w:val="auto"/>
                <w:kern w:val="2"/>
                <w:sz w:val="24"/>
                <w:szCs w:val="20"/>
                <w:lang w:val="en-US" w:eastAsia="zh-CN" w:bidi="ar-SA"/>
              </w:rPr>
              <w:t>mg/L、BOD</w:t>
            </w:r>
            <w:r>
              <w:rPr>
                <w:rFonts w:hint="eastAsia" w:ascii="Times New Roman" w:hAnsi="Times New Roman" w:eastAsia="宋体" w:cs="Times New Roman"/>
                <w:color w:val="auto"/>
                <w:kern w:val="2"/>
                <w:sz w:val="24"/>
                <w:szCs w:val="20"/>
                <w:lang w:val="en-US" w:eastAsia="zh-CN" w:bidi="ar-SA"/>
              </w:rPr>
              <w:t>32</w:t>
            </w:r>
            <w:r>
              <w:rPr>
                <w:rFonts w:hint="default" w:ascii="Times New Roman" w:hAnsi="Times New Roman" w:eastAsia="宋体" w:cs="Times New Roman"/>
                <w:color w:val="auto"/>
                <w:kern w:val="2"/>
                <w:sz w:val="24"/>
                <w:szCs w:val="20"/>
                <w:lang w:val="en-US" w:eastAsia="zh-CN" w:bidi="ar-SA"/>
              </w:rPr>
              <w:t>mg/L、</w:t>
            </w:r>
            <w:r>
              <w:rPr>
                <w:rFonts w:hint="eastAsia" w:cs="Times New Roman"/>
                <w:color w:val="auto"/>
                <w:kern w:val="2"/>
                <w:sz w:val="24"/>
                <w:szCs w:val="22"/>
                <w:vertAlign w:val="baseline"/>
                <w:lang w:val="en-US" w:eastAsia="zh-CN" w:bidi="ar-SA"/>
              </w:rPr>
              <w:t>氨氮17.5</w:t>
            </w:r>
            <w:r>
              <w:rPr>
                <w:rFonts w:hint="default" w:ascii="Times New Roman" w:hAnsi="Times New Roman" w:cs="Times New Roman"/>
                <w:color w:val="auto"/>
                <w:kern w:val="2"/>
                <w:sz w:val="24"/>
                <w:szCs w:val="22"/>
                <w:vertAlign w:val="baseline"/>
                <w:lang w:val="en-US" w:eastAsia="zh-CN" w:bidi="ar-SA"/>
              </w:rPr>
              <w:t>mg/L</w:t>
            </w:r>
            <w:r>
              <w:rPr>
                <w:rFonts w:hint="eastAsia" w:cs="Times New Roman"/>
                <w:color w:val="auto"/>
                <w:kern w:val="2"/>
                <w:sz w:val="24"/>
                <w:szCs w:val="22"/>
                <w:vertAlign w:val="baseline"/>
                <w:lang w:val="en-US" w:eastAsia="zh-CN" w:bidi="ar-SA"/>
              </w:rPr>
              <w:t>、SS12</w:t>
            </w:r>
            <w:r>
              <w:rPr>
                <w:rFonts w:hint="default" w:ascii="Times New Roman" w:hAnsi="Times New Roman" w:cs="Times New Roman"/>
                <w:color w:val="auto"/>
                <w:kern w:val="2"/>
                <w:sz w:val="24"/>
                <w:szCs w:val="22"/>
                <w:vertAlign w:val="baseline"/>
                <w:lang w:val="en-US" w:eastAsia="zh-CN" w:bidi="ar-SA"/>
              </w:rPr>
              <w:t>mg/L</w:t>
            </w:r>
            <w:r>
              <w:rPr>
                <w:rFonts w:hint="eastAsia" w:cs="Times New Roman"/>
                <w:color w:val="auto"/>
                <w:kern w:val="2"/>
                <w:sz w:val="24"/>
                <w:szCs w:val="22"/>
                <w:vertAlign w:val="baseline"/>
                <w:lang w:val="en-US" w:eastAsia="zh-CN" w:bidi="ar-SA"/>
              </w:rPr>
              <w:t>、粪大肠菌群 500个/L、总磷6</w:t>
            </w:r>
            <w:r>
              <w:rPr>
                <w:rFonts w:hint="default" w:ascii="Times New Roman" w:hAnsi="Times New Roman" w:cs="Times New Roman"/>
                <w:color w:val="auto"/>
                <w:kern w:val="2"/>
                <w:sz w:val="24"/>
                <w:szCs w:val="22"/>
                <w:vertAlign w:val="baseline"/>
                <w:lang w:val="en-US" w:eastAsia="zh-CN" w:bidi="ar-SA"/>
              </w:rPr>
              <w:t>mg/L</w:t>
            </w:r>
            <w:r>
              <w:rPr>
                <w:rFonts w:hint="eastAsia" w:cs="Times New Roman"/>
                <w:color w:val="auto"/>
                <w:kern w:val="2"/>
                <w:sz w:val="24"/>
                <w:szCs w:val="22"/>
                <w:vertAlign w:val="baseline"/>
                <w:lang w:val="en-US" w:eastAsia="zh-CN" w:bidi="ar-SA"/>
              </w:rPr>
              <w:t>、动植物油20</w:t>
            </w:r>
            <w:r>
              <w:rPr>
                <w:rFonts w:hint="default" w:ascii="Times New Roman" w:hAnsi="Times New Roman" w:cs="Times New Roman"/>
                <w:color w:val="auto"/>
                <w:kern w:val="2"/>
                <w:sz w:val="24"/>
                <w:szCs w:val="22"/>
                <w:vertAlign w:val="baseline"/>
                <w:lang w:val="en-US" w:eastAsia="zh-CN" w:bidi="ar-SA"/>
              </w:rPr>
              <w:t>mg/L。</w:t>
            </w:r>
            <w:r>
              <w:rPr>
                <w:rFonts w:hint="eastAsia" w:cs="Times New Roman"/>
                <w:sz w:val="24"/>
                <w:lang w:val="en-US" w:eastAsia="zh-CN"/>
              </w:rPr>
              <w:t>污水经医院污水处理站处理满足《医疗机构水污染物排放标准》（GB18466-2005）表2预处理排放标准限值后排入市政管网（</w:t>
            </w:r>
            <w:r>
              <w:rPr>
                <w:rFonts w:hint="eastAsia" w:ascii="Times New Roman" w:hAnsi="Times New Roman" w:eastAsia="宋体" w:cs="Times New Roman"/>
                <w:color w:val="auto"/>
                <w:kern w:val="2"/>
                <w:sz w:val="24"/>
                <w:szCs w:val="20"/>
                <w:lang w:val="en-US" w:eastAsia="zh-CN" w:bidi="ar-SA"/>
              </w:rPr>
              <w:t>主要污染物处理效率为</w:t>
            </w:r>
            <w:r>
              <w:rPr>
                <w:rFonts w:hint="default" w:ascii="Times New Roman" w:hAnsi="Times New Roman" w:eastAsia="宋体" w:cs="Times New Roman"/>
                <w:color w:val="auto"/>
                <w:kern w:val="2"/>
                <w:sz w:val="24"/>
                <w:szCs w:val="20"/>
                <w:lang w:val="en-US" w:eastAsia="zh-CN" w:bidi="ar-SA"/>
              </w:rPr>
              <w:t>COD</w:t>
            </w:r>
            <w:r>
              <w:rPr>
                <w:rFonts w:hint="eastAsia" w:ascii="Times New Roman" w:hAnsi="Times New Roman" w:eastAsia="宋体" w:cs="Times New Roman"/>
                <w:color w:val="auto"/>
                <w:kern w:val="2"/>
                <w:sz w:val="24"/>
                <w:szCs w:val="20"/>
                <w:lang w:val="en-US" w:eastAsia="zh-CN" w:bidi="ar-SA"/>
              </w:rPr>
              <w:t>60%</w:t>
            </w:r>
            <w:r>
              <w:rPr>
                <w:rFonts w:hint="default" w:ascii="Times New Roman" w:hAnsi="Times New Roman" w:eastAsia="宋体" w:cs="Times New Roman"/>
                <w:color w:val="auto"/>
                <w:kern w:val="2"/>
                <w:sz w:val="24"/>
                <w:szCs w:val="20"/>
                <w:lang w:val="en-US" w:eastAsia="zh-CN" w:bidi="ar-SA"/>
              </w:rPr>
              <w:t>、BOD</w:t>
            </w:r>
            <w:r>
              <w:rPr>
                <w:rFonts w:hint="eastAsia" w:ascii="Times New Roman" w:hAnsi="Times New Roman" w:eastAsia="宋体" w:cs="Times New Roman"/>
                <w:color w:val="auto"/>
                <w:kern w:val="2"/>
                <w:sz w:val="24"/>
                <w:szCs w:val="20"/>
                <w:lang w:val="en-US" w:eastAsia="zh-CN" w:bidi="ar-SA"/>
              </w:rPr>
              <w:t>68%</w:t>
            </w:r>
            <w:r>
              <w:rPr>
                <w:rFonts w:hint="default" w:ascii="Times New Roman" w:hAnsi="Times New Roman" w:eastAsia="宋体" w:cs="Times New Roman"/>
                <w:color w:val="auto"/>
                <w:kern w:val="2"/>
                <w:sz w:val="24"/>
                <w:szCs w:val="20"/>
                <w:lang w:val="en-US" w:eastAsia="zh-CN" w:bidi="ar-SA"/>
              </w:rPr>
              <w:t>、</w:t>
            </w:r>
            <w:r>
              <w:rPr>
                <w:rFonts w:hint="eastAsia" w:ascii="Times New Roman" w:hAnsi="Times New Roman" w:eastAsia="宋体" w:cs="Times New Roman"/>
                <w:color w:val="auto"/>
                <w:kern w:val="2"/>
                <w:sz w:val="24"/>
                <w:szCs w:val="20"/>
                <w:lang w:val="en-US" w:eastAsia="zh-CN" w:bidi="ar-SA"/>
              </w:rPr>
              <w:t>氨氮50%、SS80%、总磷40%</w:t>
            </w:r>
            <w:r>
              <w:rPr>
                <w:rFonts w:hint="eastAsia" w:cs="Times New Roman"/>
                <w:sz w:val="24"/>
                <w:lang w:val="en-US" w:eastAsia="zh-CN"/>
              </w:rPr>
              <w:t xml:space="preserve">）。医疗废水的产排情况见下表：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w:t>
            </w:r>
            <w:r>
              <w:rPr>
                <w:rFonts w:hint="eastAsia" w:cs="Times New Roman"/>
                <w:b/>
                <w:color w:val="auto"/>
                <w:sz w:val="24"/>
                <w:szCs w:val="24"/>
                <w:highlight w:val="none"/>
                <w:lang w:val="en-US" w:eastAsia="zh-CN"/>
              </w:rPr>
              <w:t>4</w:t>
            </w:r>
            <w:r>
              <w:rPr>
                <w:rFonts w:hint="eastAsia" w:ascii="Times New Roman" w:hAnsi="Times New Roman" w:eastAsia="宋体" w:cs="Times New Roman"/>
                <w:b/>
                <w:color w:val="auto"/>
                <w:sz w:val="24"/>
                <w:szCs w:val="24"/>
                <w:highlight w:val="none"/>
                <w:lang w:val="en-US" w:eastAsia="zh-CN"/>
              </w:rPr>
              <w:t xml:space="preserve">   </w:t>
            </w:r>
            <w:r>
              <w:rPr>
                <w:rFonts w:hint="eastAsia" w:cs="Times New Roman"/>
                <w:b/>
                <w:color w:val="auto"/>
                <w:sz w:val="24"/>
                <w:szCs w:val="24"/>
                <w:highlight w:val="none"/>
                <w:lang w:val="en-US" w:eastAsia="zh-CN"/>
              </w:rPr>
              <w:t>医疗废水</w:t>
            </w:r>
            <w:r>
              <w:rPr>
                <w:rFonts w:hint="default" w:ascii="Times New Roman" w:hAnsi="Times New Roman" w:eastAsia="宋体" w:cs="Times New Roman"/>
                <w:b/>
                <w:color w:val="auto"/>
                <w:sz w:val="24"/>
                <w:szCs w:val="24"/>
                <w:highlight w:val="none"/>
              </w:rPr>
              <w:t>产排放情况表</w:t>
            </w:r>
          </w:p>
          <w:tbl>
            <w:tblPr>
              <w:tblStyle w:val="27"/>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6"/>
              <w:gridCol w:w="1099"/>
              <w:gridCol w:w="843"/>
              <w:gridCol w:w="845"/>
              <w:gridCol w:w="845"/>
              <w:gridCol w:w="848"/>
              <w:gridCol w:w="1090"/>
              <w:gridCol w:w="848"/>
              <w:gridCol w:w="8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jc w:val="center"/>
              </w:trPr>
              <w:tc>
                <w:tcPr>
                  <w:tcW w:w="1206" w:type="dxa"/>
                  <w:vMerge w:val="restart"/>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eastAsia" w:ascii="Times New Roman" w:hAnsi="Times New Roman" w:eastAsia="宋体" w:cs="Times New Roman"/>
                      <w:color w:val="auto"/>
                      <w:kern w:val="0"/>
                      <w:szCs w:val="21"/>
                      <w:highlight w:val="none"/>
                      <w:lang w:val="en-US" w:eastAsia="zh-CN" w:bidi="en-US"/>
                    </w:rPr>
                    <w:t>医疗</w:t>
                  </w:r>
                  <w:r>
                    <w:rPr>
                      <w:rFonts w:hint="default" w:ascii="Times New Roman" w:hAnsi="Times New Roman" w:eastAsia="宋体" w:cs="Times New Roman"/>
                      <w:color w:val="auto"/>
                      <w:kern w:val="0"/>
                      <w:szCs w:val="21"/>
                      <w:highlight w:val="none"/>
                      <w:lang w:bidi="en-US"/>
                    </w:rPr>
                    <w:t>废水</w:t>
                  </w:r>
                  <w:r>
                    <w:rPr>
                      <w:rFonts w:hint="default" w:ascii="Times New Roman" w:hAnsi="Times New Roman" w:eastAsia="宋体" w:cs="Times New Roman"/>
                      <w:color w:val="auto"/>
                      <w:kern w:val="0"/>
                      <w:szCs w:val="21"/>
                      <w:highlight w:val="none"/>
                      <w:lang w:bidi="en-US"/>
                    </w:rPr>
                    <w:br w:type="textWrapping"/>
                  </w:r>
                </w:p>
                <w:p>
                  <w:pPr>
                    <w:widowControl/>
                    <w:jc w:val="center"/>
                    <w:rPr>
                      <w:rFonts w:hint="default" w:ascii="Times New Roman" w:hAnsi="Times New Roman" w:eastAsia="宋体" w:cs="Times New Roman"/>
                      <w:color w:val="auto"/>
                      <w:kern w:val="0"/>
                      <w:szCs w:val="21"/>
                      <w:highlight w:val="none"/>
                      <w:lang w:val="en-US" w:bidi="en-US"/>
                    </w:rPr>
                  </w:pPr>
                  <w:r>
                    <w:rPr>
                      <w:rFonts w:hint="eastAsia" w:ascii="Times New Roman" w:hAnsi="Times New Roman" w:eastAsia="宋体" w:cs="Times New Roman"/>
                      <w:color w:val="auto"/>
                      <w:kern w:val="0"/>
                      <w:szCs w:val="21"/>
                      <w:highlight w:val="none"/>
                      <w:lang w:val="en-US" w:eastAsia="zh-CN" w:bidi="en-US"/>
                    </w:rPr>
                    <w:t>4106.98</w:t>
                  </w:r>
                </w:p>
              </w:tc>
              <w:tc>
                <w:tcPr>
                  <w:tcW w:w="1099"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843"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COD</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BOD</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氨氮</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SS</w:t>
                  </w:r>
                </w:p>
              </w:tc>
              <w:tc>
                <w:tcPr>
                  <w:tcW w:w="109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粪大肠菌群</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总磷</w:t>
                  </w:r>
                </w:p>
              </w:tc>
              <w:tc>
                <w:tcPr>
                  <w:tcW w:w="841" w:type="dxa"/>
                  <w:noWrap w:val="0"/>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动植物油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jc w:val="center"/>
              </w:trPr>
              <w:tc>
                <w:tcPr>
                  <w:tcW w:w="1206" w:type="dxa"/>
                  <w:vMerge w:val="continue"/>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099"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产生浓度（mg/L）</w:t>
                  </w:r>
                </w:p>
              </w:tc>
              <w:tc>
                <w:tcPr>
                  <w:tcW w:w="843"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250</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1</w:t>
                  </w:r>
                  <w:r>
                    <w:rPr>
                      <w:rFonts w:hint="eastAsia" w:ascii="Times New Roman" w:hAnsi="Times New Roman" w:eastAsia="宋体" w:cs="Times New Roman"/>
                      <w:color w:val="auto"/>
                      <w:kern w:val="0"/>
                      <w:szCs w:val="21"/>
                      <w:highlight w:val="none"/>
                      <w:lang w:val="en-US" w:eastAsia="zh-CN" w:bidi="en-US"/>
                    </w:rPr>
                    <w:t>00</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35</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60</w:t>
                  </w:r>
                </w:p>
              </w:tc>
              <w:tc>
                <w:tcPr>
                  <w:tcW w:w="109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1.6×10</w:t>
                  </w:r>
                  <w:r>
                    <w:rPr>
                      <w:rFonts w:hint="default" w:ascii="Times New Roman" w:hAnsi="Times New Roman" w:eastAsia="宋体" w:cs="Times New Roman"/>
                      <w:color w:val="auto"/>
                      <w:kern w:val="0"/>
                      <w:szCs w:val="21"/>
                      <w:highlight w:val="none"/>
                      <w:vertAlign w:val="superscript"/>
                      <w:lang w:bidi="en-US"/>
                    </w:rPr>
                    <w:t>8</w:t>
                  </w:r>
                  <w:r>
                    <w:rPr>
                      <w:rFonts w:hint="default" w:ascii="Times New Roman" w:hAnsi="Times New Roman" w:eastAsia="宋体" w:cs="Times New Roman"/>
                      <w:color w:val="auto"/>
                      <w:kern w:val="0"/>
                      <w:szCs w:val="21"/>
                      <w:highlight w:val="none"/>
                      <w:lang w:bidi="en-US"/>
                    </w:rPr>
                    <w:t>个/L</w:t>
                  </w:r>
                </w:p>
              </w:tc>
              <w:tc>
                <w:tcPr>
                  <w:tcW w:w="848" w:type="dxa"/>
                  <w:noWrap w:val="0"/>
                  <w:tcMar>
                    <w:top w:w="15" w:type="dxa"/>
                    <w:left w:w="15" w:type="dxa"/>
                    <w:right w:w="15" w:type="dxa"/>
                  </w:tcMar>
                  <w:vAlign w:val="center"/>
                </w:tcPr>
                <w:p>
                  <w:pPr>
                    <w:widowControl/>
                    <w:jc w:val="center"/>
                    <w:rPr>
                      <w:rFonts w:hint="eastAsia" w:ascii="Times New Roman" w:hAnsi="Times New Roman" w:eastAsia="宋体" w:cs="Times New Roman"/>
                      <w:color w:val="auto"/>
                      <w:kern w:val="0"/>
                      <w:szCs w:val="21"/>
                      <w:highlight w:val="none"/>
                      <w:lang w:eastAsia="zh-CN" w:bidi="en-US"/>
                    </w:rPr>
                  </w:pPr>
                  <w:r>
                    <w:rPr>
                      <w:rFonts w:hint="default" w:ascii="Times New Roman" w:hAnsi="Times New Roman" w:eastAsia="宋体" w:cs="Times New Roman"/>
                      <w:color w:val="auto"/>
                      <w:kern w:val="0"/>
                      <w:szCs w:val="21"/>
                      <w:highlight w:val="none"/>
                      <w:lang w:bidi="en-US"/>
                    </w:rPr>
                    <w:t>10.00</w:t>
                  </w:r>
                </w:p>
              </w:tc>
              <w:tc>
                <w:tcPr>
                  <w:tcW w:w="841" w:type="dxa"/>
                  <w:noWrap w:val="0"/>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jc w:val="center"/>
              </w:trPr>
              <w:tc>
                <w:tcPr>
                  <w:tcW w:w="1206" w:type="dxa"/>
                  <w:vMerge w:val="continue"/>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099"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产生量（t/a）</w:t>
                  </w:r>
                </w:p>
              </w:tc>
              <w:tc>
                <w:tcPr>
                  <w:tcW w:w="843"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1.027</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0.411</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0.</w:t>
                  </w:r>
                  <w:r>
                    <w:rPr>
                      <w:rFonts w:hint="eastAsia" w:cs="Times New Roman"/>
                      <w:color w:val="auto"/>
                      <w:kern w:val="0"/>
                      <w:szCs w:val="21"/>
                      <w:highlight w:val="none"/>
                      <w:lang w:val="en-US" w:eastAsia="zh-CN" w:bidi="en-US"/>
                    </w:rPr>
                    <w:t>144</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0.246</w:t>
                  </w:r>
                </w:p>
              </w:tc>
              <w:tc>
                <w:tcPr>
                  <w:tcW w:w="109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0.</w:t>
                  </w:r>
                  <w:r>
                    <w:rPr>
                      <w:rFonts w:hint="eastAsia" w:cs="Times New Roman"/>
                      <w:color w:val="auto"/>
                      <w:kern w:val="0"/>
                      <w:szCs w:val="21"/>
                      <w:highlight w:val="none"/>
                      <w:lang w:val="en-US" w:eastAsia="zh-CN" w:bidi="en-US"/>
                    </w:rPr>
                    <w:t>041</w:t>
                  </w:r>
                </w:p>
              </w:tc>
              <w:tc>
                <w:tcPr>
                  <w:tcW w:w="841" w:type="dxa"/>
                  <w:noWrap w:val="0"/>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0.</w:t>
                  </w:r>
                  <w:r>
                    <w:rPr>
                      <w:rFonts w:hint="eastAsia" w:cs="Times New Roman"/>
                      <w:color w:val="auto"/>
                      <w:kern w:val="0"/>
                      <w:szCs w:val="21"/>
                      <w:highlight w:val="none"/>
                      <w:lang w:val="en-US" w:eastAsia="zh-CN" w:bidi="en-US"/>
                    </w:rPr>
                    <w:t>082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1206" w:type="dxa"/>
                  <w:vMerge w:val="continue"/>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099"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去除效率%</w:t>
                  </w:r>
                </w:p>
              </w:tc>
              <w:tc>
                <w:tcPr>
                  <w:tcW w:w="843"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60</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68</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50</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80</w:t>
                  </w:r>
                </w:p>
              </w:tc>
              <w:tc>
                <w:tcPr>
                  <w:tcW w:w="109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40</w:t>
                  </w:r>
                </w:p>
              </w:tc>
              <w:tc>
                <w:tcPr>
                  <w:tcW w:w="841" w:type="dxa"/>
                  <w:noWrap w:val="0"/>
                  <w:vAlign w:val="top"/>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206" w:type="dxa"/>
                  <w:vMerge w:val="continue"/>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099"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排放浓度（mg/L）</w:t>
                  </w:r>
                </w:p>
              </w:tc>
              <w:tc>
                <w:tcPr>
                  <w:tcW w:w="843"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1</w:t>
                  </w:r>
                  <w:r>
                    <w:rPr>
                      <w:rFonts w:hint="eastAsia" w:ascii="Times New Roman" w:hAnsi="Times New Roman" w:eastAsia="宋体" w:cs="Times New Roman"/>
                      <w:color w:val="auto"/>
                      <w:kern w:val="0"/>
                      <w:szCs w:val="21"/>
                      <w:highlight w:val="none"/>
                      <w:lang w:val="en-US" w:eastAsia="zh-CN" w:bidi="en-US"/>
                    </w:rPr>
                    <w:t>0</w:t>
                  </w:r>
                  <w:r>
                    <w:rPr>
                      <w:rFonts w:hint="default" w:ascii="Times New Roman" w:hAnsi="Times New Roman" w:eastAsia="宋体" w:cs="Times New Roman"/>
                      <w:color w:val="auto"/>
                      <w:kern w:val="0"/>
                      <w:szCs w:val="21"/>
                      <w:highlight w:val="none"/>
                      <w:lang w:bidi="en-US"/>
                    </w:rPr>
                    <w:t>0</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32</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17.5</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12</w:t>
                  </w:r>
                </w:p>
              </w:tc>
              <w:tc>
                <w:tcPr>
                  <w:tcW w:w="109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5000个/L</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6</w:t>
                  </w:r>
                </w:p>
              </w:tc>
              <w:tc>
                <w:tcPr>
                  <w:tcW w:w="841" w:type="dxa"/>
                  <w:noWrap w:val="0"/>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1206" w:type="dxa"/>
                  <w:vMerge w:val="continue"/>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099"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核算排放量（t/a）</w:t>
                  </w:r>
                </w:p>
              </w:tc>
              <w:tc>
                <w:tcPr>
                  <w:tcW w:w="843"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0.411</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0.</w:t>
                  </w:r>
                  <w:r>
                    <w:rPr>
                      <w:rFonts w:hint="eastAsia" w:cs="Times New Roman"/>
                      <w:color w:val="auto"/>
                      <w:kern w:val="0"/>
                      <w:szCs w:val="21"/>
                      <w:highlight w:val="none"/>
                      <w:lang w:val="en-US" w:eastAsia="zh-CN" w:bidi="en-US"/>
                    </w:rPr>
                    <w:t>131</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0.</w:t>
                  </w:r>
                  <w:r>
                    <w:rPr>
                      <w:rFonts w:hint="eastAsia" w:cs="Times New Roman"/>
                      <w:color w:val="auto"/>
                      <w:kern w:val="0"/>
                      <w:szCs w:val="21"/>
                      <w:highlight w:val="none"/>
                      <w:lang w:val="en-US" w:eastAsia="zh-CN" w:bidi="en-US"/>
                    </w:rPr>
                    <w:t>072</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0.</w:t>
                  </w:r>
                  <w:r>
                    <w:rPr>
                      <w:rFonts w:hint="eastAsia" w:cs="Times New Roman"/>
                      <w:color w:val="auto"/>
                      <w:kern w:val="0"/>
                      <w:szCs w:val="21"/>
                      <w:highlight w:val="none"/>
                      <w:lang w:val="en-US" w:eastAsia="zh-CN" w:bidi="en-US"/>
                    </w:rPr>
                    <w:t>049</w:t>
                  </w:r>
                </w:p>
              </w:tc>
              <w:tc>
                <w:tcPr>
                  <w:tcW w:w="109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0</w:t>
                  </w:r>
                  <w:r>
                    <w:rPr>
                      <w:rFonts w:hint="eastAsia" w:ascii="Times New Roman" w:hAnsi="Times New Roman" w:eastAsia="宋体" w:cs="Times New Roman"/>
                      <w:color w:val="auto"/>
                      <w:kern w:val="0"/>
                      <w:szCs w:val="21"/>
                      <w:highlight w:val="none"/>
                      <w:lang w:val="en-US" w:eastAsia="zh-CN" w:bidi="en-US"/>
                    </w:rPr>
                    <w:t>.</w:t>
                  </w:r>
                  <w:r>
                    <w:rPr>
                      <w:rFonts w:hint="eastAsia" w:cs="Times New Roman"/>
                      <w:color w:val="auto"/>
                      <w:kern w:val="0"/>
                      <w:szCs w:val="21"/>
                      <w:highlight w:val="none"/>
                      <w:lang w:val="en-US" w:eastAsia="zh-CN" w:bidi="en-US"/>
                    </w:rPr>
                    <w:t>025</w:t>
                  </w:r>
                </w:p>
              </w:tc>
              <w:tc>
                <w:tcPr>
                  <w:tcW w:w="841" w:type="dxa"/>
                  <w:noWrap w:val="0"/>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w:t>
                  </w:r>
                </w:p>
              </w:tc>
            </w:tr>
          </w:tbl>
          <w:p>
            <w:pPr>
              <w:keepNext w:val="0"/>
              <w:keepLines w:val="0"/>
              <w:pageBreakBefore w:val="0"/>
              <w:widowControl/>
              <w:numPr>
                <w:ilvl w:val="0"/>
                <w:numId w:val="8"/>
              </w:numPr>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sz w:val="24"/>
              </w:rPr>
            </w:pPr>
            <w:r>
              <w:rPr>
                <w:rFonts w:hint="eastAsia" w:cs="Times New Roman"/>
                <w:color w:val="auto"/>
                <w:kern w:val="0"/>
                <w:sz w:val="24"/>
                <w:lang w:val="en-US" w:eastAsia="zh-CN" w:bidi="en-US"/>
              </w:rPr>
              <w:t>煎药</w:t>
            </w:r>
            <w:r>
              <w:rPr>
                <w:rFonts w:hint="eastAsia" w:cs="Times New Roman"/>
                <w:color w:val="auto"/>
                <w:sz w:val="24"/>
                <w:lang w:val="en-US" w:eastAsia="zh-CN"/>
              </w:rPr>
              <w:t>废水产生</w:t>
            </w:r>
            <w:r>
              <w:rPr>
                <w:rFonts w:hint="default" w:ascii="Times New Roman" w:hAnsi="Times New Roman" w:eastAsia="宋体" w:cs="Times New Roman"/>
                <w:color w:val="auto"/>
                <w:sz w:val="24"/>
              </w:rPr>
              <w:t>量按</w:t>
            </w:r>
            <w:r>
              <w:rPr>
                <w:rFonts w:hint="eastAsia" w:cs="Times New Roman"/>
                <w:color w:val="auto"/>
                <w:sz w:val="24"/>
                <w:lang w:val="en-US" w:eastAsia="zh-CN"/>
              </w:rPr>
              <w:t>用水</w:t>
            </w:r>
            <w:r>
              <w:rPr>
                <w:rFonts w:hint="default" w:ascii="Times New Roman" w:hAnsi="Times New Roman" w:eastAsia="宋体" w:cs="Times New Roman"/>
                <w:color w:val="auto"/>
                <w:sz w:val="24"/>
              </w:rPr>
              <w:t>量的80%计，</w:t>
            </w:r>
            <w:r>
              <w:rPr>
                <w:rFonts w:hint="eastAsia" w:cs="Times New Roman"/>
                <w:color w:val="auto"/>
                <w:kern w:val="0"/>
                <w:sz w:val="24"/>
                <w:lang w:val="en-US" w:eastAsia="zh-CN" w:bidi="en-US"/>
              </w:rPr>
              <w:t>产生</w:t>
            </w:r>
            <w:r>
              <w:rPr>
                <w:rFonts w:hint="default" w:ascii="Times New Roman" w:hAnsi="Times New Roman" w:eastAsia="宋体" w:cs="Times New Roman"/>
                <w:color w:val="auto"/>
                <w:kern w:val="0"/>
                <w:sz w:val="24"/>
                <w:lang w:bidi="en-US"/>
              </w:rPr>
              <w:t>量</w:t>
            </w:r>
            <w:r>
              <w:rPr>
                <w:rFonts w:hint="eastAsia" w:cs="Times New Roman"/>
                <w:color w:val="auto"/>
                <w:kern w:val="0"/>
                <w:sz w:val="24"/>
                <w:lang w:val="en-US" w:eastAsia="zh-CN" w:bidi="en-US"/>
              </w:rPr>
              <w:t>为0.872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/d，</w:t>
            </w:r>
            <w:r>
              <w:rPr>
                <w:rFonts w:hint="eastAsia" w:cs="Times New Roman"/>
                <w:color w:val="auto"/>
                <w:sz w:val="24"/>
                <w:lang w:val="en-US" w:eastAsia="zh-CN"/>
              </w:rPr>
              <w:t>318.28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r>
              <w:rPr>
                <w:rFonts w:hint="eastAsia" w:cs="Times New Roman"/>
                <w:color w:val="auto"/>
                <w:sz w:val="24"/>
                <w:lang w:val="en-US" w:eastAsia="zh-CN"/>
              </w:rPr>
              <w:t>煎药</w:t>
            </w:r>
            <w:r>
              <w:rPr>
                <w:rFonts w:hint="default" w:ascii="Times New Roman" w:hAnsi="Times New Roman" w:eastAsia="宋体" w:cs="Times New Roman"/>
                <w:color w:val="auto"/>
                <w:sz w:val="24"/>
              </w:rPr>
              <w:t xml:space="preserve">废水的主要污染物及产生浓度为COD250mg/L、BOD100mg/L、氨氮30mg/L、SS60mg/L、粪大肠菌群 </w:t>
            </w:r>
            <w:r>
              <w:rPr>
                <w:rFonts w:hint="default" w:ascii="Times New Roman" w:hAnsi="Times New Roman" w:eastAsia="宋体" w:cs="Times New Roman"/>
                <w:sz w:val="24"/>
              </w:rPr>
              <w:t>1.6×108个/L、总磷10mg/L、动植物油20mg/L。主要污染物排放浓度为COD100mg/L、BOD32mg/L、氨氮17.5mg/L、SS12mg/L、粪大肠菌群 500个/L、总磷6mg/L、动植物油20mg/L。污水经医院污水处理站处理满足《医疗机构水污染物排放标准》（GB18466-2005）表2预处理排放标准限值后排入市政管网（主要污染物处理效率为COD60%、BOD68%、氨氮50%、SS80%、总磷40%）。</w:t>
            </w:r>
            <w:r>
              <w:rPr>
                <w:rFonts w:hint="eastAsia" w:cs="Times New Roman"/>
                <w:sz w:val="24"/>
                <w:lang w:val="en-US" w:eastAsia="zh-CN"/>
              </w:rPr>
              <w:t>煎药</w:t>
            </w:r>
            <w:r>
              <w:rPr>
                <w:rFonts w:hint="default" w:ascii="Times New Roman" w:hAnsi="Times New Roman" w:eastAsia="宋体" w:cs="Times New Roman"/>
                <w:sz w:val="24"/>
              </w:rPr>
              <w:t xml:space="preserve">废水的产排情况见下表： </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default"/>
                <w:color w:val="auto"/>
              </w:rPr>
            </w:pPr>
            <w:r>
              <w:rPr>
                <w:rFonts w:hint="default" w:ascii="Times New Roman" w:hAnsi="Times New Roman" w:eastAsia="宋体" w:cs="Times New Roman"/>
                <w:b/>
                <w:color w:val="auto"/>
                <w:sz w:val="24"/>
                <w:szCs w:val="24"/>
                <w:highlight w:val="none"/>
              </w:rPr>
              <w:t>表4-</w:t>
            </w:r>
            <w:r>
              <w:rPr>
                <w:rFonts w:hint="eastAsia" w:cs="Times New Roman"/>
                <w:b/>
                <w:color w:val="auto"/>
                <w:sz w:val="24"/>
                <w:szCs w:val="24"/>
                <w:highlight w:val="none"/>
                <w:lang w:val="en-US" w:eastAsia="zh-CN"/>
              </w:rPr>
              <w:t>5</w:t>
            </w:r>
            <w:r>
              <w:rPr>
                <w:rFonts w:hint="eastAsia" w:ascii="Times New Roman" w:hAnsi="Times New Roman" w:eastAsia="宋体" w:cs="Times New Roman"/>
                <w:b/>
                <w:color w:val="auto"/>
                <w:sz w:val="24"/>
                <w:szCs w:val="24"/>
                <w:highlight w:val="none"/>
                <w:lang w:val="en-US" w:eastAsia="zh-CN"/>
              </w:rPr>
              <w:t xml:space="preserve">   </w:t>
            </w:r>
            <w:r>
              <w:rPr>
                <w:rFonts w:hint="eastAsia" w:cs="Times New Roman"/>
                <w:b/>
                <w:color w:val="auto"/>
                <w:sz w:val="24"/>
                <w:szCs w:val="24"/>
                <w:highlight w:val="none"/>
                <w:lang w:val="en-US" w:eastAsia="zh-CN"/>
              </w:rPr>
              <w:t>煎药废水</w:t>
            </w:r>
            <w:r>
              <w:rPr>
                <w:rFonts w:hint="default" w:ascii="Times New Roman" w:hAnsi="Times New Roman" w:eastAsia="宋体" w:cs="Times New Roman"/>
                <w:b/>
                <w:color w:val="auto"/>
                <w:sz w:val="24"/>
                <w:szCs w:val="24"/>
                <w:highlight w:val="none"/>
              </w:rPr>
              <w:t>产排放情况表</w:t>
            </w:r>
          </w:p>
          <w:tbl>
            <w:tblPr>
              <w:tblStyle w:val="27"/>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6"/>
              <w:gridCol w:w="1099"/>
              <w:gridCol w:w="843"/>
              <w:gridCol w:w="845"/>
              <w:gridCol w:w="845"/>
              <w:gridCol w:w="848"/>
              <w:gridCol w:w="1090"/>
              <w:gridCol w:w="848"/>
              <w:gridCol w:w="8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jc w:val="center"/>
              </w:trPr>
              <w:tc>
                <w:tcPr>
                  <w:tcW w:w="1206" w:type="dxa"/>
                  <w:vMerge w:val="restart"/>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eastAsia" w:cs="Times New Roman"/>
                      <w:color w:val="auto"/>
                      <w:kern w:val="0"/>
                      <w:szCs w:val="21"/>
                      <w:highlight w:val="none"/>
                      <w:lang w:val="en-US" w:eastAsia="zh-CN" w:bidi="en-US"/>
                    </w:rPr>
                    <w:t>煎药</w:t>
                  </w:r>
                  <w:r>
                    <w:rPr>
                      <w:rFonts w:hint="default" w:ascii="Times New Roman" w:hAnsi="Times New Roman" w:eastAsia="宋体" w:cs="Times New Roman"/>
                      <w:color w:val="auto"/>
                      <w:kern w:val="0"/>
                      <w:szCs w:val="21"/>
                      <w:highlight w:val="none"/>
                      <w:lang w:bidi="en-US"/>
                    </w:rPr>
                    <w:t>废水</w:t>
                  </w:r>
                  <w:r>
                    <w:rPr>
                      <w:rFonts w:hint="default" w:ascii="Times New Roman" w:hAnsi="Times New Roman" w:eastAsia="宋体" w:cs="Times New Roman"/>
                      <w:color w:val="auto"/>
                      <w:kern w:val="0"/>
                      <w:szCs w:val="21"/>
                      <w:highlight w:val="none"/>
                      <w:lang w:bidi="en-US"/>
                    </w:rPr>
                    <w:br w:type="textWrapping"/>
                  </w:r>
                </w:p>
                <w:p>
                  <w:pPr>
                    <w:widowControl/>
                    <w:jc w:val="center"/>
                    <w:rPr>
                      <w:rFonts w:hint="default" w:ascii="Times New Roman" w:hAnsi="Times New Roman" w:eastAsia="宋体" w:cs="Times New Roman"/>
                      <w:color w:val="auto"/>
                      <w:kern w:val="0"/>
                      <w:szCs w:val="21"/>
                      <w:highlight w:val="none"/>
                      <w:lang w:val="en-US" w:bidi="en-US"/>
                    </w:rPr>
                  </w:pPr>
                  <w:r>
                    <w:rPr>
                      <w:rFonts w:hint="eastAsia" w:cs="Times New Roman"/>
                      <w:color w:val="auto"/>
                      <w:sz w:val="24"/>
                      <w:lang w:val="en-US" w:eastAsia="zh-CN"/>
                    </w:rPr>
                    <w:t>318.28</w:t>
                  </w:r>
                </w:p>
              </w:tc>
              <w:tc>
                <w:tcPr>
                  <w:tcW w:w="1099"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843"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COD</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BOD</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氨氮</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SS</w:t>
                  </w:r>
                </w:p>
              </w:tc>
              <w:tc>
                <w:tcPr>
                  <w:tcW w:w="109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粪大肠菌群</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总磷</w:t>
                  </w:r>
                </w:p>
              </w:tc>
              <w:tc>
                <w:tcPr>
                  <w:tcW w:w="841" w:type="dxa"/>
                  <w:noWrap w:val="0"/>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动植物油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jc w:val="center"/>
              </w:trPr>
              <w:tc>
                <w:tcPr>
                  <w:tcW w:w="1206" w:type="dxa"/>
                  <w:vMerge w:val="continue"/>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099"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产生浓度（mg/L）</w:t>
                  </w:r>
                </w:p>
              </w:tc>
              <w:tc>
                <w:tcPr>
                  <w:tcW w:w="843"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250</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1</w:t>
                  </w:r>
                  <w:r>
                    <w:rPr>
                      <w:rFonts w:hint="eastAsia" w:ascii="Times New Roman" w:hAnsi="Times New Roman" w:eastAsia="宋体" w:cs="Times New Roman"/>
                      <w:color w:val="auto"/>
                      <w:kern w:val="0"/>
                      <w:szCs w:val="21"/>
                      <w:highlight w:val="none"/>
                      <w:lang w:val="en-US" w:eastAsia="zh-CN" w:bidi="en-US"/>
                    </w:rPr>
                    <w:t>00</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35</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60</w:t>
                  </w:r>
                </w:p>
              </w:tc>
              <w:tc>
                <w:tcPr>
                  <w:tcW w:w="109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1.6×10</w:t>
                  </w:r>
                  <w:r>
                    <w:rPr>
                      <w:rFonts w:hint="default" w:ascii="Times New Roman" w:hAnsi="Times New Roman" w:eastAsia="宋体" w:cs="Times New Roman"/>
                      <w:color w:val="auto"/>
                      <w:kern w:val="0"/>
                      <w:szCs w:val="21"/>
                      <w:highlight w:val="none"/>
                      <w:vertAlign w:val="superscript"/>
                      <w:lang w:bidi="en-US"/>
                    </w:rPr>
                    <w:t>8</w:t>
                  </w:r>
                  <w:r>
                    <w:rPr>
                      <w:rFonts w:hint="default" w:ascii="Times New Roman" w:hAnsi="Times New Roman" w:eastAsia="宋体" w:cs="Times New Roman"/>
                      <w:color w:val="auto"/>
                      <w:kern w:val="0"/>
                      <w:szCs w:val="21"/>
                      <w:highlight w:val="none"/>
                      <w:lang w:bidi="en-US"/>
                    </w:rPr>
                    <w:t>个/L</w:t>
                  </w:r>
                </w:p>
              </w:tc>
              <w:tc>
                <w:tcPr>
                  <w:tcW w:w="848" w:type="dxa"/>
                  <w:noWrap w:val="0"/>
                  <w:tcMar>
                    <w:top w:w="15" w:type="dxa"/>
                    <w:left w:w="15" w:type="dxa"/>
                    <w:right w:w="15" w:type="dxa"/>
                  </w:tcMar>
                  <w:vAlign w:val="center"/>
                </w:tcPr>
                <w:p>
                  <w:pPr>
                    <w:widowControl/>
                    <w:jc w:val="center"/>
                    <w:rPr>
                      <w:rFonts w:hint="eastAsia" w:ascii="Times New Roman" w:hAnsi="Times New Roman" w:eastAsia="宋体" w:cs="Times New Roman"/>
                      <w:color w:val="auto"/>
                      <w:kern w:val="0"/>
                      <w:szCs w:val="21"/>
                      <w:highlight w:val="none"/>
                      <w:lang w:eastAsia="zh-CN" w:bidi="en-US"/>
                    </w:rPr>
                  </w:pPr>
                  <w:r>
                    <w:rPr>
                      <w:rFonts w:hint="default" w:ascii="Times New Roman" w:hAnsi="Times New Roman" w:eastAsia="宋体" w:cs="Times New Roman"/>
                      <w:color w:val="auto"/>
                      <w:kern w:val="0"/>
                      <w:szCs w:val="21"/>
                      <w:highlight w:val="none"/>
                      <w:lang w:bidi="en-US"/>
                    </w:rPr>
                    <w:t>10.00</w:t>
                  </w:r>
                </w:p>
              </w:tc>
              <w:tc>
                <w:tcPr>
                  <w:tcW w:w="841" w:type="dxa"/>
                  <w:noWrap w:val="0"/>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8" w:hRule="atLeast"/>
                <w:jc w:val="center"/>
              </w:trPr>
              <w:tc>
                <w:tcPr>
                  <w:tcW w:w="1206" w:type="dxa"/>
                  <w:vMerge w:val="continue"/>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099"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产生量（t/a）</w:t>
                  </w:r>
                </w:p>
              </w:tc>
              <w:tc>
                <w:tcPr>
                  <w:tcW w:w="843"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0.080</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0.032</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0.</w:t>
                  </w:r>
                  <w:r>
                    <w:rPr>
                      <w:rFonts w:hint="eastAsia" w:cs="Times New Roman"/>
                      <w:color w:val="auto"/>
                      <w:kern w:val="0"/>
                      <w:szCs w:val="21"/>
                      <w:highlight w:val="none"/>
                      <w:lang w:val="en-US" w:eastAsia="zh-CN" w:bidi="en-US"/>
                    </w:rPr>
                    <w:t>011</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0.019</w:t>
                  </w:r>
                </w:p>
              </w:tc>
              <w:tc>
                <w:tcPr>
                  <w:tcW w:w="109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0.</w:t>
                  </w:r>
                  <w:r>
                    <w:rPr>
                      <w:rFonts w:hint="eastAsia" w:cs="Times New Roman"/>
                      <w:color w:val="auto"/>
                      <w:kern w:val="0"/>
                      <w:szCs w:val="21"/>
                      <w:highlight w:val="none"/>
                      <w:lang w:val="en-US" w:eastAsia="zh-CN" w:bidi="en-US"/>
                    </w:rPr>
                    <w:t>003</w:t>
                  </w:r>
                </w:p>
              </w:tc>
              <w:tc>
                <w:tcPr>
                  <w:tcW w:w="841" w:type="dxa"/>
                  <w:noWrap w:val="0"/>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0.</w:t>
                  </w:r>
                  <w:r>
                    <w:rPr>
                      <w:rFonts w:hint="eastAsia" w:cs="Times New Roman"/>
                      <w:color w:val="auto"/>
                      <w:kern w:val="0"/>
                      <w:szCs w:val="21"/>
                      <w:highlight w:val="none"/>
                      <w:lang w:val="en-US" w:eastAsia="zh-CN" w:bidi="en-US"/>
                    </w:rPr>
                    <w:t>006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1206" w:type="dxa"/>
                  <w:vMerge w:val="continue"/>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099"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去除效率%</w:t>
                  </w:r>
                </w:p>
              </w:tc>
              <w:tc>
                <w:tcPr>
                  <w:tcW w:w="843"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60</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68</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50</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80</w:t>
                  </w:r>
                </w:p>
              </w:tc>
              <w:tc>
                <w:tcPr>
                  <w:tcW w:w="109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40</w:t>
                  </w:r>
                </w:p>
              </w:tc>
              <w:tc>
                <w:tcPr>
                  <w:tcW w:w="841" w:type="dxa"/>
                  <w:noWrap w:val="0"/>
                  <w:vAlign w:val="top"/>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206" w:type="dxa"/>
                  <w:vMerge w:val="continue"/>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099"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排放浓度（mg/L）</w:t>
                  </w:r>
                </w:p>
              </w:tc>
              <w:tc>
                <w:tcPr>
                  <w:tcW w:w="843"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1</w:t>
                  </w:r>
                  <w:r>
                    <w:rPr>
                      <w:rFonts w:hint="eastAsia" w:ascii="Times New Roman" w:hAnsi="Times New Roman" w:eastAsia="宋体" w:cs="Times New Roman"/>
                      <w:color w:val="auto"/>
                      <w:kern w:val="0"/>
                      <w:szCs w:val="21"/>
                      <w:highlight w:val="none"/>
                      <w:lang w:val="en-US" w:eastAsia="zh-CN" w:bidi="en-US"/>
                    </w:rPr>
                    <w:t>0</w:t>
                  </w:r>
                  <w:r>
                    <w:rPr>
                      <w:rFonts w:hint="default" w:ascii="Times New Roman" w:hAnsi="Times New Roman" w:eastAsia="宋体" w:cs="Times New Roman"/>
                      <w:color w:val="auto"/>
                      <w:kern w:val="0"/>
                      <w:szCs w:val="21"/>
                      <w:highlight w:val="none"/>
                      <w:lang w:bidi="en-US"/>
                    </w:rPr>
                    <w:t>0</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32</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17.5</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12</w:t>
                  </w:r>
                </w:p>
              </w:tc>
              <w:tc>
                <w:tcPr>
                  <w:tcW w:w="109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5000个/L</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6</w:t>
                  </w:r>
                </w:p>
              </w:tc>
              <w:tc>
                <w:tcPr>
                  <w:tcW w:w="841" w:type="dxa"/>
                  <w:noWrap w:val="0"/>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 w:hRule="atLeast"/>
                <w:jc w:val="center"/>
              </w:trPr>
              <w:tc>
                <w:tcPr>
                  <w:tcW w:w="1206" w:type="dxa"/>
                  <w:vMerge w:val="continue"/>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099"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核算排放量（t/a）</w:t>
                  </w:r>
                </w:p>
              </w:tc>
              <w:tc>
                <w:tcPr>
                  <w:tcW w:w="843"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0.032</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0.</w:t>
                  </w:r>
                  <w:r>
                    <w:rPr>
                      <w:rFonts w:hint="eastAsia" w:cs="Times New Roman"/>
                      <w:color w:val="auto"/>
                      <w:kern w:val="0"/>
                      <w:szCs w:val="21"/>
                      <w:highlight w:val="none"/>
                      <w:lang w:val="en-US" w:eastAsia="zh-CN" w:bidi="en-US"/>
                    </w:rPr>
                    <w:t>010</w:t>
                  </w:r>
                </w:p>
              </w:tc>
              <w:tc>
                <w:tcPr>
                  <w:tcW w:w="845"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0.</w:t>
                  </w:r>
                  <w:r>
                    <w:rPr>
                      <w:rFonts w:hint="eastAsia" w:cs="Times New Roman"/>
                      <w:color w:val="auto"/>
                      <w:kern w:val="0"/>
                      <w:szCs w:val="21"/>
                      <w:highlight w:val="none"/>
                      <w:lang w:val="en-US" w:eastAsia="zh-CN" w:bidi="en-US"/>
                    </w:rPr>
                    <w:t>006</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0.</w:t>
                  </w:r>
                  <w:r>
                    <w:rPr>
                      <w:rFonts w:hint="eastAsia" w:cs="Times New Roman"/>
                      <w:color w:val="auto"/>
                      <w:kern w:val="0"/>
                      <w:szCs w:val="21"/>
                      <w:highlight w:val="none"/>
                      <w:lang w:val="en-US" w:eastAsia="zh-CN" w:bidi="en-US"/>
                    </w:rPr>
                    <w:t>0038</w:t>
                  </w:r>
                </w:p>
              </w:tc>
              <w:tc>
                <w:tcPr>
                  <w:tcW w:w="109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w:t>
                  </w:r>
                </w:p>
              </w:tc>
              <w:tc>
                <w:tcPr>
                  <w:tcW w:w="848"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0</w:t>
                  </w:r>
                  <w:r>
                    <w:rPr>
                      <w:rFonts w:hint="eastAsia" w:ascii="Times New Roman" w:hAnsi="Times New Roman" w:eastAsia="宋体" w:cs="Times New Roman"/>
                      <w:color w:val="auto"/>
                      <w:kern w:val="0"/>
                      <w:szCs w:val="21"/>
                      <w:highlight w:val="none"/>
                      <w:lang w:val="en-US" w:eastAsia="zh-CN" w:bidi="en-US"/>
                    </w:rPr>
                    <w:t>.</w:t>
                  </w:r>
                  <w:r>
                    <w:rPr>
                      <w:rFonts w:hint="eastAsia" w:cs="Times New Roman"/>
                      <w:color w:val="auto"/>
                      <w:kern w:val="0"/>
                      <w:szCs w:val="21"/>
                      <w:highlight w:val="none"/>
                      <w:lang w:val="en-US" w:eastAsia="zh-CN" w:bidi="en-US"/>
                    </w:rPr>
                    <w:t>002</w:t>
                  </w:r>
                </w:p>
              </w:tc>
              <w:tc>
                <w:tcPr>
                  <w:tcW w:w="841" w:type="dxa"/>
                  <w:noWrap w:val="0"/>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w:t>
                  </w:r>
                </w:p>
              </w:tc>
            </w:tr>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kern w:val="0"/>
                <w:sz w:val="24"/>
                <w:lang w:val="en-US" w:eastAsia="zh-CN" w:bidi="en-US"/>
              </w:rPr>
            </w:pPr>
            <w:r>
              <w:rPr>
                <w:rFonts w:hint="eastAsia" w:cs="Times New Roman"/>
                <w:color w:val="auto"/>
                <w:kern w:val="0"/>
                <w:sz w:val="24"/>
                <w:lang w:eastAsia="zh-CN" w:bidi="en-US"/>
              </w:rPr>
              <w:t>（</w:t>
            </w:r>
            <w:r>
              <w:rPr>
                <w:rFonts w:hint="eastAsia" w:cs="Times New Roman"/>
                <w:color w:val="auto"/>
                <w:kern w:val="0"/>
                <w:sz w:val="24"/>
                <w:lang w:val="en-US" w:eastAsia="zh-CN" w:bidi="en-US"/>
              </w:rPr>
              <w:t>3</w:t>
            </w:r>
            <w:r>
              <w:rPr>
                <w:rFonts w:hint="eastAsia" w:cs="Times New Roman"/>
                <w:color w:val="auto"/>
                <w:kern w:val="0"/>
                <w:sz w:val="24"/>
                <w:lang w:eastAsia="zh-CN" w:bidi="en-US"/>
              </w:rPr>
              <w:t>）</w:t>
            </w:r>
            <w:r>
              <w:rPr>
                <w:rFonts w:hint="default" w:ascii="Times New Roman" w:hAnsi="Times New Roman" w:eastAsia="宋体" w:cs="Times New Roman"/>
                <w:color w:val="auto"/>
                <w:kern w:val="0"/>
                <w:sz w:val="24"/>
                <w:lang w:bidi="en-US"/>
              </w:rPr>
              <w:t>项目生活污水</w:t>
            </w:r>
            <w:r>
              <w:rPr>
                <w:rFonts w:hint="eastAsia" w:cs="Times New Roman"/>
                <w:color w:val="auto"/>
                <w:sz w:val="24"/>
                <w:highlight w:val="none"/>
                <w:lang w:val="en-US" w:eastAsia="zh-CN"/>
              </w:rPr>
              <w:t>产生</w:t>
            </w:r>
            <w:r>
              <w:rPr>
                <w:rFonts w:hint="default" w:ascii="Times New Roman" w:hAnsi="Times New Roman" w:eastAsia="宋体" w:cs="Times New Roman"/>
                <w:color w:val="auto"/>
                <w:sz w:val="24"/>
                <w:highlight w:val="none"/>
              </w:rPr>
              <w:t>量按</w:t>
            </w:r>
            <w:r>
              <w:rPr>
                <w:rFonts w:hint="eastAsia" w:cs="Times New Roman"/>
                <w:color w:val="auto"/>
                <w:sz w:val="24"/>
                <w:highlight w:val="none"/>
                <w:lang w:val="en-US" w:eastAsia="zh-CN"/>
              </w:rPr>
              <w:t>用水</w:t>
            </w:r>
            <w:r>
              <w:rPr>
                <w:rFonts w:hint="default" w:ascii="Times New Roman" w:hAnsi="Times New Roman" w:eastAsia="宋体" w:cs="Times New Roman"/>
                <w:color w:val="auto"/>
                <w:sz w:val="24"/>
                <w:highlight w:val="none"/>
              </w:rPr>
              <w:t>量的</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0%计，</w:t>
            </w:r>
            <w:r>
              <w:rPr>
                <w:rFonts w:hint="eastAsia" w:cs="Times New Roman"/>
                <w:color w:val="auto"/>
                <w:kern w:val="0"/>
                <w:sz w:val="24"/>
                <w:highlight w:val="none"/>
                <w:lang w:val="en-US" w:eastAsia="zh-CN" w:bidi="en-US"/>
              </w:rPr>
              <w:t>产生</w:t>
            </w:r>
            <w:r>
              <w:rPr>
                <w:rFonts w:hint="default" w:ascii="Times New Roman" w:hAnsi="Times New Roman" w:eastAsia="宋体" w:cs="Times New Roman"/>
                <w:color w:val="auto"/>
                <w:kern w:val="0"/>
                <w:sz w:val="24"/>
                <w:highlight w:val="none"/>
                <w:lang w:bidi="en-US"/>
              </w:rPr>
              <w:t>量</w:t>
            </w:r>
            <w:r>
              <w:rPr>
                <w:rFonts w:hint="eastAsia" w:cs="Times New Roman"/>
                <w:color w:val="auto"/>
                <w:kern w:val="0"/>
                <w:sz w:val="24"/>
                <w:highlight w:val="none"/>
                <w:lang w:val="en-US" w:eastAsia="zh-CN" w:bidi="en-US"/>
              </w:rPr>
              <w:t>为16.672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eastAsia" w:cs="Times New Roman"/>
                <w:color w:val="auto"/>
                <w:sz w:val="24"/>
                <w:highlight w:val="none"/>
                <w:lang w:eastAsia="zh-CN"/>
              </w:rPr>
              <w:t>（</w:t>
            </w:r>
            <w:r>
              <w:rPr>
                <w:rFonts w:hint="eastAsia" w:cs="Times New Roman"/>
                <w:color w:val="auto"/>
                <w:sz w:val="24"/>
                <w:highlight w:val="none"/>
                <w:lang w:val="en-US" w:eastAsia="zh-CN"/>
              </w:rPr>
              <w:t>6085.28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生活污水的</w:t>
            </w:r>
            <w:r>
              <w:rPr>
                <w:rFonts w:hint="eastAsia" w:cs="Times New Roman"/>
                <w:sz w:val="24"/>
                <w:lang w:val="en-US" w:eastAsia="zh-CN"/>
              </w:rPr>
              <w:t>主要污染物及产生浓度为</w:t>
            </w:r>
            <w:r>
              <w:rPr>
                <w:rFonts w:hint="default" w:ascii="Times New Roman" w:hAnsi="Times New Roman" w:cs="Times New Roman"/>
                <w:color w:val="auto"/>
                <w:kern w:val="2"/>
                <w:sz w:val="24"/>
                <w:szCs w:val="22"/>
                <w:vertAlign w:val="baseline"/>
                <w:lang w:val="en-US" w:eastAsia="zh-CN" w:bidi="ar-SA"/>
              </w:rPr>
              <w:t>COD</w:t>
            </w:r>
            <w:r>
              <w:rPr>
                <w:rFonts w:hint="eastAsia" w:cs="Times New Roman"/>
                <w:color w:val="auto"/>
                <w:kern w:val="2"/>
                <w:sz w:val="24"/>
                <w:szCs w:val="22"/>
                <w:vertAlign w:val="baseline"/>
                <w:lang w:val="en-US" w:eastAsia="zh-CN" w:bidi="ar-SA"/>
              </w:rPr>
              <w:t>3</w:t>
            </w:r>
            <w:r>
              <w:rPr>
                <w:rFonts w:hint="default" w:ascii="Times New Roman" w:hAnsi="Times New Roman" w:cs="Times New Roman"/>
                <w:color w:val="auto"/>
                <w:kern w:val="2"/>
                <w:sz w:val="24"/>
                <w:szCs w:val="22"/>
                <w:vertAlign w:val="baseline"/>
                <w:lang w:val="en-US" w:eastAsia="zh-CN" w:bidi="ar-SA"/>
              </w:rPr>
              <w:t>50mg/L、BOD</w:t>
            </w:r>
            <w:r>
              <w:rPr>
                <w:rFonts w:hint="eastAsia" w:cs="Times New Roman"/>
                <w:color w:val="auto"/>
                <w:kern w:val="2"/>
                <w:sz w:val="24"/>
                <w:szCs w:val="22"/>
                <w:vertAlign w:val="baseline"/>
                <w:lang w:val="en-US" w:eastAsia="zh-CN" w:bidi="ar-SA"/>
              </w:rPr>
              <w:t>2</w:t>
            </w:r>
            <w:r>
              <w:rPr>
                <w:rFonts w:hint="default" w:ascii="Times New Roman" w:hAnsi="Times New Roman" w:cs="Times New Roman"/>
                <w:color w:val="auto"/>
                <w:kern w:val="2"/>
                <w:sz w:val="24"/>
                <w:szCs w:val="22"/>
                <w:vertAlign w:val="baseline"/>
                <w:lang w:val="en-US" w:eastAsia="zh-CN" w:bidi="ar-SA"/>
              </w:rPr>
              <w:t>00mg/L、</w:t>
            </w:r>
            <w:r>
              <w:rPr>
                <w:rFonts w:hint="eastAsia" w:cs="Times New Roman"/>
                <w:color w:val="auto"/>
                <w:kern w:val="2"/>
                <w:sz w:val="24"/>
                <w:szCs w:val="22"/>
                <w:vertAlign w:val="baseline"/>
                <w:lang w:val="en-US" w:eastAsia="zh-CN" w:bidi="ar-SA"/>
              </w:rPr>
              <w:t>氨氮50</w:t>
            </w:r>
            <w:r>
              <w:rPr>
                <w:rFonts w:hint="default" w:ascii="Times New Roman" w:hAnsi="Times New Roman" w:cs="Times New Roman"/>
                <w:color w:val="auto"/>
                <w:kern w:val="2"/>
                <w:sz w:val="24"/>
                <w:szCs w:val="22"/>
                <w:vertAlign w:val="baseline"/>
                <w:lang w:val="en-US" w:eastAsia="zh-CN" w:bidi="ar-SA"/>
              </w:rPr>
              <w:t>mg/L</w:t>
            </w:r>
            <w:r>
              <w:rPr>
                <w:rFonts w:hint="eastAsia" w:cs="Times New Roman"/>
                <w:color w:val="auto"/>
                <w:kern w:val="2"/>
                <w:sz w:val="24"/>
                <w:szCs w:val="22"/>
                <w:vertAlign w:val="baseline"/>
                <w:lang w:val="en-US" w:eastAsia="zh-CN" w:bidi="ar-SA"/>
              </w:rPr>
              <w:t>、SS200</w:t>
            </w:r>
            <w:r>
              <w:rPr>
                <w:rFonts w:hint="default" w:ascii="Times New Roman" w:hAnsi="Times New Roman" w:cs="Times New Roman"/>
                <w:color w:val="auto"/>
                <w:kern w:val="2"/>
                <w:sz w:val="24"/>
                <w:szCs w:val="22"/>
                <w:vertAlign w:val="baseline"/>
                <w:lang w:val="en-US" w:eastAsia="zh-CN" w:bidi="ar-SA"/>
              </w:rPr>
              <w:t>mg/L</w:t>
            </w:r>
            <w:r>
              <w:rPr>
                <w:rFonts w:hint="eastAsia" w:cs="Times New Roman"/>
                <w:color w:val="auto"/>
                <w:kern w:val="2"/>
                <w:sz w:val="24"/>
                <w:szCs w:val="22"/>
                <w:vertAlign w:val="baseline"/>
                <w:lang w:val="en-US" w:eastAsia="zh-CN" w:bidi="ar-SA"/>
              </w:rPr>
              <w:t>，</w:t>
            </w:r>
            <w:r>
              <w:rPr>
                <w:rFonts w:hint="eastAsia" w:ascii="Times New Roman" w:hAnsi="Times New Roman" w:eastAsia="宋体" w:cs="Times New Roman"/>
                <w:color w:val="auto"/>
                <w:kern w:val="0"/>
                <w:sz w:val="24"/>
                <w:highlight w:val="none"/>
                <w:lang w:val="en-US" w:eastAsia="zh-CN" w:bidi="en-US"/>
              </w:rPr>
              <w:t>污水经医院污水处理站处理满足《医疗机构水污染物排放标准》（GB18466-2005）表2预处理排放标准限值</w:t>
            </w:r>
            <w:r>
              <w:rPr>
                <w:rFonts w:hint="eastAsia" w:cs="Times New Roman"/>
                <w:color w:val="auto"/>
                <w:kern w:val="0"/>
                <w:sz w:val="24"/>
                <w:highlight w:val="none"/>
                <w:lang w:val="en-US" w:eastAsia="zh-CN" w:bidi="en-US"/>
              </w:rPr>
              <w:t>后</w:t>
            </w:r>
            <w:r>
              <w:rPr>
                <w:rFonts w:hint="eastAsia" w:ascii="Times New Roman" w:hAnsi="Times New Roman" w:eastAsia="宋体" w:cs="Times New Roman"/>
                <w:color w:val="auto"/>
                <w:kern w:val="0"/>
                <w:sz w:val="24"/>
                <w:highlight w:val="none"/>
                <w:lang w:val="en-US" w:eastAsia="zh-CN" w:bidi="en-US"/>
              </w:rPr>
              <w:t>排入市政管网</w:t>
            </w:r>
            <w:r>
              <w:rPr>
                <w:rFonts w:hint="default" w:ascii="Times New Roman" w:hAnsi="Times New Roman" w:eastAsia="宋体" w:cs="Times New Roman"/>
                <w:color w:val="auto"/>
                <w:sz w:val="24"/>
              </w:rPr>
              <w:t>（主要污染物处理效率为COD60%、BOD68%、氨氮50%、SS80%）</w:t>
            </w:r>
            <w:r>
              <w:rPr>
                <w:rFonts w:hint="eastAsia" w:cs="Times New Roman"/>
                <w:color w:val="auto"/>
                <w:kern w:val="0"/>
                <w:sz w:val="24"/>
                <w:highlight w:val="none"/>
                <w:lang w:val="en-US" w:eastAsia="zh-CN" w:bidi="en-US"/>
              </w:rPr>
              <w:t>。</w:t>
            </w:r>
            <w:r>
              <w:rPr>
                <w:rFonts w:hint="eastAsia" w:cs="Times New Roman"/>
                <w:color w:val="auto"/>
                <w:kern w:val="0"/>
                <w:sz w:val="24"/>
                <w:lang w:val="en-US" w:eastAsia="zh-CN" w:bidi="en-US"/>
              </w:rPr>
              <w:t>生活污水的产排情况见下表：</w:t>
            </w:r>
          </w:p>
          <w:p>
            <w:pPr>
              <w:adjustRightInd w:val="0"/>
              <w:snapToGrid w:val="0"/>
              <w:ind w:firstLine="2891" w:firstLineChars="1200"/>
              <w:jc w:val="both"/>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w:t>
            </w:r>
            <w:r>
              <w:rPr>
                <w:rFonts w:hint="eastAsia" w:cs="Times New Roman"/>
                <w:b/>
                <w:color w:val="auto"/>
                <w:sz w:val="24"/>
                <w:szCs w:val="24"/>
                <w:highlight w:val="none"/>
                <w:lang w:val="en-US" w:eastAsia="zh-CN"/>
              </w:rPr>
              <w:t>6</w:t>
            </w:r>
            <w:r>
              <w:rPr>
                <w:rFonts w:hint="eastAsia" w:ascii="Times New Roman" w:hAnsi="Times New Roman" w:eastAsia="宋体" w:cs="Times New Roman"/>
                <w:b/>
                <w:color w:val="auto"/>
                <w:sz w:val="24"/>
                <w:szCs w:val="24"/>
                <w:highlight w:val="none"/>
                <w:lang w:val="en-US" w:eastAsia="zh-CN"/>
              </w:rPr>
              <w:t xml:space="preserve">  </w:t>
            </w:r>
            <w:r>
              <w:rPr>
                <w:rFonts w:hint="eastAsia" w:cs="Times New Roman"/>
                <w:b/>
                <w:color w:val="auto"/>
                <w:sz w:val="24"/>
                <w:szCs w:val="24"/>
                <w:highlight w:val="none"/>
                <w:lang w:val="en-US" w:eastAsia="zh-CN"/>
              </w:rPr>
              <w:t>生活</w:t>
            </w:r>
            <w:r>
              <w:rPr>
                <w:rFonts w:hint="default" w:ascii="Times New Roman" w:hAnsi="Times New Roman" w:eastAsia="宋体" w:cs="Times New Roman"/>
                <w:b/>
                <w:color w:val="auto"/>
                <w:sz w:val="24"/>
                <w:szCs w:val="24"/>
                <w:highlight w:val="none"/>
              </w:rPr>
              <w:t>污水产排放情况表</w:t>
            </w:r>
          </w:p>
          <w:tbl>
            <w:tblPr>
              <w:tblStyle w:val="27"/>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1"/>
              <w:gridCol w:w="1577"/>
              <w:gridCol w:w="1210"/>
              <w:gridCol w:w="1212"/>
              <w:gridCol w:w="1212"/>
              <w:gridCol w:w="12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1731" w:type="dxa"/>
                  <w:vMerge w:val="restart"/>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eastAsia" w:cs="Times New Roman"/>
                      <w:color w:val="auto"/>
                      <w:kern w:val="0"/>
                      <w:szCs w:val="21"/>
                      <w:highlight w:val="none"/>
                      <w:lang w:val="en-US" w:eastAsia="zh-CN" w:bidi="en-US"/>
                    </w:rPr>
                    <w:t>生活污水</w:t>
                  </w:r>
                  <w:r>
                    <w:rPr>
                      <w:rFonts w:hint="default" w:ascii="Times New Roman" w:hAnsi="Times New Roman" w:eastAsia="宋体" w:cs="Times New Roman"/>
                      <w:color w:val="auto"/>
                      <w:kern w:val="0"/>
                      <w:szCs w:val="21"/>
                      <w:highlight w:val="none"/>
                      <w:lang w:bidi="en-US"/>
                    </w:rPr>
                    <w:br w:type="textWrapping"/>
                  </w:r>
                </w:p>
                <w:p>
                  <w:pPr>
                    <w:widowControl/>
                    <w:jc w:val="center"/>
                    <w:rPr>
                      <w:rFonts w:hint="default" w:ascii="Times New Roman" w:hAnsi="Times New Roman" w:eastAsia="宋体" w:cs="Times New Roman"/>
                      <w:color w:val="auto"/>
                      <w:kern w:val="0"/>
                      <w:szCs w:val="21"/>
                      <w:highlight w:val="none"/>
                      <w:lang w:val="en-US" w:bidi="en-US"/>
                    </w:rPr>
                  </w:pPr>
                  <w:r>
                    <w:rPr>
                      <w:rFonts w:hint="eastAsia" w:cs="Times New Roman"/>
                      <w:color w:val="auto"/>
                      <w:sz w:val="24"/>
                      <w:lang w:val="en-US" w:eastAsia="zh-CN"/>
                    </w:rPr>
                    <w:t>6085.28</w:t>
                  </w:r>
                </w:p>
              </w:tc>
              <w:tc>
                <w:tcPr>
                  <w:tcW w:w="1577"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21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COD</w:t>
                  </w:r>
                </w:p>
              </w:tc>
              <w:tc>
                <w:tcPr>
                  <w:tcW w:w="1212"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BOD</w:t>
                  </w:r>
                </w:p>
              </w:tc>
              <w:tc>
                <w:tcPr>
                  <w:tcW w:w="1212"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氨氮</w:t>
                  </w:r>
                </w:p>
              </w:tc>
              <w:tc>
                <w:tcPr>
                  <w:tcW w:w="1216"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SS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jc w:val="center"/>
              </w:trPr>
              <w:tc>
                <w:tcPr>
                  <w:tcW w:w="1731" w:type="dxa"/>
                  <w:vMerge w:val="continue"/>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577"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产生浓度（mg/L）</w:t>
                  </w:r>
                </w:p>
              </w:tc>
              <w:tc>
                <w:tcPr>
                  <w:tcW w:w="121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3</w:t>
                  </w:r>
                  <w:r>
                    <w:rPr>
                      <w:rFonts w:hint="eastAsia" w:ascii="Times New Roman" w:hAnsi="Times New Roman" w:eastAsia="宋体" w:cs="Times New Roman"/>
                      <w:color w:val="auto"/>
                      <w:kern w:val="0"/>
                      <w:szCs w:val="21"/>
                      <w:highlight w:val="none"/>
                      <w:lang w:val="en-US" w:eastAsia="zh-CN" w:bidi="en-US"/>
                    </w:rPr>
                    <w:t>50</w:t>
                  </w:r>
                </w:p>
              </w:tc>
              <w:tc>
                <w:tcPr>
                  <w:tcW w:w="1212"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2</w:t>
                  </w:r>
                  <w:r>
                    <w:rPr>
                      <w:rFonts w:hint="eastAsia" w:ascii="Times New Roman" w:hAnsi="Times New Roman" w:eastAsia="宋体" w:cs="Times New Roman"/>
                      <w:color w:val="auto"/>
                      <w:kern w:val="0"/>
                      <w:szCs w:val="21"/>
                      <w:highlight w:val="none"/>
                      <w:lang w:val="en-US" w:eastAsia="zh-CN" w:bidi="en-US"/>
                    </w:rPr>
                    <w:t>00</w:t>
                  </w:r>
                </w:p>
              </w:tc>
              <w:tc>
                <w:tcPr>
                  <w:tcW w:w="1212"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50</w:t>
                  </w:r>
                </w:p>
              </w:tc>
              <w:tc>
                <w:tcPr>
                  <w:tcW w:w="1216"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1731" w:type="dxa"/>
                  <w:vMerge w:val="continue"/>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577"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产生量（t/a）</w:t>
                  </w:r>
                </w:p>
              </w:tc>
              <w:tc>
                <w:tcPr>
                  <w:tcW w:w="121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2.12</w:t>
                  </w:r>
                </w:p>
              </w:tc>
              <w:tc>
                <w:tcPr>
                  <w:tcW w:w="1212"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1.22</w:t>
                  </w:r>
                </w:p>
              </w:tc>
              <w:tc>
                <w:tcPr>
                  <w:tcW w:w="1212"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0.</w:t>
                  </w:r>
                  <w:r>
                    <w:rPr>
                      <w:rFonts w:hint="eastAsia" w:cs="Times New Roman"/>
                      <w:color w:val="auto"/>
                      <w:kern w:val="0"/>
                      <w:szCs w:val="21"/>
                      <w:highlight w:val="none"/>
                      <w:lang w:val="en-US" w:eastAsia="zh-CN" w:bidi="en-US"/>
                    </w:rPr>
                    <w:t>30</w:t>
                  </w:r>
                </w:p>
              </w:tc>
              <w:tc>
                <w:tcPr>
                  <w:tcW w:w="1216"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1.22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1731" w:type="dxa"/>
                  <w:vMerge w:val="continue"/>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577"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去除效率%</w:t>
                  </w:r>
                </w:p>
              </w:tc>
              <w:tc>
                <w:tcPr>
                  <w:tcW w:w="121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60</w:t>
                  </w:r>
                </w:p>
              </w:tc>
              <w:tc>
                <w:tcPr>
                  <w:tcW w:w="1212"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68</w:t>
                  </w:r>
                </w:p>
              </w:tc>
              <w:tc>
                <w:tcPr>
                  <w:tcW w:w="1212"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50</w:t>
                  </w:r>
                </w:p>
              </w:tc>
              <w:tc>
                <w:tcPr>
                  <w:tcW w:w="1216"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jc w:val="center"/>
              </w:trPr>
              <w:tc>
                <w:tcPr>
                  <w:tcW w:w="1731" w:type="dxa"/>
                  <w:vMerge w:val="continue"/>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577"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排放浓度（mg/L）</w:t>
                  </w:r>
                </w:p>
              </w:tc>
              <w:tc>
                <w:tcPr>
                  <w:tcW w:w="121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1</w:t>
                  </w:r>
                  <w:r>
                    <w:rPr>
                      <w:rFonts w:hint="eastAsia" w:ascii="Times New Roman" w:hAnsi="Times New Roman" w:eastAsia="宋体" w:cs="Times New Roman"/>
                      <w:color w:val="auto"/>
                      <w:kern w:val="0"/>
                      <w:szCs w:val="21"/>
                      <w:highlight w:val="none"/>
                      <w:lang w:val="en-US" w:eastAsia="zh-CN" w:bidi="en-US"/>
                    </w:rPr>
                    <w:t>0</w:t>
                  </w:r>
                  <w:r>
                    <w:rPr>
                      <w:rFonts w:hint="default" w:ascii="Times New Roman" w:hAnsi="Times New Roman" w:eastAsia="宋体" w:cs="Times New Roman"/>
                      <w:color w:val="auto"/>
                      <w:kern w:val="0"/>
                      <w:szCs w:val="21"/>
                      <w:highlight w:val="none"/>
                      <w:lang w:bidi="en-US"/>
                    </w:rPr>
                    <w:t>0</w:t>
                  </w:r>
                </w:p>
              </w:tc>
              <w:tc>
                <w:tcPr>
                  <w:tcW w:w="1212"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32</w:t>
                  </w:r>
                </w:p>
              </w:tc>
              <w:tc>
                <w:tcPr>
                  <w:tcW w:w="1212"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17.5</w:t>
                  </w:r>
                </w:p>
              </w:tc>
              <w:tc>
                <w:tcPr>
                  <w:tcW w:w="1216"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jc w:val="center"/>
              </w:trPr>
              <w:tc>
                <w:tcPr>
                  <w:tcW w:w="1731" w:type="dxa"/>
                  <w:vMerge w:val="continue"/>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p>
              </w:tc>
              <w:tc>
                <w:tcPr>
                  <w:tcW w:w="1577"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bidi="en-US"/>
                    </w:rPr>
                  </w:pPr>
                  <w:r>
                    <w:rPr>
                      <w:rFonts w:hint="default" w:ascii="Times New Roman" w:hAnsi="Times New Roman" w:eastAsia="宋体" w:cs="Times New Roman"/>
                      <w:color w:val="auto"/>
                      <w:kern w:val="0"/>
                      <w:szCs w:val="21"/>
                      <w:highlight w:val="none"/>
                      <w:lang w:bidi="en-US"/>
                    </w:rPr>
                    <w:t>核算排放量（t/a）</w:t>
                  </w:r>
                </w:p>
              </w:tc>
              <w:tc>
                <w:tcPr>
                  <w:tcW w:w="1210"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0.61</w:t>
                  </w:r>
                </w:p>
              </w:tc>
              <w:tc>
                <w:tcPr>
                  <w:tcW w:w="1212"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0.</w:t>
                  </w:r>
                  <w:r>
                    <w:rPr>
                      <w:rFonts w:hint="eastAsia" w:cs="Times New Roman"/>
                      <w:color w:val="auto"/>
                      <w:kern w:val="0"/>
                      <w:szCs w:val="21"/>
                      <w:highlight w:val="none"/>
                      <w:lang w:val="en-US" w:eastAsia="zh-CN" w:bidi="en-US"/>
                    </w:rPr>
                    <w:t>19</w:t>
                  </w:r>
                </w:p>
              </w:tc>
              <w:tc>
                <w:tcPr>
                  <w:tcW w:w="1212"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0.</w:t>
                  </w:r>
                  <w:r>
                    <w:rPr>
                      <w:rFonts w:hint="eastAsia" w:cs="Times New Roman"/>
                      <w:color w:val="auto"/>
                      <w:kern w:val="0"/>
                      <w:szCs w:val="21"/>
                      <w:highlight w:val="none"/>
                      <w:lang w:val="en-US" w:eastAsia="zh-CN" w:bidi="en-US"/>
                    </w:rPr>
                    <w:t>11</w:t>
                  </w:r>
                </w:p>
              </w:tc>
              <w:tc>
                <w:tcPr>
                  <w:tcW w:w="1216" w:type="dxa"/>
                  <w:noWrap w:val="0"/>
                  <w:tcMar>
                    <w:top w:w="15" w:type="dxa"/>
                    <w:left w:w="15" w:type="dxa"/>
                    <w:right w:w="15" w:type="dxa"/>
                  </w:tcMar>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bidi="en-US"/>
                    </w:rPr>
                    <w:t>0.</w:t>
                  </w:r>
                  <w:r>
                    <w:rPr>
                      <w:rFonts w:hint="eastAsia" w:cs="Times New Roman"/>
                      <w:color w:val="auto"/>
                      <w:kern w:val="0"/>
                      <w:szCs w:val="21"/>
                      <w:highlight w:val="none"/>
                      <w:lang w:val="en-US" w:eastAsia="zh-CN" w:bidi="en-US"/>
                    </w:rPr>
                    <w:t>19</w:t>
                  </w:r>
                </w:p>
              </w:tc>
            </w:tr>
          </w:tbl>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color w:val="auto"/>
                <w:sz w:val="24"/>
                <w:szCs w:val="24"/>
                <w:highlight w:val="none"/>
              </w:rPr>
            </w:pPr>
            <w:r>
              <w:rPr>
                <w:rFonts w:hint="eastAsia" w:cs="Times New Roman"/>
                <w:kern w:val="2"/>
                <w:sz w:val="24"/>
                <w:szCs w:val="24"/>
                <w:lang w:val="en-US" w:eastAsia="zh-CN" w:bidi="ar-SA"/>
              </w:rPr>
              <w:t>（4）</w:t>
            </w:r>
            <w:r>
              <w:rPr>
                <w:rFonts w:hint="eastAsia" w:ascii="Times New Roman" w:hAnsi="Times New Roman" w:eastAsia="宋体" w:cs="Times New Roman"/>
                <w:kern w:val="2"/>
                <w:sz w:val="24"/>
                <w:szCs w:val="24"/>
                <w:lang w:val="en-US" w:eastAsia="zh-CN" w:bidi="ar-SA"/>
              </w:rPr>
              <w:t>清洗废水产生量</w:t>
            </w:r>
            <w:r>
              <w:rPr>
                <w:rFonts w:hint="default" w:ascii="Times New Roman" w:hAnsi="Times New Roman" w:eastAsia="宋体" w:cs="Times New Roman"/>
                <w:kern w:val="2"/>
                <w:sz w:val="24"/>
                <w:szCs w:val="24"/>
                <w:lang w:val="en-US" w:eastAsia="zh-CN" w:bidi="ar-SA"/>
              </w:rPr>
              <w:t>按</w:t>
            </w:r>
            <w:r>
              <w:rPr>
                <w:rFonts w:hint="eastAsia" w:ascii="Times New Roman" w:hAnsi="Times New Roman" w:eastAsia="宋体" w:cs="Times New Roman"/>
                <w:kern w:val="2"/>
                <w:sz w:val="24"/>
                <w:szCs w:val="24"/>
                <w:lang w:val="en-US" w:eastAsia="zh-CN" w:bidi="ar-SA"/>
              </w:rPr>
              <w:t>用水</w:t>
            </w:r>
            <w:r>
              <w:rPr>
                <w:rFonts w:hint="default" w:ascii="Times New Roman" w:hAnsi="Times New Roman" w:eastAsia="宋体" w:cs="Times New Roman"/>
                <w:kern w:val="2"/>
                <w:sz w:val="24"/>
                <w:szCs w:val="24"/>
                <w:lang w:val="en-US" w:eastAsia="zh-CN" w:bidi="ar-SA"/>
              </w:rPr>
              <w:t>量的80%计，</w:t>
            </w:r>
            <w:r>
              <w:rPr>
                <w:rFonts w:hint="eastAsia" w:ascii="Times New Roman" w:hAnsi="Times New Roman" w:eastAsia="宋体" w:cs="Times New Roman"/>
                <w:kern w:val="2"/>
                <w:sz w:val="24"/>
                <w:szCs w:val="24"/>
                <w:lang w:val="en-US" w:eastAsia="zh-CN" w:bidi="ar-SA"/>
              </w:rPr>
              <w:t>产生量为2.464</w:t>
            </w:r>
            <w:r>
              <w:rPr>
                <w:rFonts w:hint="default" w:ascii="Times New Roman" w:hAnsi="Times New Roman" w:eastAsia="宋体" w:cs="Times New Roman"/>
                <w:kern w:val="2"/>
                <w:sz w:val="24"/>
                <w:szCs w:val="24"/>
                <w:lang w:val="en-US" w:eastAsia="zh-CN" w:bidi="ar-SA"/>
              </w:rPr>
              <w:t>m</w:t>
            </w:r>
            <w:r>
              <w:rPr>
                <w:rFonts w:hint="default" w:ascii="Times New Roman" w:hAnsi="Times New Roman" w:eastAsia="宋体" w:cs="Times New Roman"/>
                <w:kern w:val="2"/>
                <w:sz w:val="24"/>
                <w:szCs w:val="24"/>
                <w:vertAlign w:val="superscript"/>
                <w:lang w:val="en-US" w:eastAsia="zh-CN" w:bidi="ar-SA"/>
              </w:rPr>
              <w:t>3</w:t>
            </w:r>
            <w:r>
              <w:rPr>
                <w:rFonts w:hint="default" w:ascii="Times New Roman" w:hAnsi="Times New Roman" w:eastAsia="宋体" w:cs="Times New Roman"/>
                <w:kern w:val="2"/>
                <w:sz w:val="24"/>
                <w:szCs w:val="24"/>
                <w:lang w:val="en-US" w:eastAsia="zh-CN" w:bidi="ar-SA"/>
              </w:rPr>
              <w:t>/d，</w:t>
            </w:r>
            <w:r>
              <w:rPr>
                <w:rFonts w:hint="eastAsia"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899.36</w:t>
            </w:r>
            <w:r>
              <w:rPr>
                <w:rFonts w:hint="default" w:ascii="Times New Roman" w:hAnsi="Times New Roman" w:eastAsia="宋体" w:cs="Times New Roman"/>
                <w:kern w:val="2"/>
                <w:sz w:val="24"/>
                <w:szCs w:val="24"/>
                <w:lang w:val="en-US" w:eastAsia="zh-CN" w:bidi="ar-SA"/>
              </w:rPr>
              <w:t>m</w:t>
            </w:r>
            <w:r>
              <w:rPr>
                <w:rFonts w:hint="default" w:ascii="Times New Roman" w:hAnsi="Times New Roman" w:eastAsia="宋体" w:cs="Times New Roman"/>
                <w:kern w:val="2"/>
                <w:sz w:val="24"/>
                <w:szCs w:val="24"/>
                <w:vertAlign w:val="superscript"/>
                <w:lang w:val="en-US" w:eastAsia="zh-CN" w:bidi="ar-SA"/>
              </w:rPr>
              <w:t>3</w:t>
            </w:r>
            <w:r>
              <w:rPr>
                <w:rFonts w:hint="default" w:ascii="Times New Roman" w:hAnsi="Times New Roman" w:eastAsia="宋体" w:cs="Times New Roman"/>
                <w:kern w:val="2"/>
                <w:sz w:val="24"/>
                <w:szCs w:val="24"/>
                <w:lang w:val="en-US" w:eastAsia="zh-CN" w:bidi="ar-SA"/>
              </w:rPr>
              <w:t>/a</w:t>
            </w:r>
            <w:r>
              <w:rPr>
                <w:rFonts w:hint="eastAsia" w:cs="Times New Roman"/>
                <w:kern w:val="2"/>
                <w:sz w:val="24"/>
                <w:szCs w:val="24"/>
                <w:lang w:val="en-US" w:eastAsia="zh-CN" w:bidi="ar-SA"/>
              </w:rPr>
              <w:t>）。</w:t>
            </w:r>
            <w:r>
              <w:rPr>
                <w:rFonts w:hint="eastAsia" w:cs="Times New Roman"/>
                <w:color w:val="auto"/>
                <w:sz w:val="24"/>
                <w:highlight w:val="none"/>
                <w:lang w:val="en-US" w:eastAsia="zh-CN"/>
              </w:rPr>
              <w:t>清洗废水的</w:t>
            </w:r>
            <w:r>
              <w:rPr>
                <w:rFonts w:hint="eastAsia" w:cs="Times New Roman"/>
                <w:color w:val="auto"/>
                <w:sz w:val="24"/>
                <w:lang w:val="en-US" w:eastAsia="zh-CN"/>
              </w:rPr>
              <w:t>主要污染物及产生浓度为</w:t>
            </w:r>
            <w:r>
              <w:rPr>
                <w:rFonts w:hint="default" w:ascii="Times New Roman" w:hAnsi="Times New Roman" w:cs="Times New Roman"/>
                <w:color w:val="auto"/>
                <w:kern w:val="2"/>
                <w:sz w:val="24"/>
                <w:szCs w:val="22"/>
                <w:vertAlign w:val="baseline"/>
                <w:lang w:val="en-US" w:eastAsia="zh-CN" w:bidi="ar-SA"/>
              </w:rPr>
              <w:t>COD</w:t>
            </w:r>
            <w:r>
              <w:rPr>
                <w:rFonts w:hint="eastAsia" w:cs="Times New Roman"/>
                <w:color w:val="auto"/>
                <w:kern w:val="2"/>
                <w:sz w:val="24"/>
                <w:szCs w:val="22"/>
                <w:vertAlign w:val="baseline"/>
                <w:lang w:val="en-US" w:eastAsia="zh-CN" w:bidi="ar-SA"/>
              </w:rPr>
              <w:t>25</w:t>
            </w:r>
            <w:r>
              <w:rPr>
                <w:rFonts w:hint="default" w:ascii="Times New Roman" w:hAnsi="Times New Roman" w:cs="Times New Roman"/>
                <w:color w:val="auto"/>
                <w:kern w:val="2"/>
                <w:sz w:val="24"/>
                <w:szCs w:val="22"/>
                <w:vertAlign w:val="baseline"/>
                <w:lang w:val="en-US" w:eastAsia="zh-CN" w:bidi="ar-SA"/>
              </w:rPr>
              <w:t>0mg/L、</w:t>
            </w:r>
            <w:r>
              <w:rPr>
                <w:rFonts w:hint="eastAsia" w:cs="Times New Roman"/>
                <w:color w:val="auto"/>
                <w:kern w:val="2"/>
                <w:sz w:val="24"/>
                <w:szCs w:val="22"/>
                <w:vertAlign w:val="baseline"/>
                <w:lang w:val="en-US" w:eastAsia="zh-CN" w:bidi="ar-SA"/>
              </w:rPr>
              <w:t>氨氮35</w:t>
            </w:r>
            <w:r>
              <w:rPr>
                <w:rFonts w:hint="default" w:ascii="Times New Roman" w:hAnsi="Times New Roman" w:cs="Times New Roman"/>
                <w:color w:val="auto"/>
                <w:kern w:val="2"/>
                <w:sz w:val="24"/>
                <w:szCs w:val="22"/>
                <w:vertAlign w:val="baseline"/>
                <w:lang w:val="en-US" w:eastAsia="zh-CN" w:bidi="ar-SA"/>
              </w:rPr>
              <w:t>mg/L。</w:t>
            </w:r>
            <w:r>
              <w:rPr>
                <w:rFonts w:hint="eastAsia" w:cs="Times New Roman"/>
                <w:color w:val="auto"/>
                <w:kern w:val="2"/>
                <w:sz w:val="24"/>
                <w:szCs w:val="22"/>
                <w:vertAlign w:val="baseline"/>
                <w:lang w:val="en-US" w:eastAsia="zh-CN" w:bidi="ar-SA"/>
              </w:rPr>
              <w:t>主要污染物排放浓度为</w:t>
            </w:r>
            <w:r>
              <w:rPr>
                <w:rFonts w:hint="default" w:ascii="Times New Roman" w:hAnsi="Times New Roman" w:cs="Times New Roman"/>
                <w:color w:val="auto"/>
                <w:kern w:val="2"/>
                <w:sz w:val="24"/>
                <w:szCs w:val="22"/>
                <w:vertAlign w:val="baseline"/>
                <w:lang w:val="en-US" w:eastAsia="zh-CN" w:bidi="ar-SA"/>
              </w:rPr>
              <w:t>COD</w:t>
            </w:r>
            <w:r>
              <w:rPr>
                <w:rFonts w:hint="eastAsia" w:cs="Times New Roman"/>
                <w:color w:val="auto"/>
                <w:kern w:val="2"/>
                <w:sz w:val="24"/>
                <w:szCs w:val="22"/>
                <w:vertAlign w:val="baseline"/>
                <w:lang w:val="en-US" w:eastAsia="zh-CN" w:bidi="ar-SA"/>
              </w:rPr>
              <w:t>100</w:t>
            </w:r>
            <w:r>
              <w:rPr>
                <w:rFonts w:hint="default" w:ascii="Times New Roman" w:hAnsi="Times New Roman" w:cs="Times New Roman"/>
                <w:color w:val="auto"/>
                <w:kern w:val="2"/>
                <w:sz w:val="24"/>
                <w:szCs w:val="22"/>
                <w:vertAlign w:val="baseline"/>
                <w:lang w:val="en-US" w:eastAsia="zh-CN" w:bidi="ar-SA"/>
              </w:rPr>
              <w:t>mg/L、</w:t>
            </w:r>
            <w:r>
              <w:rPr>
                <w:rFonts w:hint="eastAsia" w:cs="Times New Roman"/>
                <w:color w:val="auto"/>
                <w:kern w:val="2"/>
                <w:sz w:val="24"/>
                <w:szCs w:val="22"/>
                <w:vertAlign w:val="baseline"/>
                <w:lang w:val="en-US" w:eastAsia="zh-CN" w:bidi="ar-SA"/>
              </w:rPr>
              <w:t>氨氮17.5</w:t>
            </w:r>
            <w:r>
              <w:rPr>
                <w:rFonts w:hint="default" w:ascii="Times New Roman" w:hAnsi="Times New Roman" w:cs="Times New Roman"/>
                <w:color w:val="auto"/>
                <w:kern w:val="2"/>
                <w:sz w:val="24"/>
                <w:szCs w:val="22"/>
                <w:vertAlign w:val="baseline"/>
                <w:lang w:val="en-US" w:eastAsia="zh-CN" w:bidi="ar-SA"/>
              </w:rPr>
              <w:t>mg/L</w:t>
            </w:r>
            <w:r>
              <w:rPr>
                <w:rFonts w:hint="eastAsia" w:cs="Times New Roman"/>
                <w:color w:val="auto"/>
                <w:kern w:val="2"/>
                <w:sz w:val="24"/>
                <w:szCs w:val="22"/>
                <w:vertAlign w:val="baseline"/>
                <w:lang w:val="en-US" w:eastAsia="zh-CN" w:bidi="ar-SA"/>
              </w:rPr>
              <w:t>。</w:t>
            </w:r>
            <w:r>
              <w:rPr>
                <w:rFonts w:hint="eastAsia" w:ascii="Times New Roman" w:hAnsi="Times New Roman" w:eastAsia="宋体" w:cs="Times New Roman"/>
                <w:color w:val="auto"/>
                <w:kern w:val="0"/>
                <w:sz w:val="24"/>
                <w:highlight w:val="none"/>
                <w:lang w:val="en-US" w:eastAsia="zh-CN" w:bidi="en-US"/>
              </w:rPr>
              <w:t>清洗废水经医院污水处理站处理满足《医疗机构水污染物排放标准》（GB18466-2005）表2预处理排放标准限值后排入市政管网。</w:t>
            </w:r>
            <w:r>
              <w:rPr>
                <w:rFonts w:hint="eastAsia" w:cs="Times New Roman"/>
                <w:color w:val="auto"/>
                <w:kern w:val="2"/>
                <w:sz w:val="24"/>
                <w:szCs w:val="24"/>
                <w:lang w:val="en-US" w:eastAsia="zh-CN" w:bidi="ar-SA"/>
              </w:rPr>
              <w:t>（</w:t>
            </w:r>
            <w:r>
              <w:rPr>
                <w:rFonts w:hint="eastAsia" w:cs="Times New Roman"/>
                <w:color w:val="auto"/>
                <w:kern w:val="2"/>
                <w:sz w:val="24"/>
                <w:szCs w:val="22"/>
                <w:vertAlign w:val="baseline"/>
                <w:lang w:val="en-US" w:eastAsia="zh-CN" w:bidi="ar-SA"/>
              </w:rPr>
              <w:t>主要污染物处理效率为</w:t>
            </w:r>
            <w:r>
              <w:rPr>
                <w:rFonts w:hint="default" w:ascii="Times New Roman" w:hAnsi="Times New Roman" w:cs="Times New Roman"/>
                <w:color w:val="auto"/>
                <w:kern w:val="2"/>
                <w:sz w:val="24"/>
                <w:szCs w:val="22"/>
                <w:vertAlign w:val="baseline"/>
                <w:lang w:val="en-US" w:eastAsia="zh-CN" w:bidi="ar-SA"/>
              </w:rPr>
              <w:t>COD</w:t>
            </w:r>
            <w:r>
              <w:rPr>
                <w:rFonts w:hint="eastAsia" w:cs="Times New Roman"/>
                <w:color w:val="auto"/>
                <w:kern w:val="2"/>
                <w:sz w:val="24"/>
                <w:szCs w:val="22"/>
                <w:vertAlign w:val="baseline"/>
                <w:lang w:val="en-US" w:eastAsia="zh-CN" w:bidi="ar-SA"/>
              </w:rPr>
              <w:t>60%</w:t>
            </w:r>
            <w:r>
              <w:rPr>
                <w:rFonts w:hint="default" w:ascii="Times New Roman" w:hAnsi="Times New Roman" w:cs="Times New Roman"/>
                <w:color w:val="auto"/>
                <w:kern w:val="2"/>
                <w:sz w:val="24"/>
                <w:szCs w:val="22"/>
                <w:vertAlign w:val="baseline"/>
                <w:lang w:val="en-US" w:eastAsia="zh-CN" w:bidi="ar-SA"/>
              </w:rPr>
              <w:t>、</w:t>
            </w:r>
            <w:r>
              <w:rPr>
                <w:rFonts w:hint="eastAsia" w:cs="Times New Roman"/>
                <w:color w:val="auto"/>
                <w:kern w:val="2"/>
                <w:sz w:val="24"/>
                <w:szCs w:val="22"/>
                <w:vertAlign w:val="baseline"/>
                <w:lang w:val="en-US" w:eastAsia="zh-CN" w:bidi="ar-SA"/>
              </w:rPr>
              <w:t>氨氮50%</w:t>
            </w:r>
            <w:r>
              <w:rPr>
                <w:rFonts w:hint="eastAsia"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w:t>
            </w:r>
            <w:r>
              <w:rPr>
                <w:rFonts w:hint="eastAsia" w:cs="Times New Roman"/>
                <w:sz w:val="24"/>
                <w:lang w:val="en-US" w:eastAsia="zh-CN"/>
              </w:rPr>
              <w:t xml:space="preserve">清洗废水的产排情况见 下表： </w:t>
            </w:r>
          </w:p>
          <w:p>
            <w:pPr>
              <w:adjustRightInd w:val="0"/>
              <w:snapToGrid w:val="0"/>
              <w:jc w:val="center"/>
              <w:rPr>
                <w:rFonts w:hint="default"/>
                <w:lang w:val="en-US" w:eastAsia="zh-CN"/>
              </w:rPr>
            </w:pPr>
            <w:r>
              <w:rPr>
                <w:rFonts w:hint="default" w:ascii="Times New Roman" w:hAnsi="Times New Roman" w:eastAsia="宋体" w:cs="Times New Roman"/>
                <w:b/>
                <w:color w:val="auto"/>
                <w:sz w:val="24"/>
                <w:szCs w:val="24"/>
                <w:highlight w:val="none"/>
              </w:rPr>
              <w:t>表4-</w:t>
            </w:r>
            <w:r>
              <w:rPr>
                <w:rFonts w:hint="eastAsia" w:cs="Times New Roman"/>
                <w:b/>
                <w:color w:val="auto"/>
                <w:sz w:val="24"/>
                <w:szCs w:val="24"/>
                <w:highlight w:val="none"/>
                <w:lang w:val="en-US" w:eastAsia="zh-CN"/>
              </w:rPr>
              <w:t>7</w:t>
            </w:r>
            <w:r>
              <w:rPr>
                <w:rFonts w:hint="eastAsia" w:ascii="Times New Roman" w:hAnsi="Times New Roman" w:eastAsia="宋体" w:cs="Times New Roman"/>
                <w:b/>
                <w:color w:val="auto"/>
                <w:sz w:val="24"/>
                <w:szCs w:val="24"/>
                <w:highlight w:val="none"/>
                <w:lang w:val="en-US" w:eastAsia="zh-CN"/>
              </w:rPr>
              <w:t xml:space="preserve">  </w:t>
            </w:r>
            <w:r>
              <w:rPr>
                <w:rFonts w:hint="eastAsia" w:cs="Times New Roman"/>
                <w:b/>
                <w:color w:val="auto"/>
                <w:sz w:val="24"/>
                <w:szCs w:val="24"/>
                <w:highlight w:val="none"/>
                <w:lang w:val="en-US" w:eastAsia="zh-CN"/>
              </w:rPr>
              <w:t>清洗废水</w:t>
            </w:r>
            <w:r>
              <w:rPr>
                <w:rFonts w:hint="default" w:ascii="Times New Roman" w:hAnsi="Times New Roman" w:eastAsia="宋体" w:cs="Times New Roman"/>
                <w:b/>
                <w:color w:val="auto"/>
                <w:sz w:val="24"/>
                <w:szCs w:val="24"/>
                <w:highlight w:val="none"/>
              </w:rPr>
              <w:t>产排放情况表</w:t>
            </w:r>
          </w:p>
          <w:tbl>
            <w:tblPr>
              <w:tblStyle w:val="28"/>
              <w:tblW w:w="82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3047"/>
              <w:gridCol w:w="1660"/>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932" w:type="dxa"/>
                  <w:vMerge w:val="restart"/>
                  <w:vAlign w:val="center"/>
                </w:tcPr>
                <w:p>
                  <w:pPr>
                    <w:widowControl/>
                    <w:jc w:val="center"/>
                    <w:rPr>
                      <w:rFonts w:hint="eastAsia"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清洗废水</w:t>
                  </w:r>
                </w:p>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899.36</w:t>
                  </w:r>
                </w:p>
                <w:p>
                  <w:pPr>
                    <w:widowControl/>
                    <w:jc w:val="center"/>
                    <w:rPr>
                      <w:rFonts w:hint="default" w:ascii="Times New Roman" w:hAnsi="Times New Roman" w:eastAsia="宋体" w:cs="Times New Roman"/>
                      <w:color w:val="auto"/>
                      <w:kern w:val="0"/>
                      <w:szCs w:val="21"/>
                      <w:highlight w:val="none"/>
                      <w:lang w:val="en-US" w:eastAsia="zh-CN" w:bidi="en-US"/>
                    </w:rPr>
                  </w:pPr>
                </w:p>
              </w:tc>
              <w:tc>
                <w:tcPr>
                  <w:tcW w:w="3047"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p>
              </w:tc>
              <w:tc>
                <w:tcPr>
                  <w:tcW w:w="1660"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val="en-US" w:eastAsia="zh-CN" w:bidi="en-US"/>
                    </w:rPr>
                    <w:t>COD</w:t>
                  </w:r>
                </w:p>
              </w:tc>
              <w:tc>
                <w:tcPr>
                  <w:tcW w:w="1660"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val="en-US" w:eastAsia="zh-CN" w:bidi="en-US"/>
                    </w:rPr>
                    <w:t>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932" w:type="dxa"/>
                  <w:vMerge w:val="continue"/>
                </w:tcPr>
                <w:p>
                  <w:pPr>
                    <w:widowControl/>
                    <w:jc w:val="center"/>
                    <w:rPr>
                      <w:rFonts w:hint="default" w:ascii="Times New Roman" w:hAnsi="Times New Roman" w:eastAsia="宋体" w:cs="Times New Roman"/>
                      <w:color w:val="auto"/>
                      <w:kern w:val="0"/>
                      <w:szCs w:val="21"/>
                      <w:highlight w:val="none"/>
                      <w:lang w:val="en-US" w:eastAsia="zh-CN" w:bidi="en-US"/>
                    </w:rPr>
                  </w:pPr>
                </w:p>
              </w:tc>
              <w:tc>
                <w:tcPr>
                  <w:tcW w:w="3047"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val="en-US" w:eastAsia="zh-CN" w:bidi="en-US"/>
                    </w:rPr>
                    <w:t>产生浓度（mg/L）</w:t>
                  </w:r>
                </w:p>
              </w:tc>
              <w:tc>
                <w:tcPr>
                  <w:tcW w:w="1660"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25</w:t>
                  </w:r>
                  <w:r>
                    <w:rPr>
                      <w:rFonts w:hint="eastAsia" w:ascii="Times New Roman" w:hAnsi="Times New Roman" w:eastAsia="宋体" w:cs="Times New Roman"/>
                      <w:color w:val="auto"/>
                      <w:kern w:val="0"/>
                      <w:szCs w:val="21"/>
                      <w:highlight w:val="none"/>
                      <w:lang w:val="en-US" w:eastAsia="zh-CN" w:bidi="en-US"/>
                    </w:rPr>
                    <w:t>0</w:t>
                  </w:r>
                </w:p>
              </w:tc>
              <w:tc>
                <w:tcPr>
                  <w:tcW w:w="1660"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3</w:t>
                  </w:r>
                  <w:r>
                    <w:rPr>
                      <w:rFonts w:hint="eastAsia" w:cs="Times New Roman"/>
                      <w:color w:val="auto"/>
                      <w:kern w:val="0"/>
                      <w:szCs w:val="21"/>
                      <w:highlight w:val="none"/>
                      <w:lang w:val="en-US" w:eastAsia="zh-CN" w:bidi="en-US"/>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932" w:type="dxa"/>
                  <w:vMerge w:val="continue"/>
                </w:tcPr>
                <w:p>
                  <w:pPr>
                    <w:widowControl/>
                    <w:jc w:val="center"/>
                    <w:rPr>
                      <w:rFonts w:hint="default" w:ascii="Times New Roman" w:hAnsi="Times New Roman" w:eastAsia="宋体" w:cs="Times New Roman"/>
                      <w:color w:val="auto"/>
                      <w:kern w:val="0"/>
                      <w:szCs w:val="21"/>
                      <w:highlight w:val="none"/>
                      <w:lang w:val="en-US" w:eastAsia="zh-CN" w:bidi="en-US"/>
                    </w:rPr>
                  </w:pPr>
                </w:p>
              </w:tc>
              <w:tc>
                <w:tcPr>
                  <w:tcW w:w="3047"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val="en-US" w:eastAsia="zh-CN" w:bidi="en-US"/>
                    </w:rPr>
                    <w:t>产生量（t/a）</w:t>
                  </w:r>
                </w:p>
              </w:tc>
              <w:tc>
                <w:tcPr>
                  <w:tcW w:w="1660"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0.</w:t>
                  </w:r>
                  <w:r>
                    <w:rPr>
                      <w:rFonts w:hint="eastAsia" w:cs="Times New Roman"/>
                      <w:color w:val="auto"/>
                      <w:kern w:val="0"/>
                      <w:szCs w:val="21"/>
                      <w:highlight w:val="none"/>
                      <w:lang w:val="en-US" w:eastAsia="zh-CN" w:bidi="en-US"/>
                    </w:rPr>
                    <w:t>22</w:t>
                  </w:r>
                </w:p>
              </w:tc>
              <w:tc>
                <w:tcPr>
                  <w:tcW w:w="1660"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0.027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932" w:type="dxa"/>
                  <w:vMerge w:val="continue"/>
                </w:tcPr>
                <w:p>
                  <w:pPr>
                    <w:widowControl/>
                    <w:jc w:val="center"/>
                    <w:rPr>
                      <w:rFonts w:hint="default" w:ascii="Times New Roman" w:hAnsi="Times New Roman" w:eastAsia="宋体" w:cs="Times New Roman"/>
                      <w:color w:val="auto"/>
                      <w:kern w:val="0"/>
                      <w:szCs w:val="21"/>
                      <w:highlight w:val="none"/>
                      <w:lang w:val="en-US" w:eastAsia="zh-CN" w:bidi="en-US"/>
                    </w:rPr>
                  </w:pPr>
                </w:p>
              </w:tc>
              <w:tc>
                <w:tcPr>
                  <w:tcW w:w="3047"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val="en-US" w:eastAsia="zh-CN" w:bidi="en-US"/>
                    </w:rPr>
                    <w:t>去除效率%</w:t>
                  </w:r>
                </w:p>
              </w:tc>
              <w:tc>
                <w:tcPr>
                  <w:tcW w:w="1660"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val="en-US" w:eastAsia="zh-CN" w:bidi="en-US"/>
                    </w:rPr>
                    <w:t>60</w:t>
                  </w:r>
                </w:p>
              </w:tc>
              <w:tc>
                <w:tcPr>
                  <w:tcW w:w="1660"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5</w:t>
                  </w:r>
                  <w:r>
                    <w:rPr>
                      <w:rFonts w:hint="eastAsia" w:ascii="Times New Roman" w:hAnsi="Times New Roman" w:eastAsia="宋体" w:cs="Times New Roman"/>
                      <w:color w:val="auto"/>
                      <w:kern w:val="0"/>
                      <w:szCs w:val="21"/>
                      <w:highlight w:val="none"/>
                      <w:lang w:val="en-US" w:eastAsia="zh-CN" w:bidi="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932" w:type="dxa"/>
                  <w:vMerge w:val="continue"/>
                </w:tcPr>
                <w:p>
                  <w:pPr>
                    <w:widowControl/>
                    <w:jc w:val="center"/>
                    <w:rPr>
                      <w:rFonts w:hint="default" w:ascii="Times New Roman" w:hAnsi="Times New Roman" w:eastAsia="宋体" w:cs="Times New Roman"/>
                      <w:color w:val="auto"/>
                      <w:kern w:val="0"/>
                      <w:szCs w:val="21"/>
                      <w:highlight w:val="none"/>
                      <w:lang w:val="en-US" w:eastAsia="zh-CN" w:bidi="en-US"/>
                    </w:rPr>
                  </w:pPr>
                </w:p>
              </w:tc>
              <w:tc>
                <w:tcPr>
                  <w:tcW w:w="3047"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val="en-US" w:eastAsia="zh-CN" w:bidi="en-US"/>
                    </w:rPr>
                    <w:t>排放浓度（mg/L）</w:t>
                  </w:r>
                </w:p>
              </w:tc>
              <w:tc>
                <w:tcPr>
                  <w:tcW w:w="1660"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1</w:t>
                  </w:r>
                  <w:r>
                    <w:rPr>
                      <w:rFonts w:hint="eastAsia" w:cs="Times New Roman"/>
                      <w:color w:val="auto"/>
                      <w:kern w:val="0"/>
                      <w:szCs w:val="21"/>
                      <w:highlight w:val="none"/>
                      <w:lang w:val="en-US" w:eastAsia="zh-CN" w:bidi="en-US"/>
                    </w:rPr>
                    <w:t>00</w:t>
                  </w:r>
                </w:p>
              </w:tc>
              <w:tc>
                <w:tcPr>
                  <w:tcW w:w="1660"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cs="Times New Roman"/>
                      <w:color w:val="auto"/>
                      <w:kern w:val="0"/>
                      <w:szCs w:val="21"/>
                      <w:highlight w:val="none"/>
                      <w:lang w:val="en-US" w:eastAsia="zh-CN" w:bidi="en-US"/>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1932" w:type="dxa"/>
                  <w:vMerge w:val="continue"/>
                </w:tcPr>
                <w:p>
                  <w:pPr>
                    <w:widowControl/>
                    <w:jc w:val="center"/>
                    <w:rPr>
                      <w:rFonts w:hint="default" w:ascii="Times New Roman" w:hAnsi="Times New Roman" w:eastAsia="宋体" w:cs="Times New Roman"/>
                      <w:color w:val="auto"/>
                      <w:kern w:val="0"/>
                      <w:szCs w:val="21"/>
                      <w:highlight w:val="none"/>
                      <w:lang w:val="en-US" w:eastAsia="zh-CN" w:bidi="en-US"/>
                    </w:rPr>
                  </w:pPr>
                </w:p>
              </w:tc>
              <w:tc>
                <w:tcPr>
                  <w:tcW w:w="3047"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default" w:ascii="Times New Roman" w:hAnsi="Times New Roman" w:eastAsia="宋体" w:cs="Times New Roman"/>
                      <w:color w:val="auto"/>
                      <w:kern w:val="0"/>
                      <w:szCs w:val="21"/>
                      <w:highlight w:val="none"/>
                      <w:lang w:val="en-US" w:eastAsia="zh-CN" w:bidi="en-US"/>
                    </w:rPr>
                    <w:t>核算排放量（t/a）</w:t>
                  </w:r>
                </w:p>
              </w:tc>
              <w:tc>
                <w:tcPr>
                  <w:tcW w:w="1660"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0.</w:t>
                  </w:r>
                  <w:r>
                    <w:rPr>
                      <w:rFonts w:hint="eastAsia" w:cs="Times New Roman"/>
                      <w:color w:val="auto"/>
                      <w:kern w:val="0"/>
                      <w:szCs w:val="21"/>
                      <w:highlight w:val="none"/>
                      <w:lang w:val="en-US" w:eastAsia="zh-CN" w:bidi="en-US"/>
                    </w:rPr>
                    <w:t>09</w:t>
                  </w:r>
                </w:p>
              </w:tc>
              <w:tc>
                <w:tcPr>
                  <w:tcW w:w="1660" w:type="dxa"/>
                  <w:vAlign w:val="center"/>
                </w:tcPr>
                <w:p>
                  <w:pPr>
                    <w:widowControl/>
                    <w:jc w:val="center"/>
                    <w:rPr>
                      <w:rFonts w:hint="default" w:ascii="Times New Roman" w:hAnsi="Times New Roman" w:eastAsia="宋体"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0.0</w:t>
                  </w:r>
                  <w:r>
                    <w:rPr>
                      <w:rFonts w:hint="eastAsia" w:cs="Times New Roman"/>
                      <w:color w:val="auto"/>
                      <w:kern w:val="0"/>
                      <w:szCs w:val="21"/>
                      <w:highlight w:val="none"/>
                      <w:lang w:val="en-US" w:eastAsia="zh-CN" w:bidi="en-US"/>
                    </w:rPr>
                    <w:t>16</w:t>
                  </w:r>
                </w:p>
              </w:tc>
            </w:tr>
          </w:tbl>
          <w:p>
            <w:pPr>
              <w:pStyle w:val="3"/>
              <w:spacing w:after="0" w:line="360" w:lineRule="auto"/>
              <w:ind w:left="0" w:leftChars="0" w:firstLine="482" w:firstLineChars="200"/>
              <w:contextualSpacing/>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w:t>
            </w:r>
            <w:r>
              <w:rPr>
                <w:rFonts w:hint="eastAsia"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t>排放口情况</w:t>
            </w:r>
          </w:p>
          <w:p>
            <w:pPr>
              <w:pStyle w:val="3"/>
              <w:spacing w:after="0" w:line="360" w:lineRule="auto"/>
              <w:ind w:left="0" w:leftChars="0" w:firstLine="480" w:firstLineChars="200"/>
              <w:contextualSpacing/>
              <w:rPr>
                <w:rFonts w:hint="default" w:ascii="Times New Roman" w:hAnsi="Times New Roman" w:cs="Times New Roman"/>
                <w:color w:val="auto"/>
                <w:highlight w:val="none"/>
              </w:rPr>
            </w:pPr>
            <w:r>
              <w:rPr>
                <w:rFonts w:hint="default" w:ascii="Times New Roman" w:hAnsi="Times New Roman" w:cs="Times New Roman"/>
                <w:color w:val="auto"/>
                <w:highlight w:val="none"/>
              </w:rPr>
              <w:t>医院废水排放口情况见下表。</w:t>
            </w:r>
          </w:p>
          <w:p>
            <w:pPr>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表4-</w:t>
            </w:r>
            <w:r>
              <w:rPr>
                <w:rFonts w:hint="eastAsia" w:cs="Times New Roman"/>
                <w:b/>
                <w:bCs/>
                <w:color w:val="auto"/>
                <w:sz w:val="24"/>
                <w:highlight w:val="none"/>
                <w:lang w:val="en-US" w:eastAsia="zh-CN"/>
              </w:rPr>
              <w:t>8</w:t>
            </w:r>
            <w:r>
              <w:rPr>
                <w:rFonts w:hint="eastAsia" w:ascii="Times New Roman" w:hAnsi="Times New Roman" w:cs="Times New Roman"/>
                <w:b/>
                <w:bCs/>
                <w:color w:val="auto"/>
                <w:sz w:val="24"/>
                <w:highlight w:val="none"/>
                <w:lang w:val="en-US" w:eastAsia="zh-CN"/>
              </w:rPr>
              <w:t xml:space="preserve">   </w:t>
            </w:r>
            <w:r>
              <w:rPr>
                <w:rFonts w:hint="default" w:ascii="Times New Roman" w:hAnsi="Times New Roman" w:cs="Times New Roman"/>
                <w:b/>
                <w:bCs/>
                <w:color w:val="auto"/>
                <w:sz w:val="24"/>
                <w:highlight w:val="none"/>
              </w:rPr>
              <w:t>废水类别、污染物及治理措施信息表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050"/>
              <w:gridCol w:w="920"/>
              <w:gridCol w:w="735"/>
              <w:gridCol w:w="823"/>
              <w:gridCol w:w="876"/>
              <w:gridCol w:w="773"/>
              <w:gridCol w:w="822"/>
              <w:gridCol w:w="902"/>
              <w:gridCol w:w="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27" w:type="dxa"/>
                  <w:vMerge w:val="restart"/>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废水类别</w:t>
                  </w:r>
                </w:p>
              </w:tc>
              <w:tc>
                <w:tcPr>
                  <w:tcW w:w="1050" w:type="dxa"/>
                  <w:vMerge w:val="restart"/>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污染物种类</w:t>
                  </w:r>
                </w:p>
              </w:tc>
              <w:tc>
                <w:tcPr>
                  <w:tcW w:w="920" w:type="dxa"/>
                  <w:vMerge w:val="restart"/>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排放去向</w:t>
                  </w:r>
                </w:p>
              </w:tc>
              <w:tc>
                <w:tcPr>
                  <w:tcW w:w="735" w:type="dxa"/>
                  <w:vMerge w:val="restart"/>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排放规律</w:t>
                  </w:r>
                </w:p>
              </w:tc>
              <w:tc>
                <w:tcPr>
                  <w:tcW w:w="2472" w:type="dxa"/>
                  <w:gridSpan w:val="3"/>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污染治理措施</w:t>
                  </w:r>
                </w:p>
              </w:tc>
              <w:tc>
                <w:tcPr>
                  <w:tcW w:w="822" w:type="dxa"/>
                  <w:vMerge w:val="restart"/>
                  <w:noWrap w:val="0"/>
                  <w:vAlign w:val="center"/>
                </w:tcPr>
                <w:p>
                  <w:pPr>
                    <w:adjustRightInd w:val="0"/>
                    <w:snapToGrid w:val="0"/>
                    <w:ind w:left="-105" w:leftChars="-50" w:right="-105" w:rightChars="-5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排放口编号</w:t>
                  </w:r>
                </w:p>
              </w:tc>
              <w:tc>
                <w:tcPr>
                  <w:tcW w:w="902" w:type="dxa"/>
                  <w:vMerge w:val="restart"/>
                  <w:noWrap w:val="0"/>
                  <w:vAlign w:val="center"/>
                </w:tcPr>
                <w:p>
                  <w:pPr>
                    <w:adjustRightInd w:val="0"/>
                    <w:snapToGrid w:val="0"/>
                    <w:ind w:left="-105" w:leftChars="-50" w:right="-105" w:rightChars="-5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是否为可行技术</w:t>
                  </w:r>
                </w:p>
              </w:tc>
              <w:tc>
                <w:tcPr>
                  <w:tcW w:w="733" w:type="dxa"/>
                  <w:vMerge w:val="restart"/>
                  <w:noWrap w:val="0"/>
                  <w:vAlign w:val="center"/>
                </w:tcPr>
                <w:p>
                  <w:pPr>
                    <w:adjustRightInd w:val="0"/>
                    <w:snapToGrid w:val="0"/>
                    <w:ind w:left="-105" w:leftChars="-50" w:right="-105" w:rightChars="-5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827" w:type="dxa"/>
                  <w:vMerge w:val="continue"/>
                  <w:noWrap w:val="0"/>
                  <w:vAlign w:val="center"/>
                </w:tcPr>
                <w:p>
                  <w:pPr>
                    <w:adjustRightInd w:val="0"/>
                    <w:snapToGrid w:val="0"/>
                    <w:jc w:val="center"/>
                    <w:rPr>
                      <w:rFonts w:hint="default" w:ascii="Times New Roman" w:hAnsi="Times New Roman" w:cs="Times New Roman"/>
                      <w:bCs/>
                      <w:color w:val="auto"/>
                      <w:szCs w:val="21"/>
                      <w:highlight w:val="none"/>
                    </w:rPr>
                  </w:pPr>
                </w:p>
              </w:tc>
              <w:tc>
                <w:tcPr>
                  <w:tcW w:w="1050" w:type="dxa"/>
                  <w:vMerge w:val="continue"/>
                  <w:noWrap w:val="0"/>
                  <w:vAlign w:val="center"/>
                </w:tcPr>
                <w:p>
                  <w:pPr>
                    <w:adjustRightInd w:val="0"/>
                    <w:snapToGrid w:val="0"/>
                    <w:jc w:val="center"/>
                    <w:rPr>
                      <w:rFonts w:hint="default" w:ascii="Times New Roman" w:hAnsi="Times New Roman" w:cs="Times New Roman"/>
                      <w:bCs/>
                      <w:color w:val="auto"/>
                      <w:szCs w:val="21"/>
                      <w:highlight w:val="none"/>
                    </w:rPr>
                  </w:pPr>
                </w:p>
              </w:tc>
              <w:tc>
                <w:tcPr>
                  <w:tcW w:w="920" w:type="dxa"/>
                  <w:vMerge w:val="continue"/>
                  <w:noWrap w:val="0"/>
                  <w:vAlign w:val="center"/>
                </w:tcPr>
                <w:p>
                  <w:pPr>
                    <w:adjustRightInd w:val="0"/>
                    <w:snapToGrid w:val="0"/>
                    <w:jc w:val="center"/>
                    <w:rPr>
                      <w:rFonts w:hint="default" w:ascii="Times New Roman" w:hAnsi="Times New Roman" w:cs="Times New Roman"/>
                      <w:bCs/>
                      <w:color w:val="auto"/>
                      <w:szCs w:val="21"/>
                      <w:highlight w:val="none"/>
                    </w:rPr>
                  </w:pPr>
                </w:p>
              </w:tc>
              <w:tc>
                <w:tcPr>
                  <w:tcW w:w="735" w:type="dxa"/>
                  <w:vMerge w:val="continue"/>
                  <w:noWrap w:val="0"/>
                  <w:vAlign w:val="center"/>
                </w:tcPr>
                <w:p>
                  <w:pPr>
                    <w:adjustRightInd w:val="0"/>
                    <w:snapToGrid w:val="0"/>
                    <w:jc w:val="center"/>
                    <w:rPr>
                      <w:rFonts w:hint="default" w:ascii="Times New Roman" w:hAnsi="Times New Roman" w:cs="Times New Roman"/>
                      <w:bCs/>
                      <w:color w:val="auto"/>
                      <w:szCs w:val="21"/>
                      <w:highlight w:val="none"/>
                    </w:rPr>
                  </w:pPr>
                </w:p>
              </w:tc>
              <w:tc>
                <w:tcPr>
                  <w:tcW w:w="823" w:type="dxa"/>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污染治理措施编号</w:t>
                  </w:r>
                </w:p>
              </w:tc>
              <w:tc>
                <w:tcPr>
                  <w:tcW w:w="876" w:type="dxa"/>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污染治理措施</w:t>
                  </w:r>
                </w:p>
              </w:tc>
              <w:tc>
                <w:tcPr>
                  <w:tcW w:w="773" w:type="dxa"/>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污染治理措施工艺</w:t>
                  </w:r>
                </w:p>
              </w:tc>
              <w:tc>
                <w:tcPr>
                  <w:tcW w:w="822" w:type="dxa"/>
                  <w:vMerge w:val="continue"/>
                  <w:noWrap w:val="0"/>
                  <w:vAlign w:val="center"/>
                </w:tcPr>
                <w:p>
                  <w:pPr>
                    <w:adjustRightInd w:val="0"/>
                    <w:snapToGrid w:val="0"/>
                    <w:jc w:val="center"/>
                    <w:rPr>
                      <w:rFonts w:hint="default" w:ascii="Times New Roman" w:hAnsi="Times New Roman" w:cs="Times New Roman"/>
                      <w:bCs/>
                      <w:color w:val="auto"/>
                      <w:szCs w:val="21"/>
                      <w:highlight w:val="none"/>
                    </w:rPr>
                  </w:pPr>
                </w:p>
              </w:tc>
              <w:tc>
                <w:tcPr>
                  <w:tcW w:w="902" w:type="dxa"/>
                  <w:vMerge w:val="continue"/>
                  <w:noWrap w:val="0"/>
                  <w:vAlign w:val="center"/>
                </w:tcPr>
                <w:p>
                  <w:pPr>
                    <w:adjustRightInd w:val="0"/>
                    <w:snapToGrid w:val="0"/>
                    <w:jc w:val="center"/>
                    <w:rPr>
                      <w:rFonts w:hint="default" w:ascii="Times New Roman" w:hAnsi="Times New Roman" w:cs="Times New Roman"/>
                      <w:bCs/>
                      <w:color w:val="auto"/>
                      <w:szCs w:val="21"/>
                      <w:highlight w:val="none"/>
                    </w:rPr>
                  </w:pPr>
                </w:p>
              </w:tc>
              <w:tc>
                <w:tcPr>
                  <w:tcW w:w="733" w:type="dxa"/>
                  <w:vMerge w:val="continue"/>
                  <w:noWrap w:val="0"/>
                  <w:vAlign w:val="center"/>
                </w:tcPr>
                <w:p>
                  <w:pPr>
                    <w:adjustRightInd w:val="0"/>
                    <w:snapToGrid w:val="0"/>
                    <w:jc w:val="center"/>
                    <w:rPr>
                      <w:rFonts w:hint="default" w:ascii="Times New Roman" w:hAnsi="Times New Roman" w:cs="Times New Roman"/>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7" w:type="dxa"/>
                  <w:noWrap w:val="0"/>
                  <w:vAlign w:val="center"/>
                </w:tcPr>
                <w:p>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cs="Times New Roman"/>
                      <w:bCs/>
                      <w:color w:val="auto"/>
                      <w:szCs w:val="21"/>
                      <w:highlight w:val="none"/>
                      <w:lang w:val="en-US" w:eastAsia="zh-CN"/>
                    </w:rPr>
                    <w:t>医院综合废水</w:t>
                  </w:r>
                </w:p>
              </w:tc>
              <w:tc>
                <w:tcPr>
                  <w:tcW w:w="1050" w:type="dxa"/>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pH、粪大肠菌群、SS、BOD</w:t>
                  </w:r>
                  <w:r>
                    <w:rPr>
                      <w:rFonts w:hint="default" w:ascii="Times New Roman" w:hAnsi="Times New Roman" w:cs="Times New Roman"/>
                      <w:bCs/>
                      <w:color w:val="auto"/>
                      <w:szCs w:val="21"/>
                      <w:highlight w:val="none"/>
                      <w:vertAlign w:val="subscript"/>
                    </w:rPr>
                    <w:t>5</w:t>
                  </w:r>
                  <w:r>
                    <w:rPr>
                      <w:rFonts w:hint="default" w:ascii="Times New Roman" w:hAnsi="Times New Roman" w:cs="Times New Roman"/>
                      <w:bCs/>
                      <w:color w:val="auto"/>
                      <w:szCs w:val="21"/>
                      <w:highlight w:val="none"/>
                    </w:rPr>
                    <w:t>、CODcr、NH</w:t>
                  </w:r>
                  <w:r>
                    <w:rPr>
                      <w:rFonts w:hint="default" w:ascii="Times New Roman" w:hAnsi="Times New Roman" w:cs="Times New Roman"/>
                      <w:bCs/>
                      <w:color w:val="auto"/>
                      <w:szCs w:val="21"/>
                      <w:highlight w:val="none"/>
                      <w:vertAlign w:val="subscript"/>
                    </w:rPr>
                    <w:t>3</w:t>
                  </w:r>
                  <w:r>
                    <w:rPr>
                      <w:rFonts w:hint="default" w:ascii="Times New Roman" w:hAnsi="Times New Roman" w:cs="Times New Roman"/>
                      <w:bCs/>
                      <w:color w:val="auto"/>
                      <w:szCs w:val="21"/>
                      <w:highlight w:val="none"/>
                    </w:rPr>
                    <w:t>－N、动植物油、LAS、TN、TP、挥发酚色度、总氰化物、总余氯</w:t>
                  </w:r>
                </w:p>
              </w:tc>
              <w:tc>
                <w:tcPr>
                  <w:tcW w:w="920" w:type="dxa"/>
                  <w:noWrap w:val="0"/>
                  <w:vAlign w:val="center"/>
                </w:tcPr>
                <w:p>
                  <w:pPr>
                    <w:adjustRightInd w:val="0"/>
                    <w:snapToGrid w:val="0"/>
                    <w:ind w:left="-105" w:leftChars="-50" w:right="-105" w:rightChars="-5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lang w:eastAsia="zh-CN"/>
                    </w:rPr>
                    <w:t>胡杨河市</w:t>
                  </w:r>
                  <w:r>
                    <w:rPr>
                      <w:rFonts w:hint="default" w:ascii="Times New Roman" w:hAnsi="Times New Roman" w:cs="Times New Roman"/>
                      <w:bCs/>
                      <w:color w:val="auto"/>
                      <w:szCs w:val="21"/>
                      <w:highlight w:val="none"/>
                    </w:rPr>
                    <w:t>污水处理厂</w:t>
                  </w:r>
                </w:p>
              </w:tc>
              <w:tc>
                <w:tcPr>
                  <w:tcW w:w="735" w:type="dxa"/>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间断排放</w:t>
                  </w:r>
                </w:p>
              </w:tc>
              <w:tc>
                <w:tcPr>
                  <w:tcW w:w="823" w:type="dxa"/>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1</w:t>
                  </w:r>
                </w:p>
              </w:tc>
              <w:tc>
                <w:tcPr>
                  <w:tcW w:w="876" w:type="dxa"/>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color w:val="auto"/>
                      <w:szCs w:val="21"/>
                      <w:highlight w:val="none"/>
                    </w:rPr>
                    <w:t>“化粪池+调节池+生物接触氧化池+沉淀+消毒”</w:t>
                  </w:r>
                </w:p>
              </w:tc>
              <w:tc>
                <w:tcPr>
                  <w:tcW w:w="773" w:type="dxa"/>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二级生化处理</w:t>
                  </w:r>
                </w:p>
              </w:tc>
              <w:tc>
                <w:tcPr>
                  <w:tcW w:w="822" w:type="dxa"/>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DW01</w:t>
                  </w:r>
                </w:p>
              </w:tc>
              <w:tc>
                <w:tcPr>
                  <w:tcW w:w="902" w:type="dxa"/>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是</w:t>
                  </w:r>
                </w:p>
              </w:tc>
              <w:tc>
                <w:tcPr>
                  <w:tcW w:w="733" w:type="dxa"/>
                  <w:noWrap w:val="0"/>
                  <w:vAlign w:val="center"/>
                </w:tcPr>
                <w:p>
                  <w:pPr>
                    <w:adjustRightInd w:val="0"/>
                    <w:snapToGrid w:val="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一般排放口</w:t>
                  </w:r>
                </w:p>
              </w:tc>
            </w:tr>
          </w:tbl>
          <w:p>
            <w:pPr>
              <w:pStyle w:val="3"/>
              <w:spacing w:after="0" w:line="360" w:lineRule="auto"/>
              <w:ind w:left="0" w:leftChars="0" w:firstLine="482" w:firstLineChars="200"/>
              <w:contextualSpacing/>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w:t>
            </w:r>
            <w:r>
              <w:rPr>
                <w:rFonts w:hint="eastAsia" w:ascii="Times New Roman" w:hAnsi="Times New Roman" w:cs="Times New Roman"/>
                <w:b/>
                <w:bCs/>
                <w:color w:val="auto"/>
                <w:highlight w:val="none"/>
                <w:lang w:val="en-US" w:eastAsia="zh-CN"/>
              </w:rPr>
              <w:t>3</w:t>
            </w:r>
            <w:r>
              <w:rPr>
                <w:rFonts w:hint="default" w:ascii="Times New Roman" w:hAnsi="Times New Roman" w:cs="Times New Roman"/>
                <w:b/>
                <w:bCs/>
                <w:color w:val="auto"/>
                <w:highlight w:val="none"/>
              </w:rPr>
              <w:t>废水治理措施可行性分析</w:t>
            </w:r>
          </w:p>
          <w:p>
            <w:pPr>
              <w:autoSpaceDE w:val="0"/>
              <w:autoSpaceDN w:val="0"/>
              <w:spacing w:line="360" w:lineRule="auto"/>
              <w:ind w:firstLine="480" w:firstLineChars="200"/>
              <w:rPr>
                <w:rFonts w:hint="default" w:ascii="Times New Roman" w:hAnsi="Times New Roman" w:cs="Times New Roman"/>
                <w:b w:val="0"/>
                <w:bCs/>
                <w:color w:val="auto"/>
                <w:spacing w:val="3"/>
                <w:kern w:val="0"/>
                <w:sz w:val="24"/>
                <w:highlight w:val="none"/>
              </w:rPr>
            </w:pPr>
            <w:r>
              <w:rPr>
                <w:rFonts w:hint="default" w:ascii="Times New Roman" w:hAnsi="Times New Roman" w:cs="Times New Roman"/>
                <w:b w:val="0"/>
                <w:bCs/>
                <w:color w:val="auto"/>
                <w:sz w:val="24"/>
                <w:highlight w:val="none"/>
              </w:rPr>
              <w:t>（</w:t>
            </w:r>
            <w:r>
              <w:rPr>
                <w:rFonts w:hint="eastAsia" w:ascii="Times New Roman" w:hAnsi="Times New Roman" w:cs="Times New Roman"/>
                <w:b w:val="0"/>
                <w:bCs/>
                <w:color w:val="auto"/>
                <w:sz w:val="24"/>
                <w:highlight w:val="none"/>
                <w:lang w:val="en-US" w:eastAsia="zh-CN"/>
              </w:rPr>
              <w:t>1</w:t>
            </w:r>
            <w:r>
              <w:rPr>
                <w:rFonts w:hint="default" w:ascii="Times New Roman" w:hAnsi="Times New Roman" w:cs="Times New Roman"/>
                <w:b w:val="0"/>
                <w:bCs/>
                <w:color w:val="auto"/>
                <w:sz w:val="24"/>
                <w:highlight w:val="none"/>
              </w:rPr>
              <w:t>）</w:t>
            </w:r>
            <w:r>
              <w:rPr>
                <w:rFonts w:hint="default" w:ascii="Times New Roman" w:hAnsi="Times New Roman" w:cs="Times New Roman"/>
                <w:b w:val="0"/>
                <w:bCs/>
                <w:color w:val="auto"/>
                <w:spacing w:val="3"/>
                <w:kern w:val="0"/>
                <w:sz w:val="24"/>
                <w:highlight w:val="none"/>
              </w:rPr>
              <w:t>废水处理可行工艺</w:t>
            </w:r>
          </w:p>
          <w:p>
            <w:pPr>
              <w:pStyle w:val="66"/>
              <w:ind w:firstLine="48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根据《排污许可证申请与核发技术规范医疗机构》(HJ1105-2020)、《医院污水处 理工程技术规范》(HJ2029-2013)、《排污许可证申请与核发技术规范 制药工业-中成药生产》(HJ1064-2019)和《排放源统计调查产排污核算方法和系数手册2740中成药生产行业系数手册》</w:t>
            </w:r>
            <w:r>
              <w:rPr>
                <w:rFonts w:hint="eastAsia" w:ascii="Times New Roman" w:hAnsi="Times New Roman" w:cs="Times New Roman"/>
                <w:color w:val="auto"/>
                <w:highlight w:val="none"/>
                <w:lang w:eastAsia="zh-CN"/>
              </w:rPr>
              <w:t>。</w:t>
            </w:r>
          </w:p>
          <w:p>
            <w:pPr>
              <w:pStyle w:val="66"/>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根据调查，项目不设置传染病房，</w:t>
            </w:r>
            <w:r>
              <w:rPr>
                <w:rFonts w:hint="default" w:ascii="Times New Roman" w:hAnsi="Times New Roman" w:cs="Times New Roman"/>
                <w:color w:val="auto"/>
                <w:highlight w:val="none"/>
              </w:rPr>
              <w:t>项目放射科采用DR数字化摄影机及胶片打印机成像，不涉及洗相用水</w:t>
            </w:r>
            <w:r>
              <w:rPr>
                <w:rFonts w:hint="default" w:ascii="Times New Roman" w:hAnsi="Times New Roman" w:cs="Times New Roman"/>
                <w:color w:val="auto"/>
                <w:szCs w:val="24"/>
                <w:highlight w:val="none"/>
              </w:rPr>
              <w:t>。</w:t>
            </w:r>
            <w:r>
              <w:rPr>
                <w:rFonts w:hint="eastAsia" w:ascii="Times New Roman" w:hAnsi="Times New Roman" w:cs="Times New Roman"/>
                <w:color w:val="auto"/>
                <w:szCs w:val="24"/>
                <w:highlight w:val="none"/>
                <w:lang w:val="en-US" w:eastAsia="zh-CN"/>
              </w:rPr>
              <w:t>本项目涉及</w:t>
            </w:r>
            <w:r>
              <w:rPr>
                <w:rFonts w:hint="default" w:ascii="Times New Roman" w:hAnsi="Times New Roman" w:cs="Times New Roman"/>
                <w:color w:val="auto"/>
                <w:sz w:val="24"/>
                <w:highlight w:val="none"/>
                <w:lang w:eastAsia="zh-CN"/>
              </w:rPr>
              <w:t>放射性设备的环评由建设单位委托有资质的单位另作评价，不在本次评价范围内。</w:t>
            </w:r>
          </w:p>
          <w:p>
            <w:pPr>
              <w:autoSpaceDE w:val="0"/>
              <w:autoSpaceDN w:val="0"/>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依据《医院污水处理工程技术规范》（HJ2029-2013），污水处理一般采用预消毒+二级处理+（深度处理）+消毒工艺</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排污许可中推荐的二级处理/深度处理+消毒工艺。</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二级处理包括：活性污泥法；生物膜法。</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深度处理包括：絮凝沉淀法；砂滤法；活性炭法；臭氧氧化法；膜分离法；生物脱氮除磷法。</w:t>
            </w:r>
          </w:p>
          <w:p>
            <w:pPr>
              <w:pStyle w:val="66"/>
              <w:ind w:firstLine="480"/>
              <w:rPr>
                <w:rFonts w:hint="default" w:ascii="Times New Roman" w:hAnsi="Times New Roman" w:cs="Times New Roman"/>
                <w:b w:val="0"/>
                <w:bCs/>
                <w:color w:val="auto"/>
                <w:sz w:val="24"/>
                <w:highlight w:val="none"/>
              </w:rPr>
            </w:pPr>
            <w:r>
              <w:rPr>
                <w:rFonts w:hint="default" w:ascii="Times New Roman" w:hAnsi="Times New Roman" w:cs="Times New Roman"/>
                <w:color w:val="auto"/>
                <w:highlight w:val="none"/>
              </w:rPr>
              <w:t>消毒工艺：加氯消毒，臭氧法消毒，次氯酸钠法、二氧化氯法消毒、紫外线消毒等。</w:t>
            </w:r>
          </w:p>
          <w:p>
            <w:pPr>
              <w:autoSpaceDE w:val="0"/>
              <w:autoSpaceDN w:val="0"/>
              <w:spacing w:line="360" w:lineRule="auto"/>
              <w:ind w:firstLine="480" w:firstLineChars="200"/>
              <w:rPr>
                <w:rFonts w:hint="default" w:ascii="Times New Roman" w:hAnsi="Times New Roman" w:cs="Times New Roman"/>
                <w:b w:val="0"/>
                <w:bCs/>
                <w:color w:val="auto"/>
                <w:spacing w:val="3"/>
                <w:kern w:val="0"/>
                <w:sz w:val="24"/>
                <w:highlight w:val="none"/>
              </w:rPr>
            </w:pPr>
            <w:r>
              <w:rPr>
                <w:rFonts w:hint="default" w:ascii="Times New Roman" w:hAnsi="Times New Roman" w:cs="Times New Roman"/>
                <w:b w:val="0"/>
                <w:bCs/>
                <w:color w:val="auto"/>
                <w:sz w:val="24"/>
                <w:highlight w:val="none"/>
              </w:rPr>
              <w:t>（</w:t>
            </w:r>
            <w:r>
              <w:rPr>
                <w:rFonts w:hint="eastAsia" w:ascii="Times New Roman" w:hAnsi="Times New Roman" w:cs="Times New Roman"/>
                <w:b w:val="0"/>
                <w:bCs/>
                <w:color w:val="auto"/>
                <w:sz w:val="24"/>
                <w:highlight w:val="none"/>
                <w:lang w:val="en-US" w:eastAsia="zh-CN"/>
              </w:rPr>
              <w:t>2</w:t>
            </w:r>
            <w:r>
              <w:rPr>
                <w:rFonts w:hint="default" w:ascii="Times New Roman" w:hAnsi="Times New Roman" w:cs="Times New Roman"/>
                <w:b w:val="0"/>
                <w:bCs/>
                <w:color w:val="auto"/>
                <w:sz w:val="24"/>
                <w:highlight w:val="none"/>
              </w:rPr>
              <w:t>）</w:t>
            </w:r>
            <w:r>
              <w:rPr>
                <w:rFonts w:hint="default" w:ascii="Times New Roman" w:hAnsi="Times New Roman" w:cs="Times New Roman"/>
                <w:b w:val="0"/>
                <w:bCs/>
                <w:color w:val="auto"/>
                <w:spacing w:val="3"/>
                <w:kern w:val="0"/>
                <w:sz w:val="24"/>
                <w:highlight w:val="none"/>
              </w:rPr>
              <w:t>废水处理工艺流程</w:t>
            </w:r>
          </w:p>
          <w:p>
            <w:pPr>
              <w:autoSpaceDE w:val="0"/>
              <w:autoSpaceDN w:val="0"/>
              <w:spacing w:line="360" w:lineRule="auto"/>
              <w:ind w:firstLine="492" w:firstLineChars="200"/>
              <w:rPr>
                <w:rFonts w:hint="default" w:ascii="Times New Roman" w:hAnsi="Times New Roman" w:cs="Times New Roman"/>
                <w:color w:val="auto"/>
                <w:kern w:val="0"/>
                <w:sz w:val="24"/>
                <w:highlight w:val="none"/>
                <w:lang w:bidi="en-US"/>
              </w:rPr>
            </w:pPr>
            <w:r>
              <w:rPr>
                <w:rFonts w:hint="default" w:ascii="Times New Roman" w:hAnsi="Times New Roman" w:cs="Times New Roman"/>
                <w:b w:val="0"/>
                <w:bCs w:val="0"/>
                <w:color w:val="auto"/>
                <w:spacing w:val="3"/>
                <w:kern w:val="0"/>
                <w:sz w:val="24"/>
                <w:highlight w:val="none"/>
              </w:rPr>
              <w:t>本项目</w:t>
            </w:r>
            <w:r>
              <w:rPr>
                <w:rFonts w:hint="default" w:ascii="Times New Roman" w:hAnsi="Times New Roman" w:cs="Times New Roman"/>
                <w:b w:val="0"/>
                <w:bCs w:val="0"/>
                <w:color w:val="auto"/>
                <w:kern w:val="0"/>
                <w:sz w:val="24"/>
                <w:highlight w:val="none"/>
                <w:lang w:bidi="en-US"/>
              </w:rPr>
              <w:t>污</w:t>
            </w:r>
            <w:r>
              <w:rPr>
                <w:rFonts w:hint="default" w:ascii="Times New Roman" w:hAnsi="Times New Roman" w:cs="Times New Roman"/>
                <w:color w:val="auto"/>
                <w:kern w:val="0"/>
                <w:sz w:val="24"/>
                <w:highlight w:val="none"/>
                <w:lang w:bidi="en-US"/>
              </w:rPr>
              <w:t>水处理站采用“化粪池+调节池+生物接触氧化池+沉淀+消毒”工艺，</w:t>
            </w:r>
            <w:r>
              <w:rPr>
                <w:rFonts w:hint="eastAsia" w:cs="Times New Roman"/>
                <w:color w:val="auto"/>
                <w:kern w:val="0"/>
                <w:sz w:val="24"/>
                <w:highlight w:val="none"/>
                <w:lang w:eastAsia="zh-CN" w:bidi="en-US"/>
              </w:rPr>
              <w:t>（</w:t>
            </w:r>
            <w:r>
              <w:rPr>
                <w:rFonts w:hint="eastAsia" w:ascii="Times New Roman" w:hAnsi="Times New Roman" w:eastAsia="宋体" w:cs="Times New Roman"/>
                <w:color w:val="auto"/>
                <w:kern w:val="2"/>
                <w:sz w:val="24"/>
                <w:szCs w:val="24"/>
                <w:highlight w:val="none"/>
                <w:lang w:val="en-US" w:eastAsia="zh-CN" w:bidi="ar-SA"/>
              </w:rPr>
              <w:t>主要污染物处理效率为</w:t>
            </w:r>
            <w:r>
              <w:rPr>
                <w:rFonts w:hint="default" w:ascii="Times New Roman" w:hAnsi="Times New Roman" w:eastAsia="宋体" w:cs="Times New Roman"/>
                <w:color w:val="auto"/>
                <w:kern w:val="2"/>
                <w:sz w:val="24"/>
                <w:szCs w:val="24"/>
                <w:highlight w:val="none"/>
                <w:lang w:val="en-US" w:eastAsia="zh-CN" w:bidi="ar-SA"/>
              </w:rPr>
              <w:t>COD</w:t>
            </w:r>
            <w:r>
              <w:rPr>
                <w:rFonts w:hint="eastAsia" w:ascii="Times New Roman" w:hAnsi="Times New Roman" w:eastAsia="宋体" w:cs="Times New Roman"/>
                <w:color w:val="auto"/>
                <w:kern w:val="2"/>
                <w:sz w:val="24"/>
                <w:szCs w:val="24"/>
                <w:highlight w:val="none"/>
                <w:lang w:val="en-US" w:eastAsia="zh-CN" w:bidi="ar-SA"/>
              </w:rPr>
              <w:t>60%</w:t>
            </w:r>
            <w:r>
              <w:rPr>
                <w:rFonts w:hint="default" w:ascii="Times New Roman" w:hAnsi="Times New Roman" w:eastAsia="宋体" w:cs="Times New Roman"/>
                <w:color w:val="auto"/>
                <w:kern w:val="2"/>
                <w:sz w:val="24"/>
                <w:szCs w:val="24"/>
                <w:highlight w:val="none"/>
                <w:lang w:val="en-US" w:eastAsia="zh-CN" w:bidi="ar-SA"/>
              </w:rPr>
              <w:t>、BOD</w:t>
            </w:r>
            <w:r>
              <w:rPr>
                <w:rFonts w:hint="eastAsia" w:ascii="Times New Roman" w:hAnsi="Times New Roman" w:eastAsia="宋体" w:cs="Times New Roman"/>
                <w:color w:val="auto"/>
                <w:kern w:val="2"/>
                <w:sz w:val="24"/>
                <w:szCs w:val="24"/>
                <w:highlight w:val="none"/>
                <w:lang w:val="en-US" w:eastAsia="zh-CN" w:bidi="ar-SA"/>
              </w:rPr>
              <w:t>68%</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氨氮50%、SS80%、总磷40%</w:t>
            </w:r>
            <w:r>
              <w:rPr>
                <w:rFonts w:hint="eastAsia" w:cs="Times New Roman"/>
                <w:color w:val="auto"/>
                <w:kern w:val="0"/>
                <w:sz w:val="24"/>
                <w:highlight w:val="none"/>
                <w:lang w:eastAsia="zh-CN" w:bidi="en-US"/>
              </w:rPr>
              <w:t>）</w:t>
            </w:r>
            <w:r>
              <w:rPr>
                <w:rFonts w:hint="default" w:ascii="Times New Roman" w:hAnsi="Times New Roman" w:cs="Times New Roman"/>
                <w:color w:val="auto"/>
                <w:kern w:val="0"/>
                <w:sz w:val="24"/>
                <w:highlight w:val="none"/>
                <w:lang w:bidi="en-US"/>
              </w:rPr>
              <w:t>，消毒工艺采用次氯酸钠。</w:t>
            </w:r>
          </w:p>
          <w:p>
            <w:pPr>
              <w:autoSpaceDE w:val="0"/>
              <w:autoSpaceDN w:val="0"/>
              <w:spacing w:line="360" w:lineRule="auto"/>
              <w:ind w:firstLine="494" w:firstLineChars="200"/>
              <w:rPr>
                <w:rFonts w:hint="default" w:ascii="Times New Roman" w:hAnsi="Times New Roman" w:cs="Times New Roman"/>
                <w:b/>
                <w:bCs/>
                <w:color w:val="auto"/>
                <w:spacing w:val="3"/>
                <w:kern w:val="0"/>
                <w:sz w:val="24"/>
                <w:highlight w:val="none"/>
              </w:rPr>
            </w:pPr>
          </w:p>
          <w:p>
            <w:pPr>
              <w:adjustRightInd w:val="0"/>
              <w:snapToGrid w:val="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图4-1</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医院污水处理工作流程图</w:t>
            </w:r>
          </w:p>
          <w:p>
            <w:pPr>
              <w:pStyle w:val="12"/>
              <w:rPr>
                <w:rFonts w:hint="default"/>
              </w:rPr>
            </w:pPr>
          </w:p>
          <w:p>
            <w:pPr>
              <w:autoSpaceDE w:val="0"/>
              <w:autoSpaceDN w:val="0"/>
              <w:spacing w:line="360" w:lineRule="auto"/>
              <w:ind w:firstLine="480" w:firstLineChars="200"/>
              <w:rPr>
                <w:rFonts w:hint="default" w:ascii="Times New Roman" w:hAnsi="Times New Roman" w:eastAsia="宋体" w:cs="Times New Roman"/>
                <w:b w:val="0"/>
                <w:bCs/>
                <w:color w:val="auto"/>
                <w:sz w:val="24"/>
                <w:highlight w:val="none"/>
              </w:rPr>
            </w:pPr>
            <w:r>
              <w:rPr>
                <w:rFonts w:hint="default" w:ascii="Times New Roman" w:hAnsi="Times New Roman" w:eastAsia="宋体" w:cs="Times New Roman"/>
                <w:b w:val="0"/>
                <w:bCs/>
                <w:color w:val="auto"/>
                <w:sz w:val="24"/>
                <w:highlight w:val="none"/>
              </w:rPr>
              <w:t>（</w:t>
            </w:r>
            <w:r>
              <w:rPr>
                <w:rFonts w:hint="eastAsia" w:ascii="Times New Roman" w:hAnsi="Times New Roman" w:eastAsia="宋体" w:cs="Times New Roman"/>
                <w:b w:val="0"/>
                <w:bCs/>
                <w:color w:val="auto"/>
                <w:sz w:val="24"/>
                <w:highlight w:val="none"/>
                <w:lang w:val="en-US" w:eastAsia="zh-CN"/>
              </w:rPr>
              <w:t>3</w:t>
            </w:r>
            <w:r>
              <w:rPr>
                <w:rFonts w:hint="default" w:ascii="Times New Roman" w:hAnsi="Times New Roman" w:eastAsia="宋体" w:cs="Times New Roman"/>
                <w:b w:val="0"/>
                <w:bCs/>
                <w:color w:val="auto"/>
                <w:sz w:val="24"/>
                <w:highlight w:val="none"/>
              </w:rPr>
              <w:t>）废水处理工艺介绍</w:t>
            </w:r>
          </w:p>
          <w:p>
            <w:pPr>
              <w:pStyle w:val="66"/>
              <w:ind w:firstLine="480"/>
              <w:jc w:val="left"/>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项目医疗污水处理系统的核心技术为“化粪池+调节池+生物接触氧化池+沉淀+消毒”工艺，同时辅以格栅拦截、沉淀池澄清、消毒剂消毒等物化处理手段</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 xml:space="preserve"> </w:t>
            </w:r>
          </w:p>
          <w:p>
            <w:pPr>
              <w:spacing w:line="360" w:lineRule="auto"/>
              <w:jc w:val="center"/>
              <w:rPr>
                <w:rFonts w:hint="default" w:ascii="Times New Roman" w:hAnsi="Times New Roman" w:cs="Times New Roman"/>
                <w:b/>
                <w:color w:val="auto"/>
                <w:szCs w:val="21"/>
                <w:highlight w:val="none"/>
              </w:rPr>
            </w:pPr>
          </w:p>
          <w:p>
            <w:pPr>
              <w:pStyle w:val="12"/>
              <w:rPr>
                <w:rFonts w:hint="default" w:ascii="Times New Roman" w:hAnsi="Times New Roman" w:cs="Times New Roman"/>
                <w:b/>
                <w:color w:val="auto"/>
                <w:szCs w:val="21"/>
                <w:highlight w:val="none"/>
              </w:rPr>
            </w:pPr>
          </w:p>
          <w:p>
            <w:pPr>
              <w:pStyle w:val="13"/>
              <w:rPr>
                <w:rFonts w:hint="eastAsia" w:ascii="Times New Roman" w:hAnsi="Times New Roman" w:eastAsia="宋体" w:cs="Times New Roman"/>
                <w:b/>
                <w:color w:val="auto"/>
                <w:szCs w:val="21"/>
                <w:highlight w:val="none"/>
                <w:lang w:eastAsia="zh-CN"/>
              </w:rPr>
            </w:pPr>
          </w:p>
          <w:p>
            <w:pPr>
              <w:pStyle w:val="13"/>
              <w:rPr>
                <w:rFonts w:hint="default" w:ascii="Times New Roman" w:hAnsi="Times New Roman" w:cs="Times New Roman"/>
                <w:b/>
                <w:color w:val="auto"/>
                <w:szCs w:val="21"/>
                <w:highlight w:val="none"/>
              </w:rPr>
            </w:pPr>
          </w:p>
          <w:p>
            <w:pPr>
              <w:pStyle w:val="13"/>
              <w:rPr>
                <w:rFonts w:hint="default" w:ascii="Times New Roman" w:hAnsi="Times New Roman" w:cs="Times New Roman"/>
                <w:b/>
                <w:color w:val="auto"/>
                <w:szCs w:val="21"/>
                <w:highlight w:val="none"/>
              </w:rPr>
            </w:pPr>
          </w:p>
          <w:p>
            <w:pPr>
              <w:pStyle w:val="13"/>
              <w:rPr>
                <w:rFonts w:hint="default" w:ascii="Times New Roman" w:hAnsi="Times New Roman" w:cs="Times New Roman"/>
                <w:b/>
                <w:color w:val="auto"/>
                <w:szCs w:val="21"/>
                <w:highlight w:val="none"/>
              </w:rPr>
            </w:pPr>
          </w:p>
          <w:p>
            <w:pPr>
              <w:pStyle w:val="13"/>
              <w:rPr>
                <w:rFonts w:hint="default" w:ascii="Times New Roman" w:hAnsi="Times New Roman" w:cs="Times New Roman"/>
                <w:b/>
                <w:color w:val="auto"/>
                <w:szCs w:val="21"/>
                <w:highlight w:val="none"/>
              </w:rPr>
            </w:pPr>
          </w:p>
          <w:p>
            <w:pPr>
              <w:pStyle w:val="13"/>
              <w:rPr>
                <w:rFonts w:hint="default" w:ascii="Times New Roman" w:hAnsi="Times New Roman" w:cs="Times New Roman"/>
                <w:b/>
                <w:color w:val="auto"/>
                <w:szCs w:val="21"/>
                <w:highlight w:val="none"/>
              </w:rPr>
            </w:pPr>
          </w:p>
          <w:p>
            <w:pPr>
              <w:pStyle w:val="13"/>
              <w:rPr>
                <w:rFonts w:hint="default" w:ascii="Times New Roman" w:hAnsi="Times New Roman" w:cs="Times New Roman"/>
                <w:b/>
                <w:color w:val="auto"/>
                <w:szCs w:val="21"/>
                <w:highlight w:val="none"/>
              </w:rPr>
            </w:pPr>
          </w:p>
          <w:p>
            <w:pPr>
              <w:pStyle w:val="13"/>
              <w:rPr>
                <w:rFonts w:hint="default" w:ascii="Times New Roman" w:hAnsi="Times New Roman" w:cs="Times New Roman"/>
                <w:b/>
                <w:color w:val="auto"/>
                <w:szCs w:val="21"/>
                <w:highlight w:val="none"/>
              </w:rPr>
            </w:pPr>
          </w:p>
          <w:p>
            <w:pPr>
              <w:pStyle w:val="13"/>
              <w:rPr>
                <w:rFonts w:hint="default" w:ascii="Times New Roman" w:hAnsi="Times New Roman" w:cs="Times New Roman"/>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0000FF"/>
                <w:kern w:val="2"/>
                <w:sz w:val="24"/>
                <w:szCs w:val="22"/>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4"/>
                <w:szCs w:val="22"/>
                <w:highlight w:val="none"/>
                <w:lang w:val="en-US" w:eastAsia="zh-CN" w:bidi="ar-SA"/>
              </w:rPr>
            </w:pPr>
            <w:r>
              <w:rPr>
                <w:rFonts w:hint="default" w:ascii="Times New Roman" w:hAnsi="Times New Roman" w:eastAsia="宋体" w:cs="Times New Roman"/>
                <w:b/>
                <w:bCs/>
                <w:color w:val="auto"/>
                <w:kern w:val="2"/>
                <w:sz w:val="24"/>
                <w:szCs w:val="22"/>
                <w:highlight w:val="none"/>
                <w:lang w:val="en-US" w:eastAsia="zh-CN" w:bidi="ar-SA"/>
              </w:rPr>
              <w:t>图4-2</w:t>
            </w:r>
            <w:r>
              <w:rPr>
                <w:rFonts w:hint="eastAsia" w:ascii="Times New Roman" w:hAnsi="Times New Roman" w:eastAsia="宋体" w:cs="Times New Roman"/>
                <w:b/>
                <w:bCs/>
                <w:color w:val="auto"/>
                <w:kern w:val="2"/>
                <w:sz w:val="24"/>
                <w:szCs w:val="22"/>
                <w:highlight w:val="none"/>
                <w:lang w:val="en-US" w:eastAsia="zh-CN" w:bidi="ar-SA"/>
              </w:rPr>
              <w:t xml:space="preserve">  </w:t>
            </w:r>
            <w:r>
              <w:rPr>
                <w:rFonts w:hint="default" w:ascii="Times New Roman" w:hAnsi="Times New Roman" w:eastAsia="宋体" w:cs="Times New Roman"/>
                <w:b/>
                <w:bCs/>
                <w:color w:val="auto"/>
                <w:kern w:val="2"/>
                <w:sz w:val="24"/>
                <w:szCs w:val="22"/>
                <w:highlight w:val="none"/>
                <w:lang w:val="en-US" w:eastAsia="zh-CN" w:bidi="ar-SA"/>
              </w:rPr>
              <w:t>生物接触氧化池处理技术流程图</w:t>
            </w:r>
          </w:p>
          <w:p>
            <w:pPr>
              <w:pStyle w:val="66"/>
              <w:ind w:firstLine="480"/>
              <w:jc w:val="left"/>
              <w:rPr>
                <w:rFonts w:hint="default" w:ascii="Times New Roman" w:hAnsi="Times New Roman" w:cs="Times New Roman"/>
                <w:color w:val="auto"/>
                <w:highlight w:val="none"/>
              </w:rPr>
            </w:pPr>
            <w:r>
              <w:rPr>
                <w:rFonts w:hint="default" w:ascii="Times New Roman" w:hAnsi="Times New Roman" w:cs="Times New Roman"/>
                <w:color w:val="auto"/>
                <w:highlight w:val="none"/>
              </w:rPr>
              <w:t>医院污水汇总后由排污总管流入格栅井，通过格栅拦截较大悬浮物，以保证后续处理设施、设备正常运行。格栅井出水然后自流进入调节池，调节池起到调节水质水量的作用，调节池的水通过提升泵打入水解酸化池，池内挂满生化填料，通过吸附在填料上的厌氧细菌的吸附水解作用，降解污水中有机污染物，提高污水的生化可降解性，并去除大部分氨氮，同时在池内调节水量、调均水质，经调节后的污水由提升泵提升至生物接触氧化池，在三叶罗茨鼓风机曝气状态下，池内微生物通过好氧作用将水中污染物质分解消化，将有机物降解为水和二氧化碳，使水质得到净化。经接触氧化后，含微生物悬浮颗粒的污水进入二沉池进行泥水分离，沉降下来的污泥由污泥泵回流至生物接触氧化池，剩余污泥抽入污泥池，污泥在污泥池中浓缩消化，上清液回流至调节池，池底蓄积的污泥经消毒后定期外运处理。由二氧化氯发生器产生的Cl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在消毒池进行消毒处理，同时将残留于水中</w:t>
            </w:r>
            <w:r>
              <w:rPr>
                <w:rFonts w:hint="eastAsia" w:ascii="Times New Roman" w:hAnsi="Times New Roman" w:cs="Times New Roman"/>
                <w:color w:val="auto"/>
                <w:highlight w:val="none"/>
                <w:lang w:eastAsia="zh-CN"/>
              </w:rPr>
              <w:t>的其他</w:t>
            </w:r>
            <w:r>
              <w:rPr>
                <w:rFonts w:hint="default" w:ascii="Times New Roman" w:hAnsi="Times New Roman" w:cs="Times New Roman"/>
                <w:color w:val="auto"/>
                <w:highlight w:val="none"/>
              </w:rPr>
              <w:t>污染物进一步氧化分解，最后污水即可实现达标排放。</w:t>
            </w:r>
          </w:p>
          <w:p>
            <w:pPr>
              <w:pStyle w:val="6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项目符合</w:t>
            </w:r>
            <w:r>
              <w:rPr>
                <w:rFonts w:hint="default" w:ascii="Times New Roman" w:hAnsi="Times New Roman" w:cs="Times New Roman"/>
                <w:color w:val="auto"/>
                <w:szCs w:val="24"/>
                <w:highlight w:val="none"/>
              </w:rPr>
              <w:t>《排污许可证申请与核发技术规范—医疗机构》（HJ1105-2020）</w:t>
            </w:r>
            <w:r>
              <w:rPr>
                <w:rFonts w:hint="default" w:ascii="Times New Roman" w:hAnsi="Times New Roman" w:cs="Times New Roman"/>
                <w:color w:val="auto"/>
                <w:highlight w:val="none"/>
              </w:rPr>
              <w:t>中推的二级处理/深度处理+消毒工艺，为可行技术。</w:t>
            </w:r>
          </w:p>
          <w:p>
            <w:pPr>
              <w:pStyle w:val="66"/>
              <w:ind w:firstLine="480"/>
              <w:jc w:val="both"/>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预计废水总排放量约</w:t>
            </w:r>
            <w:r>
              <w:rPr>
                <w:rFonts w:hint="default" w:ascii="Times New Roman" w:hAnsi="Times New Roman" w:eastAsia="宋体" w:cs="Times New Roman"/>
                <w:color w:val="auto"/>
                <w:szCs w:val="24"/>
                <w:highlight w:val="none"/>
              </w:rPr>
              <w:t>为</w:t>
            </w:r>
            <w:r>
              <w:rPr>
                <w:rFonts w:hint="eastAsia" w:ascii="Times New Roman" w:hAnsi="Times New Roman" w:cs="Times New Roman"/>
                <w:color w:val="auto"/>
                <w:szCs w:val="24"/>
                <w:highlight w:val="none"/>
                <w:lang w:val="en-US" w:eastAsia="zh-CN"/>
              </w:rPr>
              <w:t>37.02</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/d，拟建污水处理站设计处理能力为</w:t>
            </w:r>
            <w:r>
              <w:rPr>
                <w:rFonts w:hint="eastAsia" w:ascii="Times New Roman" w:hAnsi="Times New Roman" w:cs="Times New Roman"/>
                <w:color w:val="auto"/>
                <w:highlight w:val="none"/>
                <w:lang w:val="en-US" w:eastAsia="zh-CN"/>
              </w:rPr>
              <w:t>40</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/d，能满足项目污水的处理要求。</w:t>
            </w:r>
          </w:p>
          <w:p>
            <w:pPr>
              <w:pStyle w:val="66"/>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eastAsia="zh-CN"/>
              </w:rPr>
              <w:t>胡杨河市</w:t>
            </w:r>
            <w:r>
              <w:rPr>
                <w:rFonts w:hint="default" w:ascii="Times New Roman" w:hAnsi="Times New Roman" w:eastAsia="宋体" w:cs="Times New Roman"/>
                <w:color w:val="auto"/>
                <w:highlight w:val="none"/>
              </w:rPr>
              <w:t>污水处理厂占地</w:t>
            </w:r>
            <w:r>
              <w:rPr>
                <w:rFonts w:hint="default" w:ascii="Times New Roman" w:hAnsi="Times New Roman" w:eastAsia="宋体" w:cs="Times New Roman"/>
                <w:color w:val="auto"/>
                <w:highlight w:val="none"/>
                <w:lang w:val="en-US" w:eastAsia="zh-CN"/>
              </w:rPr>
              <w:t>7.72公顷</w:t>
            </w:r>
            <w:r>
              <w:rPr>
                <w:rFonts w:hint="default" w:ascii="Times New Roman" w:hAnsi="Times New Roman" w:eastAsia="宋体" w:cs="Times New Roman"/>
                <w:color w:val="auto"/>
                <w:highlight w:val="none"/>
              </w:rPr>
              <w:t>，该项目建设于2</w:t>
            </w:r>
            <w:r>
              <w:rPr>
                <w:rFonts w:hint="default" w:ascii="Times New Roman" w:hAnsi="Times New Roman" w:eastAsia="宋体" w:cs="Times New Roman"/>
                <w:color w:val="auto"/>
                <w:highlight w:val="none"/>
                <w:lang w:val="en-US" w:eastAsia="zh-CN"/>
              </w:rPr>
              <w:t>020</w:t>
            </w:r>
            <w:r>
              <w:rPr>
                <w:rFonts w:hint="default" w:ascii="Times New Roman" w:hAnsi="Times New Roman" w:eastAsia="宋体" w:cs="Times New Roman"/>
                <w:color w:val="auto"/>
                <w:highlight w:val="none"/>
              </w:rPr>
              <w:t>年，主要包括：</w:t>
            </w:r>
            <w:r>
              <w:rPr>
                <w:rFonts w:hint="default" w:ascii="Times New Roman" w:hAnsi="Times New Roman" w:eastAsia="宋体" w:cs="Times New Roman"/>
                <w:color w:val="auto"/>
                <w:highlight w:val="none"/>
                <w:lang w:val="en-US" w:eastAsia="zh-CN"/>
              </w:rPr>
              <w:t>0.8万</w:t>
            </w:r>
            <w:r>
              <w:rPr>
                <w:rFonts w:hint="default" w:ascii="Times New Roman" w:hAnsi="Times New Roman" w:eastAsia="宋体" w:cs="Times New Roman"/>
                <w:color w:val="auto"/>
                <w:highlight w:val="none"/>
              </w:rPr>
              <w:t>立方米</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rPr>
              <w:t>日污水处理厂一座，污水厂设计规模：4万m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/d</w:t>
            </w:r>
            <w:r>
              <w:rPr>
                <w:rFonts w:hint="eastAsia"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污水处理厂的工艺确定为水解酸化法+A2O工艺，采用三级处理方式，出水水质满足《城镇污水处理站污染物排放标准》（GB18918-2002）中的一级A标准。污水处理厂完全能够消纳本项目产生的污水。</w:t>
            </w:r>
          </w:p>
          <w:p>
            <w:pPr>
              <w:overflowPunct w:val="0"/>
              <w:adjustRightInd w:val="0"/>
              <w:snapToGrid w:val="0"/>
              <w:spacing w:line="360" w:lineRule="auto"/>
              <w:ind w:firstLine="480" w:firstLineChars="200"/>
              <w:rPr>
                <w:rFonts w:hint="default" w:ascii="Times New Roman" w:hAnsi="Times New Roman" w:eastAsia="宋体" w:cs="Times New Roman"/>
                <w:color w:val="auto"/>
                <w:highlight w:val="none"/>
              </w:rPr>
            </w:pPr>
            <w:r>
              <w:rPr>
                <w:rFonts w:hint="eastAsia" w:ascii="Times New Roman" w:hAnsi="Times New Roman" w:eastAsia="宋体" w:cs="Times New Roman"/>
                <w:color w:val="auto"/>
                <w:sz w:val="24"/>
                <w:highlight w:val="none"/>
                <w:lang w:val="en-US" w:eastAsia="zh-CN"/>
              </w:rPr>
              <w:t>项目废水依托中医院污水处理站处理，该污水处理站主要用于处理中医院的医疗废水，污水处理工艺采用</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化粪池</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调节池</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生物接触氧化池</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沉淀</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消毒</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lang w:val="en-US" w:eastAsia="zh-CN"/>
              </w:rPr>
              <w:t>工艺，同时辅以格栅拦截、沉淀池澄清、消毒剂消毒等物化处理手段。设计日处理能力为</w:t>
            </w: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eastAsia"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废水经处理后排入城市下水管网</w:t>
            </w:r>
            <w:r>
              <w:rPr>
                <w:rFonts w:hint="eastAsia" w:ascii="Times New Roman" w:hAnsi="Times New Roman" w:eastAsia="宋体" w:cs="Times New Roman"/>
                <w:color w:val="auto"/>
                <w:sz w:val="24"/>
                <w:highlight w:val="none"/>
                <w:lang w:val="en-US" w:eastAsia="zh-CN"/>
              </w:rPr>
              <w:t>。污水处理站COD处理效率60%，氨氮处理效率50%，根据表4-</w:t>
            </w:r>
            <w:r>
              <w:rPr>
                <w:rFonts w:hint="eastAsia" w:cs="Times New Roman"/>
                <w:color w:val="auto"/>
                <w:sz w:val="24"/>
                <w:highlight w:val="none"/>
                <w:lang w:val="en-US" w:eastAsia="zh-CN"/>
              </w:rPr>
              <w:t>4</w:t>
            </w:r>
            <w:r>
              <w:rPr>
                <w:rFonts w:hint="eastAsia" w:ascii="Times New Roman" w:hAnsi="Times New Roman" w:eastAsia="宋体" w:cs="Times New Roman"/>
                <w:color w:val="auto"/>
                <w:sz w:val="24"/>
                <w:highlight w:val="none"/>
                <w:lang w:val="en-US" w:eastAsia="zh-CN"/>
              </w:rPr>
              <w:t>、表4-</w:t>
            </w:r>
            <w:r>
              <w:rPr>
                <w:rFonts w:hint="eastAsia" w:cs="Times New Roman"/>
                <w:color w:val="auto"/>
                <w:sz w:val="24"/>
                <w:highlight w:val="none"/>
                <w:lang w:val="en-US" w:eastAsia="zh-CN"/>
              </w:rPr>
              <w:t>5</w:t>
            </w:r>
            <w:r>
              <w:rPr>
                <w:rFonts w:hint="eastAsia" w:ascii="Times New Roman" w:hAnsi="Times New Roman" w:eastAsia="宋体" w:cs="Times New Roman"/>
                <w:color w:val="auto"/>
                <w:sz w:val="24"/>
                <w:highlight w:val="none"/>
                <w:lang w:val="en-US" w:eastAsia="zh-CN"/>
              </w:rPr>
              <w:t>、表4-</w:t>
            </w:r>
            <w:r>
              <w:rPr>
                <w:rFonts w:hint="eastAsia" w:cs="Times New Roman"/>
                <w:color w:val="auto"/>
                <w:sz w:val="24"/>
                <w:highlight w:val="none"/>
                <w:lang w:val="en-US" w:eastAsia="zh-CN"/>
              </w:rPr>
              <w:t>6</w:t>
            </w:r>
            <w:r>
              <w:rPr>
                <w:rFonts w:hint="eastAsia" w:ascii="Times New Roman" w:hAnsi="Times New Roman" w:eastAsia="宋体" w:cs="Times New Roman"/>
                <w:color w:val="auto"/>
                <w:sz w:val="24"/>
                <w:highlight w:val="none"/>
                <w:lang w:val="en-US" w:eastAsia="zh-CN"/>
              </w:rPr>
              <w:t>、表4-</w:t>
            </w:r>
            <w:r>
              <w:rPr>
                <w:rFonts w:hint="eastAsia"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计算，处理后的废水可以满足达标排放的需要，依托可行。</w:t>
            </w:r>
          </w:p>
          <w:p>
            <w:pPr>
              <w:pStyle w:val="66"/>
              <w:ind w:left="0" w:leftChars="0" w:firstLine="480" w:firstLineChars="200"/>
              <w:rPr>
                <w:rFonts w:hint="default" w:ascii="Times New Roman" w:hAnsi="Times New Roman" w:eastAsia="宋体" w:cs="Times New Roman"/>
                <w:color w:val="auto"/>
                <w:kern w:val="0"/>
                <w:sz w:val="24"/>
                <w:szCs w:val="20"/>
                <w:highlight w:val="none"/>
                <w:lang w:val="en-US" w:eastAsia="zh-CN" w:bidi="ar-SA"/>
              </w:rPr>
            </w:pPr>
            <w:r>
              <w:rPr>
                <w:rFonts w:hint="default" w:ascii="Times New Roman" w:hAnsi="Times New Roman" w:eastAsia="宋体" w:cs="Times New Roman"/>
                <w:color w:val="auto"/>
                <w:kern w:val="0"/>
                <w:sz w:val="24"/>
                <w:szCs w:val="20"/>
                <w:highlight w:val="none"/>
                <w:lang w:val="en-US" w:eastAsia="zh-CN" w:bidi="ar-SA"/>
              </w:rPr>
              <w:t>同时，根据《医院污水处理工程技术规范》（HJ2029-2013）要求，医院污水处理系统应设事故池，非传染病医院污水处理工程应急事故池容积不小于</w:t>
            </w:r>
            <w:r>
              <w:rPr>
                <w:rFonts w:hint="eastAsia" w:ascii="Times New Roman" w:hAnsi="Times New Roman" w:eastAsia="宋体" w:cs="Times New Roman"/>
                <w:color w:val="auto"/>
                <w:kern w:val="0"/>
                <w:sz w:val="24"/>
                <w:szCs w:val="20"/>
                <w:highlight w:val="none"/>
                <w:lang w:val="en-US" w:eastAsia="zh-CN" w:bidi="ar-SA"/>
              </w:rPr>
              <w:t>日</w:t>
            </w:r>
            <w:r>
              <w:rPr>
                <w:rFonts w:hint="default" w:ascii="Times New Roman" w:hAnsi="Times New Roman" w:eastAsia="宋体" w:cs="Times New Roman"/>
                <w:color w:val="auto"/>
                <w:kern w:val="0"/>
                <w:sz w:val="24"/>
                <w:szCs w:val="20"/>
                <w:highlight w:val="none"/>
                <w:lang w:val="en-US" w:eastAsia="zh-CN" w:bidi="ar-SA"/>
              </w:rPr>
              <w:t>排放量的30%，医院设置事故池有效容积不小于</w:t>
            </w:r>
            <w:r>
              <w:rPr>
                <w:rFonts w:hint="eastAsia" w:ascii="Times New Roman" w:hAnsi="Times New Roman" w:eastAsia="宋体" w:cs="Times New Roman"/>
                <w:color w:val="auto"/>
                <w:kern w:val="0"/>
                <w:sz w:val="24"/>
                <w:szCs w:val="20"/>
                <w:highlight w:val="none"/>
                <w:lang w:val="en-US" w:eastAsia="zh-CN" w:bidi="ar-SA"/>
              </w:rPr>
              <w:t>11.106</w:t>
            </w:r>
            <w:r>
              <w:rPr>
                <w:rFonts w:hint="default" w:ascii="Times New Roman" w:hAnsi="Times New Roman" w:eastAsia="宋体" w:cs="Times New Roman"/>
                <w:color w:val="auto"/>
                <w:kern w:val="0"/>
                <w:sz w:val="24"/>
                <w:szCs w:val="20"/>
                <w:highlight w:val="none"/>
                <w:lang w:val="en-US" w:eastAsia="zh-CN" w:bidi="ar-SA"/>
              </w:rPr>
              <w:t>m</w:t>
            </w:r>
            <w:r>
              <w:rPr>
                <w:rFonts w:hint="default" w:ascii="Times New Roman" w:hAnsi="Times New Roman" w:eastAsia="宋体" w:cs="Times New Roman"/>
                <w:color w:val="auto"/>
                <w:kern w:val="0"/>
                <w:sz w:val="24"/>
                <w:szCs w:val="20"/>
                <w:highlight w:val="none"/>
                <w:vertAlign w:val="superscript"/>
                <w:lang w:val="en-US" w:eastAsia="zh-CN" w:bidi="ar-SA"/>
              </w:rPr>
              <w:t>3</w:t>
            </w:r>
            <w:r>
              <w:rPr>
                <w:rFonts w:hint="default" w:ascii="Times New Roman" w:hAnsi="Times New Roman" w:eastAsia="宋体" w:cs="Times New Roman"/>
                <w:color w:val="auto"/>
                <w:kern w:val="0"/>
                <w:sz w:val="24"/>
                <w:szCs w:val="20"/>
                <w:highlight w:val="none"/>
                <w:lang w:val="en-US" w:eastAsia="zh-CN" w:bidi="ar-SA"/>
              </w:rPr>
              <w:t>。本次环评要求设置一座</w:t>
            </w:r>
            <w:r>
              <w:rPr>
                <w:rFonts w:hint="eastAsia" w:ascii="Times New Roman" w:hAnsi="Times New Roman" w:eastAsia="宋体" w:cs="Times New Roman"/>
                <w:color w:val="auto"/>
                <w:kern w:val="0"/>
                <w:sz w:val="24"/>
                <w:szCs w:val="20"/>
                <w:highlight w:val="none"/>
                <w:lang w:val="en-US" w:eastAsia="zh-CN" w:bidi="ar-SA"/>
              </w:rPr>
              <w:t>12</w:t>
            </w:r>
            <w:r>
              <w:rPr>
                <w:rFonts w:hint="default" w:ascii="Times New Roman" w:hAnsi="Times New Roman" w:eastAsia="宋体" w:cs="Times New Roman"/>
                <w:color w:val="auto"/>
                <w:kern w:val="0"/>
                <w:sz w:val="24"/>
                <w:szCs w:val="20"/>
                <w:highlight w:val="none"/>
                <w:lang w:val="en-US" w:eastAsia="zh-CN" w:bidi="ar-SA"/>
              </w:rPr>
              <w:t>m</w:t>
            </w:r>
            <w:r>
              <w:rPr>
                <w:rFonts w:hint="default" w:ascii="Times New Roman" w:hAnsi="Times New Roman" w:eastAsia="宋体" w:cs="Times New Roman"/>
                <w:color w:val="auto"/>
                <w:kern w:val="0"/>
                <w:sz w:val="24"/>
                <w:szCs w:val="20"/>
                <w:highlight w:val="none"/>
                <w:vertAlign w:val="superscript"/>
                <w:lang w:val="en-US" w:eastAsia="zh-CN" w:bidi="ar-SA"/>
              </w:rPr>
              <w:t>3</w:t>
            </w:r>
            <w:r>
              <w:rPr>
                <w:rFonts w:hint="default" w:ascii="Times New Roman" w:hAnsi="Times New Roman" w:eastAsia="宋体" w:cs="Times New Roman"/>
                <w:color w:val="auto"/>
                <w:kern w:val="0"/>
                <w:sz w:val="24"/>
                <w:szCs w:val="20"/>
                <w:highlight w:val="none"/>
                <w:lang w:val="en-US" w:eastAsia="zh-CN" w:bidi="ar-SA"/>
              </w:rPr>
              <w:t>事故池。</w:t>
            </w:r>
          </w:p>
          <w:p>
            <w:pPr>
              <w:overflowPunct w:val="0"/>
              <w:adjustRightInd w:val="0"/>
              <w:snapToGrid w:val="0"/>
              <w:spacing w:line="360" w:lineRule="auto"/>
              <w:ind w:firstLine="480" w:firstLineChars="200"/>
              <w:rPr>
                <w:rFonts w:hint="default" w:ascii="Times New Roman" w:hAnsi="Times New Roman" w:cs="Times New Roman"/>
                <w:color w:val="auto"/>
                <w:sz w:val="24"/>
                <w:highlight w:val="none"/>
              </w:rPr>
            </w:pPr>
            <w:bookmarkStart w:id="8" w:name="_Hlk71894259"/>
            <w:r>
              <w:rPr>
                <w:rFonts w:hint="default" w:ascii="Times New Roman" w:hAnsi="Times New Roman" w:cs="Times New Roman"/>
                <w:color w:val="auto"/>
                <w:sz w:val="24"/>
                <w:highlight w:val="none"/>
              </w:rPr>
              <w:t>此外要求设置污水收集设施应委托具有相关资质的设计和施工单位设计施工，污水设施均应当具有防渗、防腐蚀等措施，并且要求加强对其的管理和维护，确保其正常运行。</w:t>
            </w:r>
          </w:p>
          <w:p>
            <w:pPr>
              <w:overflowPunct w:val="0"/>
              <w:adjustRightInd w:val="0"/>
              <w:snapToGrid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综上所述，通过执行并落实上述废水治理措施后，本项目运营期间产生的废水对项目区及周边区域水环境产生的影响较小</w:t>
            </w:r>
            <w:r>
              <w:rPr>
                <w:rFonts w:hint="eastAsia" w:cs="Times New Roman"/>
                <w:color w:val="auto"/>
                <w:sz w:val="24"/>
                <w:highlight w:val="none"/>
                <w:lang w:eastAsia="zh-CN"/>
              </w:rPr>
              <w:t>，废水处理措施可行</w:t>
            </w:r>
            <w:r>
              <w:rPr>
                <w:rFonts w:hint="default" w:ascii="Times New Roman" w:hAnsi="Times New Roman" w:cs="Times New Roman"/>
                <w:color w:val="auto"/>
                <w:sz w:val="24"/>
                <w:highlight w:val="none"/>
              </w:rPr>
              <w:t>。</w:t>
            </w:r>
          </w:p>
          <w:bookmarkEnd w:id="8"/>
          <w:p>
            <w:pPr>
              <w:pStyle w:val="3"/>
              <w:spacing w:after="0" w:line="360" w:lineRule="auto"/>
              <w:ind w:left="0" w:leftChars="0" w:firstLine="482" w:firstLineChars="200"/>
              <w:contextualSpacing/>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w:t>
            </w:r>
            <w:r>
              <w:rPr>
                <w:rFonts w:hint="eastAsia" w:ascii="Times New Roman" w:hAnsi="Times New Roman" w:cs="Times New Roman"/>
                <w:b/>
                <w:bCs/>
                <w:color w:val="auto"/>
                <w:highlight w:val="none"/>
                <w:lang w:val="en-US" w:eastAsia="zh-CN"/>
              </w:rPr>
              <w:t>5</w:t>
            </w:r>
            <w:r>
              <w:rPr>
                <w:rFonts w:hint="default" w:ascii="Times New Roman" w:hAnsi="Times New Roman" w:cs="Times New Roman"/>
                <w:b/>
                <w:bCs/>
                <w:color w:val="auto"/>
                <w:highlight w:val="none"/>
              </w:rPr>
              <w:t>非正常工况下排水</w:t>
            </w:r>
          </w:p>
          <w:p>
            <w:pPr>
              <w:adjustRightInd w:val="0"/>
              <w:snapToGrid w:val="0"/>
              <w:spacing w:line="360" w:lineRule="auto"/>
              <w:ind w:firstLine="480" w:firstLineChars="200"/>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当环保措施故障，医院废水未经处理排放，当发生故障时排放时间以1d计。则排放情况如下：</w:t>
            </w:r>
          </w:p>
          <w:p>
            <w:pPr>
              <w:adjustRightInd w:val="0"/>
              <w:snapToGrid w:val="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w:t>
            </w:r>
            <w:r>
              <w:rPr>
                <w:rFonts w:hint="eastAsia" w:cs="Times New Roman"/>
                <w:b/>
                <w:color w:val="auto"/>
                <w:sz w:val="24"/>
                <w:szCs w:val="24"/>
                <w:highlight w:val="none"/>
                <w:lang w:val="en-US" w:eastAsia="zh-CN"/>
              </w:rPr>
              <w:t>9</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非正常排放量汇总</w:t>
            </w:r>
          </w:p>
          <w:tbl>
            <w:tblPr>
              <w:tblStyle w:val="27"/>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6"/>
              <w:gridCol w:w="1099"/>
              <w:gridCol w:w="843"/>
              <w:gridCol w:w="845"/>
              <w:gridCol w:w="845"/>
              <w:gridCol w:w="848"/>
              <w:gridCol w:w="1090"/>
              <w:gridCol w:w="848"/>
              <w:gridCol w:w="8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jc w:val="center"/>
              </w:trPr>
              <w:tc>
                <w:tcPr>
                  <w:tcW w:w="1206" w:type="dxa"/>
                  <w:vMerge w:val="restart"/>
                  <w:noWrap w:val="0"/>
                  <w:tcMar>
                    <w:top w:w="15" w:type="dxa"/>
                    <w:left w:w="15" w:type="dxa"/>
                    <w:right w:w="15" w:type="dxa"/>
                  </w:tcMar>
                  <w:vAlign w:val="center"/>
                </w:tcPr>
                <w:p>
                  <w:pPr>
                    <w:widowControl/>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kern w:val="0"/>
                      <w:szCs w:val="21"/>
                      <w:highlight w:val="none"/>
                    </w:rPr>
                    <w:t>废水</w:t>
                  </w:r>
                  <w:r>
                    <w:rPr>
                      <w:rFonts w:hint="eastAsia" w:cs="Times New Roman"/>
                      <w:color w:val="auto"/>
                      <w:kern w:val="0"/>
                      <w:sz w:val="21"/>
                      <w:szCs w:val="21"/>
                      <w:highlight w:val="none"/>
                      <w:lang w:val="en-US" w:eastAsia="zh-CN" w:bidi="ar"/>
                    </w:rPr>
                    <w:t>46.28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p>
                <w:p>
                  <w:pPr>
                    <w:jc w:val="center"/>
                    <w:rPr>
                      <w:rFonts w:hint="default" w:ascii="Times New Roman" w:hAnsi="Times New Roman" w:cs="Times New Roman"/>
                      <w:color w:val="auto"/>
                      <w:szCs w:val="21"/>
                      <w:highlight w:val="none"/>
                    </w:rPr>
                  </w:pPr>
                </w:p>
              </w:tc>
              <w:tc>
                <w:tcPr>
                  <w:tcW w:w="1099" w:type="dxa"/>
                  <w:noWrap w:val="0"/>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Cs w:val="21"/>
                      <w:highlight w:val="none"/>
                    </w:rPr>
                  </w:pPr>
                </w:p>
              </w:tc>
              <w:tc>
                <w:tcPr>
                  <w:tcW w:w="843" w:type="dxa"/>
                  <w:noWrap w:val="0"/>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COD</w:t>
                  </w:r>
                </w:p>
              </w:tc>
              <w:tc>
                <w:tcPr>
                  <w:tcW w:w="845" w:type="dxa"/>
                  <w:noWrap w:val="0"/>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BOD</w:t>
                  </w:r>
                </w:p>
              </w:tc>
              <w:tc>
                <w:tcPr>
                  <w:tcW w:w="845" w:type="dxa"/>
                  <w:noWrap w:val="0"/>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氨氮</w:t>
                  </w:r>
                </w:p>
              </w:tc>
              <w:tc>
                <w:tcPr>
                  <w:tcW w:w="848" w:type="dxa"/>
                  <w:noWrap w:val="0"/>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bCs/>
                      <w:color w:val="auto"/>
                      <w:kern w:val="0"/>
                      <w:szCs w:val="21"/>
                      <w:highlight w:val="none"/>
                    </w:rPr>
                    <w:t>SS</w:t>
                  </w:r>
                </w:p>
              </w:tc>
              <w:tc>
                <w:tcPr>
                  <w:tcW w:w="1090" w:type="dxa"/>
                  <w:noWrap w:val="0"/>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bCs/>
                      <w:color w:val="auto"/>
                      <w:kern w:val="0"/>
                      <w:szCs w:val="21"/>
                      <w:highlight w:val="none"/>
                    </w:rPr>
                    <w:t>粪大肠菌群</w:t>
                  </w:r>
                </w:p>
              </w:tc>
              <w:tc>
                <w:tcPr>
                  <w:tcW w:w="848" w:type="dxa"/>
                  <w:noWrap w:val="0"/>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bCs/>
                      <w:color w:val="auto"/>
                      <w:kern w:val="0"/>
                      <w:szCs w:val="21"/>
                      <w:highlight w:val="none"/>
                    </w:rPr>
                    <w:t>总磷</w:t>
                  </w:r>
                </w:p>
              </w:tc>
              <w:tc>
                <w:tcPr>
                  <w:tcW w:w="841" w:type="dxa"/>
                  <w:noWrap w:val="0"/>
                  <w:vAlign w:val="center"/>
                </w:tcPr>
                <w:p>
                  <w:pPr>
                    <w:widowControl/>
                    <w:jc w:val="center"/>
                    <w:textAlignment w:val="center"/>
                    <w:rPr>
                      <w:rFonts w:hint="default" w:ascii="Times New Roman" w:hAnsi="Times New Roman" w:cs="Times New Roman"/>
                      <w:color w:val="auto"/>
                      <w:kern w:val="0"/>
                      <w:szCs w:val="21"/>
                      <w:highlight w:val="none"/>
                      <w:lang w:bidi="en-US"/>
                    </w:rPr>
                  </w:pPr>
                  <w:r>
                    <w:rPr>
                      <w:rFonts w:hint="default" w:ascii="Times New Roman" w:hAnsi="Times New Roman" w:cs="Times New Roman"/>
                      <w:bCs/>
                      <w:color w:val="auto"/>
                      <w:kern w:val="0"/>
                      <w:szCs w:val="21"/>
                      <w:highlight w:val="none"/>
                    </w:rPr>
                    <w:t>动植物油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jc w:val="center"/>
              </w:trPr>
              <w:tc>
                <w:tcPr>
                  <w:tcW w:w="1206" w:type="dxa"/>
                  <w:vMerge w:val="continue"/>
                  <w:noWrap w:val="0"/>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Cs w:val="21"/>
                      <w:highlight w:val="none"/>
                    </w:rPr>
                  </w:pPr>
                </w:p>
              </w:tc>
              <w:tc>
                <w:tcPr>
                  <w:tcW w:w="1099" w:type="dxa"/>
                  <w:noWrap w:val="0"/>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排放浓度（mg/L）</w:t>
                  </w:r>
                </w:p>
              </w:tc>
              <w:tc>
                <w:tcPr>
                  <w:tcW w:w="843" w:type="dxa"/>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250</w:t>
                  </w:r>
                </w:p>
              </w:tc>
              <w:tc>
                <w:tcPr>
                  <w:tcW w:w="845" w:type="dxa"/>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bidi="ar"/>
                    </w:rPr>
                    <w:t>1</w:t>
                  </w:r>
                  <w:r>
                    <w:rPr>
                      <w:rFonts w:hint="eastAsia" w:cs="Times New Roman"/>
                      <w:color w:val="auto"/>
                      <w:kern w:val="0"/>
                      <w:szCs w:val="21"/>
                      <w:highlight w:val="none"/>
                      <w:lang w:val="en-US" w:eastAsia="zh-CN" w:bidi="ar"/>
                    </w:rPr>
                    <w:t>00</w:t>
                  </w:r>
                </w:p>
              </w:tc>
              <w:tc>
                <w:tcPr>
                  <w:tcW w:w="845" w:type="dxa"/>
                  <w:noWrap w:val="0"/>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35</w:t>
                  </w:r>
                </w:p>
              </w:tc>
              <w:tc>
                <w:tcPr>
                  <w:tcW w:w="848" w:type="dxa"/>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eastAsia" w:cs="Times New Roman"/>
                      <w:color w:val="auto"/>
                      <w:kern w:val="0"/>
                      <w:szCs w:val="21"/>
                      <w:highlight w:val="none"/>
                      <w:lang w:val="en-US" w:eastAsia="zh-CN" w:bidi="ar"/>
                    </w:rPr>
                    <w:t>60</w:t>
                  </w:r>
                </w:p>
              </w:tc>
              <w:tc>
                <w:tcPr>
                  <w:tcW w:w="1090" w:type="dxa"/>
                  <w:noWrap w:val="0"/>
                  <w:tcMar>
                    <w:top w:w="15" w:type="dxa"/>
                    <w:left w:w="15" w:type="dxa"/>
                    <w:right w:w="15" w:type="dxa"/>
                  </w:tcMar>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1.6×10</w:t>
                  </w:r>
                  <w:r>
                    <w:rPr>
                      <w:rFonts w:hint="default" w:ascii="Times New Roman" w:hAnsi="Times New Roman" w:cs="Times New Roman"/>
                      <w:color w:val="auto"/>
                      <w:kern w:val="0"/>
                      <w:szCs w:val="21"/>
                      <w:highlight w:val="none"/>
                      <w:vertAlign w:val="superscript"/>
                      <w:lang w:bidi="ar"/>
                    </w:rPr>
                    <w:t>8</w:t>
                  </w:r>
                  <w:r>
                    <w:rPr>
                      <w:rFonts w:hint="default" w:ascii="Times New Roman" w:hAnsi="Times New Roman" w:cs="Times New Roman"/>
                      <w:color w:val="auto"/>
                      <w:kern w:val="0"/>
                      <w:szCs w:val="21"/>
                      <w:highlight w:val="none"/>
                      <w:lang w:bidi="ar"/>
                    </w:rPr>
                    <w:t>个/L</w:t>
                  </w:r>
                </w:p>
              </w:tc>
              <w:tc>
                <w:tcPr>
                  <w:tcW w:w="848" w:type="dxa"/>
                  <w:noWrap w:val="0"/>
                  <w:tcMar>
                    <w:top w:w="15" w:type="dxa"/>
                    <w:left w:w="15" w:type="dxa"/>
                    <w:right w:w="15" w:type="dxa"/>
                  </w:tcMar>
                  <w:vAlign w:val="center"/>
                </w:tcPr>
                <w:p>
                  <w:pPr>
                    <w:widowControl/>
                    <w:jc w:val="center"/>
                    <w:textAlignment w:val="center"/>
                    <w:rPr>
                      <w:rFonts w:hint="eastAsia" w:ascii="Times New Roman" w:hAnsi="Times New Roman" w:eastAsia="宋体" w:cs="Times New Roman"/>
                      <w:color w:val="auto"/>
                      <w:kern w:val="0"/>
                      <w:szCs w:val="21"/>
                      <w:highlight w:val="none"/>
                      <w:lang w:eastAsia="zh-CN" w:bidi="ar"/>
                    </w:rPr>
                  </w:pPr>
                  <w:r>
                    <w:rPr>
                      <w:rFonts w:hint="default" w:ascii="Times New Roman" w:hAnsi="Times New Roman" w:cs="Times New Roman"/>
                      <w:color w:val="auto"/>
                      <w:kern w:val="0"/>
                      <w:szCs w:val="21"/>
                      <w:highlight w:val="none"/>
                      <w:lang w:bidi="ar"/>
                    </w:rPr>
                    <w:t>10.00</w:t>
                  </w:r>
                </w:p>
              </w:tc>
              <w:tc>
                <w:tcPr>
                  <w:tcW w:w="841" w:type="dxa"/>
                  <w:noWrap w:val="0"/>
                  <w:vAlign w:val="center"/>
                </w:tcPr>
                <w:p>
                  <w:pPr>
                    <w:widowControl/>
                    <w:jc w:val="center"/>
                    <w:textAlignment w:val="center"/>
                    <w:rPr>
                      <w:rFonts w:hint="default" w:ascii="Times New Roman" w:hAnsi="Times New Roman" w:cs="Times New Roman"/>
                      <w:color w:val="auto"/>
                      <w:kern w:val="0"/>
                      <w:szCs w:val="21"/>
                      <w:highlight w:val="none"/>
                      <w:lang w:bidi="ar"/>
                    </w:rPr>
                  </w:pPr>
                  <w:r>
                    <w:rPr>
                      <w:rFonts w:hint="default" w:ascii="Times New Roman" w:hAnsi="Times New Roman" w:cs="Times New Roman"/>
                      <w:color w:val="auto"/>
                      <w:kern w:val="0"/>
                      <w:szCs w:val="21"/>
                      <w:highlight w:val="none"/>
                      <w:lang w:bidi="ar"/>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1" w:hRule="atLeast"/>
                <w:jc w:val="center"/>
              </w:trPr>
              <w:tc>
                <w:tcPr>
                  <w:tcW w:w="1206" w:type="dxa"/>
                  <w:vMerge w:val="continue"/>
                  <w:noWrap w:val="0"/>
                  <w:tcMar>
                    <w:top w:w="15" w:type="dxa"/>
                    <w:left w:w="15" w:type="dxa"/>
                    <w:right w:w="15" w:type="dxa"/>
                  </w:tcMar>
                  <w:vAlign w:val="center"/>
                </w:tcPr>
                <w:p>
                  <w:pPr>
                    <w:widowControl/>
                    <w:jc w:val="center"/>
                    <w:textAlignment w:val="center"/>
                    <w:rPr>
                      <w:rFonts w:hint="default" w:ascii="Times New Roman" w:hAnsi="Times New Roman" w:cs="Times New Roman"/>
                      <w:color w:val="auto"/>
                      <w:szCs w:val="21"/>
                      <w:highlight w:val="none"/>
                    </w:rPr>
                  </w:pPr>
                </w:p>
              </w:tc>
              <w:tc>
                <w:tcPr>
                  <w:tcW w:w="1099" w:type="dxa"/>
                  <w:noWrap w:val="0"/>
                  <w:tcMar>
                    <w:top w:w="15" w:type="dxa"/>
                    <w:left w:w="15" w:type="dxa"/>
                    <w:right w:w="15" w:type="dxa"/>
                  </w:tcMar>
                  <w:vAlign w:val="center"/>
                </w:tcPr>
                <w:p>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rPr>
                    <w:t>产生量（t）</w:t>
                  </w:r>
                </w:p>
              </w:tc>
              <w:tc>
                <w:tcPr>
                  <w:tcW w:w="843" w:type="dxa"/>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bidi="ar"/>
                    </w:rPr>
                    <w:t>0.</w:t>
                  </w:r>
                  <w:r>
                    <w:rPr>
                      <w:rFonts w:hint="eastAsia" w:cs="Times New Roman"/>
                      <w:color w:val="auto"/>
                      <w:kern w:val="0"/>
                      <w:szCs w:val="21"/>
                      <w:highlight w:val="none"/>
                      <w:lang w:val="en-US" w:eastAsia="zh-CN" w:bidi="ar"/>
                    </w:rPr>
                    <w:t>0116</w:t>
                  </w:r>
                </w:p>
              </w:tc>
              <w:tc>
                <w:tcPr>
                  <w:tcW w:w="845" w:type="dxa"/>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bidi="ar"/>
                    </w:rPr>
                    <w:t>0.</w:t>
                  </w:r>
                  <w:r>
                    <w:rPr>
                      <w:rFonts w:hint="eastAsia" w:cs="Times New Roman"/>
                      <w:color w:val="auto"/>
                      <w:kern w:val="0"/>
                      <w:szCs w:val="21"/>
                      <w:highlight w:val="none"/>
                      <w:lang w:val="en-US" w:eastAsia="zh-CN" w:bidi="ar"/>
                    </w:rPr>
                    <w:t>0046</w:t>
                  </w:r>
                </w:p>
              </w:tc>
              <w:tc>
                <w:tcPr>
                  <w:tcW w:w="845" w:type="dxa"/>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bidi="ar"/>
                    </w:rPr>
                    <w:t>0.0</w:t>
                  </w:r>
                  <w:r>
                    <w:rPr>
                      <w:rFonts w:hint="eastAsia" w:cs="Times New Roman"/>
                      <w:color w:val="auto"/>
                      <w:kern w:val="0"/>
                      <w:szCs w:val="21"/>
                      <w:highlight w:val="none"/>
                      <w:lang w:val="en-US" w:eastAsia="zh-CN" w:bidi="ar"/>
                    </w:rPr>
                    <w:t>016</w:t>
                  </w:r>
                </w:p>
              </w:tc>
              <w:tc>
                <w:tcPr>
                  <w:tcW w:w="848" w:type="dxa"/>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bidi="ar"/>
                    </w:rPr>
                    <w:t>0.0</w:t>
                  </w:r>
                  <w:r>
                    <w:rPr>
                      <w:rFonts w:hint="eastAsia" w:cs="Times New Roman"/>
                      <w:color w:val="auto"/>
                      <w:kern w:val="0"/>
                      <w:szCs w:val="21"/>
                      <w:highlight w:val="none"/>
                      <w:lang w:val="en-US" w:eastAsia="zh-CN" w:bidi="ar"/>
                    </w:rPr>
                    <w:t>028</w:t>
                  </w:r>
                </w:p>
              </w:tc>
              <w:tc>
                <w:tcPr>
                  <w:tcW w:w="1090" w:type="dxa"/>
                  <w:noWrap w:val="0"/>
                  <w:tcMar>
                    <w:top w:w="15" w:type="dxa"/>
                    <w:left w:w="15" w:type="dxa"/>
                    <w:right w:w="15" w:type="dxa"/>
                  </w:tcMar>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r>
                    <w:rPr>
                      <w:rFonts w:hint="default" w:ascii="Times New Roman" w:hAnsi="Times New Roman" w:cs="Times New Roman"/>
                      <w:color w:val="auto"/>
                      <w:kern w:val="0"/>
                      <w:szCs w:val="21"/>
                      <w:highlight w:val="none"/>
                      <w:lang w:bidi="en-US"/>
                    </w:rPr>
                    <w:t>/</w:t>
                  </w:r>
                </w:p>
              </w:tc>
              <w:tc>
                <w:tcPr>
                  <w:tcW w:w="848" w:type="dxa"/>
                  <w:noWrap w:val="0"/>
                  <w:tcMar>
                    <w:top w:w="15" w:type="dxa"/>
                    <w:left w:w="15" w:type="dxa"/>
                    <w:right w:w="15" w:type="dxa"/>
                  </w:tcMar>
                  <w:vAlign w:val="center"/>
                </w:tcPr>
                <w:p>
                  <w:pPr>
                    <w:widowControl/>
                    <w:jc w:val="center"/>
                    <w:textAlignment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kern w:val="0"/>
                      <w:szCs w:val="21"/>
                      <w:highlight w:val="none"/>
                      <w:lang w:bidi="ar"/>
                    </w:rPr>
                    <w:t>0.00</w:t>
                  </w:r>
                  <w:r>
                    <w:rPr>
                      <w:rFonts w:hint="eastAsia" w:cs="Times New Roman"/>
                      <w:color w:val="auto"/>
                      <w:kern w:val="0"/>
                      <w:szCs w:val="21"/>
                      <w:highlight w:val="none"/>
                      <w:lang w:val="en-US" w:eastAsia="zh-CN" w:bidi="ar"/>
                    </w:rPr>
                    <w:t>05</w:t>
                  </w:r>
                </w:p>
              </w:tc>
              <w:tc>
                <w:tcPr>
                  <w:tcW w:w="841" w:type="dxa"/>
                  <w:noWrap w:val="0"/>
                  <w:vAlign w:val="center"/>
                </w:tcPr>
                <w:p>
                  <w:pPr>
                    <w:widowControl/>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cs="Times New Roman"/>
                      <w:color w:val="auto"/>
                      <w:kern w:val="0"/>
                      <w:szCs w:val="21"/>
                      <w:highlight w:val="none"/>
                      <w:lang w:bidi="en-US"/>
                    </w:rPr>
                    <w:t>0.00</w:t>
                  </w:r>
                  <w:r>
                    <w:rPr>
                      <w:rFonts w:hint="eastAsia" w:cs="Times New Roman"/>
                      <w:color w:val="auto"/>
                      <w:kern w:val="0"/>
                      <w:szCs w:val="21"/>
                      <w:highlight w:val="none"/>
                      <w:lang w:val="en-US" w:eastAsia="zh-CN" w:bidi="en-US"/>
                    </w:rPr>
                    <w:t>09</w:t>
                  </w:r>
                </w:p>
              </w:tc>
            </w:tr>
          </w:tbl>
          <w:p>
            <w:pPr>
              <w:adjustRightInd w:val="0"/>
              <w:spacing w:line="360" w:lineRule="auto"/>
              <w:ind w:firstLine="480" w:firstLineChars="200"/>
              <w:rPr>
                <w:rFonts w:hint="default" w:ascii="Times New Roman" w:hAnsi="Times New Roman" w:cs="Times New Roman"/>
                <w:b/>
                <w:bCs/>
                <w:color w:val="auto"/>
                <w:highlight w:val="none"/>
              </w:rPr>
            </w:pPr>
            <w:r>
              <w:rPr>
                <w:rFonts w:hint="default" w:ascii="Times New Roman" w:hAnsi="Times New Roman" w:cs="Times New Roman"/>
                <w:bCs/>
                <w:color w:val="auto"/>
                <w:sz w:val="24"/>
                <w:highlight w:val="none"/>
              </w:rPr>
              <w:t>非正常工况下污染物排放量明显增加，因此医院应加强在设备运行的管理，尽量降低、避免非正常情况的发生，当废水处理设施出现故障不能短时间恢复时，废水应及时排向事故池，待污水处理设备正常运行后，水泵抽回污水处理站，正常处理排放。</w:t>
            </w:r>
          </w:p>
          <w:p>
            <w:pPr>
              <w:pStyle w:val="3"/>
              <w:spacing w:after="0" w:line="360" w:lineRule="auto"/>
              <w:ind w:left="0" w:leftChars="0" w:firstLine="482" w:firstLineChars="200"/>
              <w:contextualSpacing/>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2.</w:t>
            </w:r>
            <w:r>
              <w:rPr>
                <w:rFonts w:hint="eastAsia" w:ascii="Times New Roman" w:hAnsi="Times New Roman" w:cs="Times New Roman"/>
                <w:b/>
                <w:bCs/>
                <w:color w:val="auto"/>
                <w:highlight w:val="none"/>
                <w:lang w:val="en-US" w:eastAsia="zh-CN"/>
              </w:rPr>
              <w:t>6</w:t>
            </w:r>
            <w:r>
              <w:rPr>
                <w:rFonts w:hint="default" w:ascii="Times New Roman" w:hAnsi="Times New Roman" w:cs="Times New Roman"/>
                <w:b/>
                <w:bCs/>
                <w:color w:val="auto"/>
                <w:highlight w:val="none"/>
              </w:rPr>
              <w:t>污水排放口监测计划</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s="Times New Roman"/>
                <w:bCs/>
                <w:color w:val="auto"/>
                <w:sz w:val="24"/>
                <w:lang w:val="en-US" w:eastAsia="zh-CN"/>
              </w:rPr>
            </w:pPr>
            <w:r>
              <w:rPr>
                <w:rFonts w:hint="eastAsia" w:cs="Times New Roman"/>
                <w:bCs/>
                <w:color w:val="auto"/>
                <w:sz w:val="24"/>
                <w:lang w:val="en-US" w:eastAsia="zh-CN"/>
              </w:rPr>
              <w:t>根据《排污单位自行监测技术指南总则》(HJ819-2017)以及《排污许可证申请与核发技术规范制药工业—中成药生产》（HJ1064-2019）中的相关规定开展本项目的自行监测工作。</w:t>
            </w:r>
          </w:p>
          <w:p>
            <w:pPr>
              <w:adjustRightInd w:val="0"/>
              <w:snapToGrid w:val="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w:t>
            </w:r>
            <w:r>
              <w:rPr>
                <w:rFonts w:hint="eastAsia" w:cs="Times New Roman"/>
                <w:b/>
                <w:color w:val="auto"/>
                <w:sz w:val="24"/>
                <w:szCs w:val="24"/>
                <w:highlight w:val="none"/>
                <w:lang w:val="en-US" w:eastAsia="zh-CN"/>
              </w:rPr>
              <w:t>10</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废水监测计划表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1134"/>
              <w:gridCol w:w="1276"/>
              <w:gridCol w:w="1134"/>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162"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产污环节</w:t>
                  </w:r>
                </w:p>
              </w:tc>
              <w:tc>
                <w:tcPr>
                  <w:tcW w:w="1134"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监测点位</w:t>
                  </w:r>
                </w:p>
              </w:tc>
              <w:tc>
                <w:tcPr>
                  <w:tcW w:w="1276"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监测指标</w:t>
                  </w:r>
                </w:p>
              </w:tc>
              <w:tc>
                <w:tcPr>
                  <w:tcW w:w="1134"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监测频次</w:t>
                  </w:r>
                </w:p>
              </w:tc>
              <w:tc>
                <w:tcPr>
                  <w:tcW w:w="3544"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62" w:type="dxa"/>
                  <w:vMerge w:val="restart"/>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医院综合废水</w:t>
                  </w:r>
                </w:p>
              </w:tc>
              <w:tc>
                <w:tcPr>
                  <w:tcW w:w="1134" w:type="dxa"/>
                  <w:vMerge w:val="restart"/>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DW001</w:t>
                  </w:r>
                </w:p>
              </w:tc>
              <w:tc>
                <w:tcPr>
                  <w:tcW w:w="1276"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w:t>
                  </w:r>
                </w:p>
              </w:tc>
              <w:tc>
                <w:tcPr>
                  <w:tcW w:w="1134"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12h</w:t>
                  </w:r>
                </w:p>
              </w:tc>
              <w:tc>
                <w:tcPr>
                  <w:tcW w:w="3544" w:type="dxa"/>
                  <w:vMerge w:val="restart"/>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highlight w:val="none"/>
                    </w:rPr>
                    <w:t>《医疗机构水污染物排放标准》（GB18466-2005）表2预处理排放标准限值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62" w:type="dxa"/>
                  <w:vMerge w:val="continue"/>
                  <w:noWrap w:val="0"/>
                  <w:vAlign w:val="center"/>
                </w:tcPr>
                <w:p>
                  <w:pPr>
                    <w:pStyle w:val="124"/>
                    <w:rPr>
                      <w:rFonts w:hint="default" w:ascii="Times New Roman" w:hAnsi="Times New Roman" w:cs="Times New Roman"/>
                      <w:color w:val="auto"/>
                      <w:szCs w:val="21"/>
                      <w:highlight w:val="none"/>
                    </w:rPr>
                  </w:pP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1276"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粪大肠菌群</w:t>
                  </w:r>
                </w:p>
              </w:tc>
              <w:tc>
                <w:tcPr>
                  <w:tcW w:w="1134"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月</w:t>
                  </w:r>
                </w:p>
              </w:tc>
              <w:tc>
                <w:tcPr>
                  <w:tcW w:w="3544" w:type="dxa"/>
                  <w:vMerge w:val="continue"/>
                  <w:noWrap w:val="0"/>
                  <w:vAlign w:val="center"/>
                </w:tcPr>
                <w:p>
                  <w:pPr>
                    <w:pStyle w:val="124"/>
                    <w:rPr>
                      <w:rFonts w:hint="default" w:ascii="Times New Roman" w:hAnsi="Times New Roman" w:cs="Times New Roman"/>
                      <w:color w:val="auto"/>
                      <w:kern w:val="1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62" w:type="dxa"/>
                  <w:vMerge w:val="continue"/>
                  <w:noWrap w:val="0"/>
                  <w:vAlign w:val="center"/>
                </w:tcPr>
                <w:p>
                  <w:pPr>
                    <w:pStyle w:val="124"/>
                    <w:rPr>
                      <w:rFonts w:hint="default" w:ascii="Times New Roman" w:hAnsi="Times New Roman" w:cs="Times New Roman"/>
                      <w:color w:val="auto"/>
                      <w:szCs w:val="21"/>
                      <w:highlight w:val="none"/>
                    </w:rPr>
                  </w:pP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1276"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SS</w:t>
                  </w:r>
                </w:p>
              </w:tc>
              <w:tc>
                <w:tcPr>
                  <w:tcW w:w="1134"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周</w:t>
                  </w:r>
                </w:p>
              </w:tc>
              <w:tc>
                <w:tcPr>
                  <w:tcW w:w="3544" w:type="dxa"/>
                  <w:vMerge w:val="continue"/>
                  <w:noWrap w:val="0"/>
                  <w:vAlign w:val="center"/>
                </w:tcPr>
                <w:p>
                  <w:pPr>
                    <w:pStyle w:val="124"/>
                    <w:rPr>
                      <w:rFonts w:hint="default" w:ascii="Times New Roman" w:hAnsi="Times New Roman" w:cs="Times New Roman"/>
                      <w:color w:val="auto"/>
                      <w:kern w:val="1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62" w:type="dxa"/>
                  <w:vMerge w:val="continue"/>
                  <w:noWrap w:val="0"/>
                  <w:vAlign w:val="center"/>
                </w:tcPr>
                <w:p>
                  <w:pPr>
                    <w:pStyle w:val="124"/>
                    <w:rPr>
                      <w:rFonts w:hint="default" w:ascii="Times New Roman" w:hAnsi="Times New Roman" w:cs="Times New Roman"/>
                      <w:color w:val="auto"/>
                      <w:szCs w:val="21"/>
                      <w:highlight w:val="none"/>
                    </w:rPr>
                  </w:pP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1276"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p>
              </w:tc>
              <w:tc>
                <w:tcPr>
                  <w:tcW w:w="1134"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季度</w:t>
                  </w:r>
                </w:p>
              </w:tc>
              <w:tc>
                <w:tcPr>
                  <w:tcW w:w="3544" w:type="dxa"/>
                  <w:vMerge w:val="continue"/>
                  <w:noWrap w:val="0"/>
                  <w:vAlign w:val="center"/>
                </w:tcPr>
                <w:p>
                  <w:pPr>
                    <w:pStyle w:val="124"/>
                    <w:rPr>
                      <w:rFonts w:hint="default" w:ascii="Times New Roman" w:hAnsi="Times New Roman" w:cs="Times New Roman"/>
                      <w:color w:val="auto"/>
                      <w:kern w:val="1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62" w:type="dxa"/>
                  <w:vMerge w:val="continue"/>
                  <w:noWrap w:val="0"/>
                  <w:vAlign w:val="center"/>
                </w:tcPr>
                <w:p>
                  <w:pPr>
                    <w:pStyle w:val="124"/>
                    <w:rPr>
                      <w:rFonts w:hint="default" w:ascii="Times New Roman" w:hAnsi="Times New Roman" w:cs="Times New Roman"/>
                      <w:color w:val="auto"/>
                      <w:szCs w:val="21"/>
                      <w:highlight w:val="none"/>
                    </w:rPr>
                  </w:pP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1276"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COD</w:t>
                  </w:r>
                  <w:r>
                    <w:rPr>
                      <w:rFonts w:hint="default" w:ascii="Times New Roman" w:hAnsi="Times New Roman" w:cs="Times New Roman"/>
                      <w:color w:val="auto"/>
                      <w:szCs w:val="21"/>
                      <w:highlight w:val="none"/>
                      <w:vertAlign w:val="subscript"/>
                    </w:rPr>
                    <w:t>cr</w:t>
                  </w:r>
                </w:p>
              </w:tc>
              <w:tc>
                <w:tcPr>
                  <w:tcW w:w="1134"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周</w:t>
                  </w:r>
                </w:p>
              </w:tc>
              <w:tc>
                <w:tcPr>
                  <w:tcW w:w="3544" w:type="dxa"/>
                  <w:vMerge w:val="continue"/>
                  <w:noWrap w:val="0"/>
                  <w:vAlign w:val="center"/>
                </w:tcPr>
                <w:p>
                  <w:pPr>
                    <w:pStyle w:val="124"/>
                    <w:rPr>
                      <w:rFonts w:hint="default" w:ascii="Times New Roman" w:hAnsi="Times New Roman" w:cs="Times New Roman"/>
                      <w:color w:val="auto"/>
                      <w:kern w:val="1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62" w:type="dxa"/>
                  <w:vMerge w:val="continue"/>
                  <w:noWrap w:val="0"/>
                  <w:vAlign w:val="center"/>
                </w:tcPr>
                <w:p>
                  <w:pPr>
                    <w:pStyle w:val="124"/>
                    <w:rPr>
                      <w:rFonts w:hint="default" w:ascii="Times New Roman" w:hAnsi="Times New Roman" w:cs="Times New Roman"/>
                      <w:color w:val="auto"/>
                      <w:szCs w:val="21"/>
                      <w:highlight w:val="none"/>
                    </w:rPr>
                  </w:pP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1276"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NH</w:t>
                  </w:r>
                  <w:r>
                    <w:rPr>
                      <w:rFonts w:hint="default" w:ascii="Times New Roman" w:hAnsi="Times New Roman" w:cs="Times New Roman"/>
                      <w:color w:val="auto"/>
                      <w:szCs w:val="21"/>
                      <w:highlight w:val="none"/>
                      <w:vertAlign w:val="subscript"/>
                    </w:rPr>
                    <w:t>3</w:t>
                  </w:r>
                  <w:r>
                    <w:rPr>
                      <w:rFonts w:hint="default" w:ascii="Times New Roman" w:hAnsi="Times New Roman" w:cs="Times New Roman"/>
                      <w:color w:val="auto"/>
                      <w:szCs w:val="21"/>
                      <w:highlight w:val="none"/>
                    </w:rPr>
                    <w:t>－N</w:t>
                  </w:r>
                </w:p>
              </w:tc>
              <w:tc>
                <w:tcPr>
                  <w:tcW w:w="1134" w:type="dxa"/>
                  <w:vMerge w:val="restart"/>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季度</w:t>
                  </w:r>
                </w:p>
              </w:tc>
              <w:tc>
                <w:tcPr>
                  <w:tcW w:w="3544" w:type="dxa"/>
                  <w:vMerge w:val="continue"/>
                  <w:noWrap w:val="0"/>
                  <w:vAlign w:val="center"/>
                </w:tcPr>
                <w:p>
                  <w:pPr>
                    <w:pStyle w:val="124"/>
                    <w:rPr>
                      <w:rFonts w:hint="default" w:ascii="Times New Roman" w:hAnsi="Times New Roman" w:cs="Times New Roman"/>
                      <w:color w:val="auto"/>
                      <w:kern w:val="1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62" w:type="dxa"/>
                  <w:vMerge w:val="continue"/>
                  <w:noWrap w:val="0"/>
                  <w:vAlign w:val="center"/>
                </w:tcPr>
                <w:p>
                  <w:pPr>
                    <w:pStyle w:val="124"/>
                    <w:rPr>
                      <w:rFonts w:hint="default" w:ascii="Times New Roman" w:hAnsi="Times New Roman" w:cs="Times New Roman"/>
                      <w:color w:val="auto"/>
                      <w:szCs w:val="21"/>
                      <w:highlight w:val="none"/>
                    </w:rPr>
                  </w:pP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1276"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动植物油</w:t>
                  </w: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3544" w:type="dxa"/>
                  <w:vMerge w:val="continue"/>
                  <w:noWrap w:val="0"/>
                  <w:vAlign w:val="center"/>
                </w:tcPr>
                <w:p>
                  <w:pPr>
                    <w:pStyle w:val="124"/>
                    <w:rPr>
                      <w:rFonts w:hint="default" w:ascii="Times New Roman" w:hAnsi="Times New Roman" w:cs="Times New Roman"/>
                      <w:color w:val="auto"/>
                      <w:kern w:val="1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62" w:type="dxa"/>
                  <w:vMerge w:val="continue"/>
                  <w:noWrap w:val="0"/>
                  <w:vAlign w:val="center"/>
                </w:tcPr>
                <w:p>
                  <w:pPr>
                    <w:pStyle w:val="124"/>
                    <w:rPr>
                      <w:rFonts w:hint="default" w:ascii="Times New Roman" w:hAnsi="Times New Roman" w:cs="Times New Roman"/>
                      <w:color w:val="auto"/>
                      <w:szCs w:val="21"/>
                      <w:highlight w:val="none"/>
                    </w:rPr>
                  </w:pP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1276"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LAS</w:t>
                  </w: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3544" w:type="dxa"/>
                  <w:vMerge w:val="continue"/>
                  <w:noWrap w:val="0"/>
                  <w:vAlign w:val="center"/>
                </w:tcPr>
                <w:p>
                  <w:pPr>
                    <w:pStyle w:val="124"/>
                    <w:rPr>
                      <w:rFonts w:hint="default" w:ascii="Times New Roman" w:hAnsi="Times New Roman" w:cs="Times New Roman"/>
                      <w:color w:val="auto"/>
                      <w:kern w:val="1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62" w:type="dxa"/>
                  <w:vMerge w:val="continue"/>
                  <w:noWrap w:val="0"/>
                  <w:vAlign w:val="center"/>
                </w:tcPr>
                <w:p>
                  <w:pPr>
                    <w:pStyle w:val="124"/>
                    <w:rPr>
                      <w:rFonts w:hint="default" w:ascii="Times New Roman" w:hAnsi="Times New Roman" w:cs="Times New Roman"/>
                      <w:color w:val="auto"/>
                      <w:szCs w:val="21"/>
                      <w:highlight w:val="none"/>
                    </w:rPr>
                  </w:pP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1276"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石油类</w:t>
                  </w: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3544" w:type="dxa"/>
                  <w:vMerge w:val="continue"/>
                  <w:noWrap w:val="0"/>
                  <w:vAlign w:val="center"/>
                </w:tcPr>
                <w:p>
                  <w:pPr>
                    <w:pStyle w:val="124"/>
                    <w:rPr>
                      <w:rFonts w:hint="default" w:ascii="Times New Roman" w:hAnsi="Times New Roman" w:cs="Times New Roman"/>
                      <w:color w:val="auto"/>
                      <w:kern w:val="1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62" w:type="dxa"/>
                  <w:vMerge w:val="continue"/>
                  <w:noWrap w:val="0"/>
                  <w:vAlign w:val="center"/>
                </w:tcPr>
                <w:p>
                  <w:pPr>
                    <w:pStyle w:val="124"/>
                    <w:rPr>
                      <w:rFonts w:hint="default" w:ascii="Times New Roman" w:hAnsi="Times New Roman" w:cs="Times New Roman"/>
                      <w:color w:val="auto"/>
                      <w:szCs w:val="21"/>
                      <w:highlight w:val="none"/>
                    </w:rPr>
                  </w:pP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1276"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挥发酚</w:t>
                  </w: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3544" w:type="dxa"/>
                  <w:vMerge w:val="continue"/>
                  <w:noWrap w:val="0"/>
                  <w:vAlign w:val="center"/>
                </w:tcPr>
                <w:p>
                  <w:pPr>
                    <w:pStyle w:val="124"/>
                    <w:rPr>
                      <w:rFonts w:hint="default" w:ascii="Times New Roman" w:hAnsi="Times New Roman" w:cs="Times New Roman"/>
                      <w:color w:val="auto"/>
                      <w:kern w:val="1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62" w:type="dxa"/>
                  <w:vMerge w:val="continue"/>
                  <w:noWrap w:val="0"/>
                  <w:vAlign w:val="center"/>
                </w:tcPr>
                <w:p>
                  <w:pPr>
                    <w:pStyle w:val="124"/>
                    <w:rPr>
                      <w:rFonts w:hint="default" w:ascii="Times New Roman" w:hAnsi="Times New Roman" w:cs="Times New Roman"/>
                      <w:color w:val="auto"/>
                      <w:szCs w:val="21"/>
                      <w:highlight w:val="none"/>
                    </w:rPr>
                  </w:pP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1276"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色度</w:t>
                  </w: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3544" w:type="dxa"/>
                  <w:vMerge w:val="continue"/>
                  <w:noWrap w:val="0"/>
                  <w:vAlign w:val="center"/>
                </w:tcPr>
                <w:p>
                  <w:pPr>
                    <w:pStyle w:val="124"/>
                    <w:rPr>
                      <w:rFonts w:hint="default" w:ascii="Times New Roman" w:hAnsi="Times New Roman" w:cs="Times New Roman"/>
                      <w:color w:val="auto"/>
                      <w:kern w:val="1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62" w:type="dxa"/>
                  <w:vMerge w:val="continue"/>
                  <w:noWrap w:val="0"/>
                  <w:vAlign w:val="center"/>
                </w:tcPr>
                <w:p>
                  <w:pPr>
                    <w:pStyle w:val="124"/>
                    <w:rPr>
                      <w:rFonts w:hint="default" w:ascii="Times New Roman" w:hAnsi="Times New Roman" w:cs="Times New Roman"/>
                      <w:color w:val="auto"/>
                      <w:szCs w:val="21"/>
                      <w:highlight w:val="none"/>
                    </w:rPr>
                  </w:pP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1276"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总氰化物</w:t>
                  </w: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3544" w:type="dxa"/>
                  <w:vMerge w:val="continue"/>
                  <w:noWrap w:val="0"/>
                  <w:vAlign w:val="center"/>
                </w:tcPr>
                <w:p>
                  <w:pPr>
                    <w:pStyle w:val="124"/>
                    <w:rPr>
                      <w:rFonts w:hint="default" w:ascii="Times New Roman" w:hAnsi="Times New Roman" w:cs="Times New Roman"/>
                      <w:color w:val="auto"/>
                      <w:kern w:val="1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162" w:type="dxa"/>
                  <w:vMerge w:val="continue"/>
                  <w:noWrap w:val="0"/>
                  <w:vAlign w:val="center"/>
                </w:tcPr>
                <w:p>
                  <w:pPr>
                    <w:pStyle w:val="124"/>
                    <w:rPr>
                      <w:rFonts w:hint="default" w:ascii="Times New Roman" w:hAnsi="Times New Roman" w:cs="Times New Roman"/>
                      <w:color w:val="auto"/>
                      <w:szCs w:val="21"/>
                      <w:highlight w:val="none"/>
                    </w:rPr>
                  </w:pP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1276" w:type="dxa"/>
                  <w:noWrap w:val="0"/>
                  <w:vAlign w:val="center"/>
                </w:tcPr>
                <w:p>
                  <w:pPr>
                    <w:pStyle w:val="124"/>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总余氯</w:t>
                  </w:r>
                </w:p>
              </w:tc>
              <w:tc>
                <w:tcPr>
                  <w:tcW w:w="1134" w:type="dxa"/>
                  <w:vMerge w:val="continue"/>
                  <w:noWrap w:val="0"/>
                  <w:vAlign w:val="center"/>
                </w:tcPr>
                <w:p>
                  <w:pPr>
                    <w:pStyle w:val="124"/>
                    <w:rPr>
                      <w:rFonts w:hint="default" w:ascii="Times New Roman" w:hAnsi="Times New Roman" w:cs="Times New Roman"/>
                      <w:color w:val="auto"/>
                      <w:szCs w:val="21"/>
                      <w:highlight w:val="none"/>
                    </w:rPr>
                  </w:pPr>
                </w:p>
              </w:tc>
              <w:tc>
                <w:tcPr>
                  <w:tcW w:w="3544" w:type="dxa"/>
                  <w:vMerge w:val="continue"/>
                  <w:noWrap w:val="0"/>
                  <w:vAlign w:val="center"/>
                </w:tcPr>
                <w:p>
                  <w:pPr>
                    <w:pStyle w:val="124"/>
                    <w:rPr>
                      <w:rFonts w:hint="default" w:ascii="Times New Roman" w:hAnsi="Times New Roman" w:cs="Times New Roman"/>
                      <w:color w:val="auto"/>
                      <w:kern w:val="10"/>
                      <w:szCs w:val="21"/>
                      <w:highlight w:val="none"/>
                    </w:rPr>
                  </w:pPr>
                </w:p>
              </w:tc>
            </w:tr>
          </w:tbl>
          <w:p>
            <w:pPr>
              <w:adjustRightInd w:val="0"/>
              <w:snapToGrid w:val="0"/>
              <w:spacing w:line="360" w:lineRule="auto"/>
              <w:ind w:firstLine="482" w:firstLineChars="200"/>
              <w:rPr>
                <w:rFonts w:hint="default" w:ascii="Times New Roman" w:hAnsi="Times New Roman" w:cs="Times New Roman"/>
                <w:b/>
                <w:bCs/>
                <w:color w:val="auto"/>
                <w:sz w:val="24"/>
                <w:highlight w:val="none"/>
              </w:rPr>
            </w:pPr>
            <w:r>
              <w:rPr>
                <w:rFonts w:hint="eastAsia" w:cs="Times New Roman"/>
                <w:b/>
                <w:bCs/>
                <w:color w:val="auto"/>
                <w:sz w:val="24"/>
                <w:highlight w:val="none"/>
                <w:lang w:val="en-US" w:eastAsia="zh-CN"/>
              </w:rPr>
              <w:t>3</w:t>
            </w:r>
            <w:r>
              <w:rPr>
                <w:rFonts w:hint="default" w:ascii="Times New Roman" w:hAnsi="Times New Roman" w:cs="Times New Roman"/>
                <w:b/>
                <w:bCs/>
                <w:color w:val="auto"/>
                <w:sz w:val="24"/>
                <w:highlight w:val="none"/>
              </w:rPr>
              <w:t>、噪声污染</w:t>
            </w:r>
          </w:p>
          <w:p>
            <w:pPr>
              <w:pStyle w:val="3"/>
              <w:spacing w:after="0" w:line="360" w:lineRule="auto"/>
              <w:ind w:left="0" w:leftChars="0" w:firstLine="482" w:firstLineChars="200"/>
              <w:contextualSpacing/>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3.1噪声源强</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据项目特点，本项目运营期主要为鼓风机噪声、污水处理站水泵噪声、门诊部社会噪声</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往来车辆交通噪声</w:t>
            </w:r>
            <w:r>
              <w:rPr>
                <w:rFonts w:hint="eastAsia" w:ascii="Times New Roman" w:hAnsi="Times New Roman" w:eastAsia="宋体" w:cs="Times New Roman"/>
                <w:color w:val="auto"/>
                <w:kern w:val="2"/>
                <w:sz w:val="24"/>
                <w:szCs w:val="22"/>
                <w:highlight w:val="none"/>
                <w:lang w:val="en-US" w:eastAsia="zh-CN" w:bidi="ar-SA"/>
              </w:rPr>
              <w:t>及备用发电机使用时的噪声</w:t>
            </w:r>
            <w:r>
              <w:rPr>
                <w:rFonts w:hint="default" w:ascii="Times New Roman" w:hAnsi="Times New Roman" w:cs="Times New Roman"/>
                <w:color w:val="auto"/>
                <w:sz w:val="24"/>
                <w:highlight w:val="none"/>
              </w:rPr>
              <w:t>，根据工程分析内容，噪声源强在50～90dB(A</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左右。</w:t>
            </w:r>
          </w:p>
          <w:p>
            <w:pPr>
              <w:spacing w:line="360" w:lineRule="auto"/>
              <w:ind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cs="Times New Roman"/>
                <w:color w:val="auto"/>
                <w:sz w:val="24"/>
                <w:highlight w:val="none"/>
              </w:rPr>
              <w:t>项目在门诊设置“禁止大声喧哗”等标识，合理分流人员，减少在项目区的滞留时间，最大限度上降低对项目区及周边环境的影响；设备置于房间内隔声减震；车辆限速禁鸣。经降噪措施后，环评以20dB（A）计算，噪声排放源强见下表。</w:t>
            </w:r>
          </w:p>
          <w:p>
            <w:pPr>
              <w:adjustRightInd w:val="0"/>
              <w:snapToGrid w:val="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w:t>
            </w:r>
            <w:r>
              <w:rPr>
                <w:rFonts w:hint="eastAsia" w:cs="Times New Roman"/>
                <w:b/>
                <w:color w:val="auto"/>
                <w:sz w:val="24"/>
                <w:szCs w:val="24"/>
                <w:highlight w:val="none"/>
                <w:lang w:val="en-US" w:eastAsia="zh-CN"/>
              </w:rPr>
              <w:t xml:space="preserve">11 </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项目产噪设备源强</w:t>
            </w:r>
            <w:r>
              <w:rPr>
                <w:rFonts w:hint="eastAsia" w:cs="Times New Roman"/>
                <w:b/>
                <w:color w:val="auto"/>
                <w:sz w:val="24"/>
                <w:szCs w:val="24"/>
                <w:highlight w:val="none"/>
                <w:lang w:eastAsia="zh-CN"/>
              </w:rPr>
              <w:t>调查</w:t>
            </w:r>
            <w:r>
              <w:rPr>
                <w:rFonts w:hint="default" w:ascii="Times New Roman" w:hAnsi="Times New Roman" w:eastAsia="宋体" w:cs="Times New Roman"/>
                <w:b/>
                <w:color w:val="auto"/>
                <w:sz w:val="24"/>
                <w:szCs w:val="24"/>
                <w:highlight w:val="none"/>
              </w:rPr>
              <w:t>表</w:t>
            </w:r>
          </w:p>
          <w:tbl>
            <w:tblPr>
              <w:tblStyle w:val="27"/>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2257"/>
              <w:gridCol w:w="1624"/>
              <w:gridCol w:w="1529"/>
              <w:gridCol w:w="1529"/>
              <w:gridCol w:w="152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2257" w:type="dxa"/>
                  <w:tcBorders>
                    <w:top w:val="single" w:color="000000" w:sz="12" w:space="0"/>
                    <w:left w:val="nil"/>
                    <w:bottom w:val="single" w:color="000000" w:sz="4" w:space="0"/>
                    <w:right w:val="single" w:color="000000" w:sz="4" w:space="0"/>
                  </w:tcBorders>
                  <w:noWrap w:val="0"/>
                  <w:vAlign w:val="center"/>
                </w:tcPr>
                <w:p>
                  <w:pPr>
                    <w:spacing w:before="30" w:line="260" w:lineRule="exact"/>
                    <w:ind w:left="510" w:right="47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设备名称</w:t>
                  </w:r>
                </w:p>
              </w:tc>
              <w:tc>
                <w:tcPr>
                  <w:tcW w:w="1624" w:type="dxa"/>
                  <w:tcBorders>
                    <w:top w:val="single" w:color="000000" w:sz="12" w:space="0"/>
                    <w:left w:val="single" w:color="000000" w:sz="4" w:space="0"/>
                    <w:bottom w:val="single" w:color="000000" w:sz="4" w:space="0"/>
                    <w:right w:val="single" w:color="000000" w:sz="4" w:space="0"/>
                  </w:tcBorders>
                  <w:noWrap w:val="0"/>
                  <w:vAlign w:val="center"/>
                </w:tcPr>
                <w:p>
                  <w:pPr>
                    <w:spacing w:before="30" w:line="260" w:lineRule="exact"/>
                    <w:ind w:right="394"/>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噪声源强</w:t>
                  </w:r>
                </w:p>
              </w:tc>
              <w:tc>
                <w:tcPr>
                  <w:tcW w:w="1529" w:type="dxa"/>
                  <w:tcBorders>
                    <w:top w:val="single" w:color="000000" w:sz="12" w:space="0"/>
                    <w:left w:val="single" w:color="000000" w:sz="4" w:space="0"/>
                    <w:bottom w:val="single" w:color="000000" w:sz="4" w:space="0"/>
                    <w:right w:val="single" w:color="000000" w:sz="4" w:space="0"/>
                  </w:tcBorders>
                  <w:noWrap w:val="0"/>
                  <w:vAlign w:val="center"/>
                </w:tcPr>
                <w:p>
                  <w:pPr>
                    <w:spacing w:before="30" w:line="260" w:lineRule="exact"/>
                    <w:ind w:right="39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降噪措施</w:t>
                  </w:r>
                </w:p>
              </w:tc>
              <w:tc>
                <w:tcPr>
                  <w:tcW w:w="1529" w:type="dxa"/>
                  <w:tcBorders>
                    <w:top w:val="single" w:color="000000" w:sz="12" w:space="0"/>
                    <w:left w:val="single" w:color="000000" w:sz="4" w:space="0"/>
                    <w:bottom w:val="single" w:color="000000" w:sz="4" w:space="0"/>
                    <w:right w:val="single" w:color="000000" w:sz="4" w:space="0"/>
                  </w:tcBorders>
                  <w:noWrap w:val="0"/>
                  <w:vAlign w:val="center"/>
                </w:tcPr>
                <w:p>
                  <w:pPr>
                    <w:spacing w:before="30" w:line="260" w:lineRule="exact"/>
                    <w:ind w:right="39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降噪效果</w:t>
                  </w:r>
                </w:p>
              </w:tc>
              <w:tc>
                <w:tcPr>
                  <w:tcW w:w="1527" w:type="dxa"/>
                  <w:tcBorders>
                    <w:top w:val="single" w:color="000000" w:sz="12" w:space="0"/>
                    <w:left w:val="single" w:color="000000" w:sz="4" w:space="0"/>
                    <w:bottom w:val="single" w:color="000000" w:sz="4" w:space="0"/>
                    <w:right w:val="single" w:color="000000" w:sz="4" w:space="0"/>
                  </w:tcBorders>
                  <w:noWrap w:val="0"/>
                  <w:vAlign w:val="center"/>
                </w:tcPr>
                <w:p>
                  <w:pPr>
                    <w:spacing w:before="30" w:line="260" w:lineRule="exact"/>
                    <w:ind w:right="392"/>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排放源强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30" w:hRule="atLeast"/>
              </w:trPr>
              <w:tc>
                <w:tcPr>
                  <w:tcW w:w="2257" w:type="dxa"/>
                  <w:tcBorders>
                    <w:top w:val="single" w:color="000000" w:sz="4" w:space="0"/>
                    <w:left w:val="nil"/>
                    <w:right w:val="single" w:color="000000" w:sz="4" w:space="0"/>
                  </w:tcBorders>
                  <w:noWrap w:val="0"/>
                  <w:vAlign w:val="center"/>
                </w:tcPr>
                <w:p>
                  <w:pPr>
                    <w:spacing w:before="31"/>
                    <w:ind w:left="510" w:right="477"/>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风机</w:t>
                  </w:r>
                </w:p>
              </w:tc>
              <w:tc>
                <w:tcPr>
                  <w:tcW w:w="1624" w:type="dxa"/>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70-90dB（A）</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spacing w:before="45"/>
                    <w:ind w:left="2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建筑隔声、减振</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spacing w:before="45"/>
                    <w:ind w:left="2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15-20dB</w:t>
                  </w:r>
                </w:p>
              </w:tc>
              <w:tc>
                <w:tcPr>
                  <w:tcW w:w="1527" w:type="dxa"/>
                  <w:tcBorders>
                    <w:top w:val="single" w:color="000000" w:sz="4" w:space="0"/>
                    <w:left w:val="single" w:color="000000" w:sz="4" w:space="0"/>
                    <w:bottom w:val="single" w:color="000000" w:sz="4" w:space="0"/>
                    <w:right w:val="single" w:color="000000" w:sz="4" w:space="0"/>
                  </w:tcBorders>
                  <w:noWrap w:val="0"/>
                  <w:vAlign w:val="center"/>
                </w:tcPr>
                <w:p>
                  <w:pPr>
                    <w:spacing w:before="45"/>
                    <w:ind w:left="2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50-70dB（A）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2257" w:type="dxa"/>
                  <w:tcBorders>
                    <w:top w:val="single" w:color="000000" w:sz="4" w:space="0"/>
                    <w:left w:val="nil"/>
                    <w:bottom w:val="single" w:color="000000" w:sz="4" w:space="0"/>
                    <w:right w:val="single" w:color="000000" w:sz="4" w:space="0"/>
                  </w:tcBorders>
                  <w:noWrap w:val="0"/>
                  <w:vAlign w:val="center"/>
                </w:tcPr>
                <w:p>
                  <w:pPr>
                    <w:spacing w:before="43"/>
                    <w:ind w:left="510" w:right="474"/>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水泵</w:t>
                  </w:r>
                </w:p>
              </w:tc>
              <w:tc>
                <w:tcPr>
                  <w:tcW w:w="162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70-80dB（A）</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建筑隔声、减振</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15-20dB</w:t>
                  </w:r>
                </w:p>
              </w:tc>
              <w:tc>
                <w:tcPr>
                  <w:tcW w:w="152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50-60dB（A）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6" w:hRule="atLeast"/>
              </w:trPr>
              <w:tc>
                <w:tcPr>
                  <w:tcW w:w="2257" w:type="dxa"/>
                  <w:tcBorders>
                    <w:top w:val="single" w:color="000000" w:sz="4" w:space="0"/>
                    <w:left w:val="nil"/>
                    <w:bottom w:val="single" w:color="000000" w:sz="4" w:space="0"/>
                    <w:right w:val="single" w:color="000000" w:sz="4" w:space="0"/>
                  </w:tcBorders>
                  <w:noWrap w:val="0"/>
                  <w:vAlign w:val="center"/>
                </w:tcPr>
                <w:p>
                  <w:pPr>
                    <w:spacing w:before="66"/>
                    <w:ind w:left="510" w:right="47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空调</w:t>
                  </w:r>
                </w:p>
              </w:tc>
              <w:tc>
                <w:tcPr>
                  <w:tcW w:w="162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50-60dB（A）</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spacing w:before="66"/>
                    <w:ind w:left="9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隔声、减振</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spacing w:before="66"/>
                    <w:ind w:left="9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15-20dB</w:t>
                  </w:r>
                </w:p>
              </w:tc>
              <w:tc>
                <w:tcPr>
                  <w:tcW w:w="1527" w:type="dxa"/>
                  <w:tcBorders>
                    <w:top w:val="single" w:color="000000" w:sz="4" w:space="0"/>
                    <w:left w:val="single" w:color="000000" w:sz="4" w:space="0"/>
                    <w:bottom w:val="single" w:color="000000" w:sz="4" w:space="0"/>
                    <w:right w:val="single" w:color="000000" w:sz="4" w:space="0"/>
                  </w:tcBorders>
                  <w:noWrap w:val="0"/>
                  <w:vAlign w:val="center"/>
                </w:tcPr>
                <w:p>
                  <w:pPr>
                    <w:spacing w:before="66"/>
                    <w:ind w:left="9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30-40dB（A）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6" w:hRule="atLeast"/>
              </w:trPr>
              <w:tc>
                <w:tcPr>
                  <w:tcW w:w="2257" w:type="dxa"/>
                  <w:tcBorders>
                    <w:top w:val="single" w:color="000000" w:sz="4" w:space="0"/>
                    <w:left w:val="nil"/>
                    <w:bottom w:val="single" w:color="000000" w:sz="4" w:space="0"/>
                    <w:right w:val="single" w:color="000000" w:sz="4" w:space="0"/>
                  </w:tcBorders>
                  <w:noWrap w:val="0"/>
                  <w:vAlign w:val="center"/>
                </w:tcPr>
                <w:p>
                  <w:pPr>
                    <w:spacing w:before="66"/>
                    <w:ind w:left="510" w:right="47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门诊噪声</w:t>
                  </w:r>
                </w:p>
              </w:tc>
              <w:tc>
                <w:tcPr>
                  <w:tcW w:w="162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65-75dB（A）</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spacing w:before="66"/>
                    <w:ind w:left="9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房间墙体隔声，禁止大声喧哗</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spacing w:before="66"/>
                    <w:ind w:left="9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15-20dB</w:t>
                  </w:r>
                </w:p>
              </w:tc>
              <w:tc>
                <w:tcPr>
                  <w:tcW w:w="1527" w:type="dxa"/>
                  <w:tcBorders>
                    <w:top w:val="single" w:color="000000" w:sz="4" w:space="0"/>
                    <w:left w:val="single" w:color="000000" w:sz="4" w:space="0"/>
                    <w:bottom w:val="single" w:color="000000" w:sz="4" w:space="0"/>
                    <w:right w:val="single" w:color="000000" w:sz="4" w:space="0"/>
                  </w:tcBorders>
                  <w:noWrap w:val="0"/>
                  <w:vAlign w:val="center"/>
                </w:tcPr>
                <w:p>
                  <w:pPr>
                    <w:spacing w:before="66"/>
                    <w:ind w:left="9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40-55dB（A）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6" w:hRule="atLeast"/>
              </w:trPr>
              <w:tc>
                <w:tcPr>
                  <w:tcW w:w="2257" w:type="dxa"/>
                  <w:tcBorders>
                    <w:top w:val="single" w:color="000000" w:sz="4" w:space="0"/>
                    <w:left w:val="nil"/>
                    <w:bottom w:val="single" w:color="000000" w:sz="4" w:space="0"/>
                    <w:right w:val="single" w:color="000000" w:sz="4" w:space="0"/>
                  </w:tcBorders>
                  <w:noWrap w:val="0"/>
                  <w:vAlign w:val="center"/>
                </w:tcPr>
                <w:p>
                  <w:pPr>
                    <w:spacing w:before="66"/>
                    <w:ind w:left="510" w:right="476"/>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车辆噪声</w:t>
                  </w:r>
                </w:p>
              </w:tc>
              <w:tc>
                <w:tcPr>
                  <w:tcW w:w="162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50-70dB（A）</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spacing w:before="66"/>
                    <w:ind w:left="9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限速禁鸣</w:t>
                  </w:r>
                </w:p>
              </w:tc>
              <w:tc>
                <w:tcPr>
                  <w:tcW w:w="1529" w:type="dxa"/>
                  <w:tcBorders>
                    <w:top w:val="single" w:color="000000" w:sz="4" w:space="0"/>
                    <w:left w:val="single" w:color="000000" w:sz="4" w:space="0"/>
                    <w:bottom w:val="single" w:color="000000" w:sz="4" w:space="0"/>
                    <w:right w:val="single" w:color="000000" w:sz="4" w:space="0"/>
                  </w:tcBorders>
                  <w:noWrap w:val="0"/>
                  <w:vAlign w:val="center"/>
                </w:tcPr>
                <w:p>
                  <w:pPr>
                    <w:spacing w:before="66"/>
                    <w:ind w:left="9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5~10dB</w:t>
                  </w:r>
                </w:p>
              </w:tc>
              <w:tc>
                <w:tcPr>
                  <w:tcW w:w="1527" w:type="dxa"/>
                  <w:tcBorders>
                    <w:top w:val="single" w:color="000000" w:sz="4" w:space="0"/>
                    <w:left w:val="single" w:color="000000" w:sz="4" w:space="0"/>
                    <w:bottom w:val="single" w:color="000000" w:sz="4" w:space="0"/>
                    <w:right w:val="single" w:color="000000" w:sz="4" w:space="0"/>
                  </w:tcBorders>
                  <w:noWrap w:val="0"/>
                  <w:vAlign w:val="center"/>
                </w:tcPr>
                <w:p>
                  <w:pPr>
                    <w:spacing w:before="66"/>
                    <w:ind w:left="9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40-60dB（A）</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76" w:hRule="atLeast"/>
              </w:trPr>
              <w:tc>
                <w:tcPr>
                  <w:tcW w:w="2257" w:type="dxa"/>
                  <w:tcBorders>
                    <w:top w:val="single" w:color="000000" w:sz="4" w:space="0"/>
                    <w:left w:val="nil"/>
                    <w:bottom w:val="single" w:color="000000" w:sz="12" w:space="0"/>
                    <w:right w:val="single" w:color="000000" w:sz="4" w:space="0"/>
                  </w:tcBorders>
                  <w:noWrap w:val="0"/>
                  <w:vAlign w:val="center"/>
                </w:tcPr>
                <w:p>
                  <w:pPr>
                    <w:spacing w:before="66"/>
                    <w:ind w:left="510" w:right="476"/>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备用柴油发电机</w:t>
                  </w:r>
                </w:p>
              </w:tc>
              <w:tc>
                <w:tcPr>
                  <w:tcW w:w="1624" w:type="dxa"/>
                  <w:tcBorders>
                    <w:top w:val="single" w:color="000000" w:sz="4" w:space="0"/>
                    <w:left w:val="single" w:color="000000" w:sz="4" w:space="0"/>
                    <w:bottom w:val="single" w:color="000000" w:sz="12" w:space="0"/>
                    <w:right w:val="single" w:color="000000" w:sz="4" w:space="0"/>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70-75</w:t>
                  </w:r>
                  <w:r>
                    <w:rPr>
                      <w:rFonts w:hint="default" w:ascii="Times New Roman" w:hAnsi="Times New Roman" w:eastAsia="宋体" w:cs="Times New Roman"/>
                      <w:color w:val="auto"/>
                      <w:kern w:val="2"/>
                      <w:sz w:val="21"/>
                      <w:szCs w:val="21"/>
                      <w:highlight w:val="none"/>
                      <w:lang w:val="en-US" w:eastAsia="zh-CN" w:bidi="ar-SA"/>
                    </w:rPr>
                    <w:t>dB（A）</w:t>
                  </w:r>
                </w:p>
              </w:tc>
              <w:tc>
                <w:tcPr>
                  <w:tcW w:w="1529" w:type="dxa"/>
                  <w:tcBorders>
                    <w:top w:val="single" w:color="000000" w:sz="4" w:space="0"/>
                    <w:left w:val="single" w:color="000000" w:sz="4" w:space="0"/>
                    <w:bottom w:val="single" w:color="000000" w:sz="12" w:space="0"/>
                    <w:right w:val="single" w:color="000000" w:sz="4" w:space="0"/>
                  </w:tcBorders>
                  <w:noWrap w:val="0"/>
                  <w:vAlign w:val="center"/>
                </w:tcPr>
                <w:p>
                  <w:pPr>
                    <w:spacing w:before="66"/>
                    <w:ind w:left="9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隔声、减振</w:t>
                  </w:r>
                </w:p>
              </w:tc>
              <w:tc>
                <w:tcPr>
                  <w:tcW w:w="1529" w:type="dxa"/>
                  <w:tcBorders>
                    <w:top w:val="single" w:color="000000" w:sz="4" w:space="0"/>
                    <w:left w:val="single" w:color="000000" w:sz="4" w:space="0"/>
                    <w:bottom w:val="single" w:color="000000" w:sz="12" w:space="0"/>
                    <w:right w:val="single" w:color="000000" w:sz="4" w:space="0"/>
                  </w:tcBorders>
                  <w:noWrap w:val="0"/>
                  <w:vAlign w:val="center"/>
                </w:tcPr>
                <w:p>
                  <w:pPr>
                    <w:spacing w:before="66"/>
                    <w:ind w:left="9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15-20dB</w:t>
                  </w:r>
                </w:p>
              </w:tc>
              <w:tc>
                <w:tcPr>
                  <w:tcW w:w="1527" w:type="dxa"/>
                  <w:tcBorders>
                    <w:top w:val="single" w:color="000000" w:sz="4" w:space="0"/>
                    <w:left w:val="single" w:color="000000" w:sz="4" w:space="0"/>
                    <w:bottom w:val="single" w:color="000000" w:sz="12" w:space="0"/>
                    <w:right w:val="single" w:color="000000" w:sz="4" w:space="0"/>
                  </w:tcBorders>
                  <w:noWrap w:val="0"/>
                  <w:vAlign w:val="center"/>
                </w:tcPr>
                <w:p>
                  <w:pPr>
                    <w:spacing w:before="66"/>
                    <w:ind w:left="9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50-</w:t>
                  </w:r>
                  <w:r>
                    <w:rPr>
                      <w:rFonts w:hint="eastAsia" w:ascii="Times New Roman" w:hAnsi="Times New Roman" w:eastAsia="宋体" w:cs="Times New Roman"/>
                      <w:color w:val="auto"/>
                      <w:kern w:val="2"/>
                      <w:sz w:val="21"/>
                      <w:szCs w:val="21"/>
                      <w:highlight w:val="none"/>
                      <w:lang w:val="en-US" w:eastAsia="zh-CN" w:bidi="ar-SA"/>
                    </w:rPr>
                    <w:t>55</w:t>
                  </w:r>
                  <w:r>
                    <w:rPr>
                      <w:rFonts w:hint="default" w:ascii="Times New Roman" w:hAnsi="Times New Roman" w:eastAsia="宋体" w:cs="Times New Roman"/>
                      <w:color w:val="auto"/>
                      <w:kern w:val="2"/>
                      <w:sz w:val="21"/>
                      <w:szCs w:val="21"/>
                      <w:highlight w:val="none"/>
                      <w:lang w:val="en-US" w:eastAsia="zh-CN" w:bidi="ar-SA"/>
                    </w:rPr>
                    <w:t>dB（A）</w:t>
                  </w:r>
                </w:p>
              </w:tc>
            </w:tr>
          </w:tbl>
          <w:p>
            <w:pPr>
              <w:pStyle w:val="3"/>
              <w:spacing w:after="0" w:line="360" w:lineRule="auto"/>
              <w:ind w:left="0" w:leftChars="0" w:firstLine="482" w:firstLineChars="200"/>
              <w:contextualSpacing/>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3.2噪声源强核算</w:t>
            </w:r>
          </w:p>
          <w:p>
            <w:pPr>
              <w:pageBreakBefore w:val="0"/>
              <w:kinsoku/>
              <w:overflowPunct w:val="0"/>
              <w:bidi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噪声衰减预测采用《</w:t>
            </w:r>
            <w:r>
              <w:rPr>
                <w:rFonts w:hint="default" w:ascii="Times New Roman" w:hAnsi="Times New Roman" w:eastAsia="宋体" w:cs="Times New Roman"/>
                <w:color w:val="auto"/>
                <w:sz w:val="24"/>
                <w:szCs w:val="24"/>
                <w:highlight w:val="none"/>
                <w:lang w:eastAsia="zh-CN"/>
              </w:rPr>
              <w:t>环境影响评价技术导则声环境</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HJ2.4-2021</w:t>
            </w:r>
            <w:r>
              <w:rPr>
                <w:rFonts w:hint="default" w:ascii="Times New Roman" w:hAnsi="Times New Roman" w:eastAsia="宋体" w:cs="Times New Roman"/>
                <w:color w:val="auto"/>
                <w:sz w:val="24"/>
                <w:szCs w:val="24"/>
                <w:highlight w:val="none"/>
              </w:rPr>
              <w:t>）中推荐的噪声预测模式，公式如下：</w:t>
            </w:r>
          </w:p>
          <w:p>
            <w:pPr>
              <w:pStyle w:val="154"/>
              <w:keepNext w:val="0"/>
              <w:keepLines w:val="0"/>
              <w:pageBreakBefore w:val="0"/>
              <w:kinsoku/>
              <w:wordWrap/>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噪声源分为室外室内两种声源。噪声声波在传播过程中，将通过距离衰减，空气吸收衰减达到各预测点。另外，雨、雪、雾和温度梯度等因素忽略不计，作为满足预测精度前提下的一定安全保证值。以保证未来实际噪声环境较预测结果优越。</w:t>
            </w:r>
          </w:p>
          <w:p>
            <w:pPr>
              <w:pStyle w:val="154"/>
              <w:keepNext w:val="0"/>
              <w:keepLines w:val="0"/>
              <w:pageBreakBefore w:val="0"/>
              <w:kinsoku/>
              <w:wordWrap/>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具体噪声预测模式采用《环境影响评价技术导则声环境》</w:t>
            </w:r>
            <w:r>
              <w:rPr>
                <w:rFonts w:hint="default" w:ascii="Times New Roman" w:hAnsi="Times New Roman" w:eastAsia="宋体" w:cs="Times New Roman"/>
                <w:color w:val="auto"/>
                <w:sz w:val="24"/>
                <w:szCs w:val="24"/>
                <w:highlight w:val="none"/>
                <w:lang w:eastAsia="zh-CN"/>
              </w:rPr>
              <w:t>（HJ2.4-2021）</w:t>
            </w:r>
            <w:r>
              <w:rPr>
                <w:rFonts w:hint="default" w:ascii="Times New Roman" w:hAnsi="Times New Roman" w:eastAsia="宋体" w:cs="Times New Roman"/>
                <w:color w:val="auto"/>
                <w:sz w:val="24"/>
                <w:szCs w:val="24"/>
                <w:highlight w:val="none"/>
              </w:rPr>
              <w:t>中推荐模式形式进行预测：</w:t>
            </w:r>
          </w:p>
          <w:p>
            <w:pPr>
              <w:pStyle w:val="154"/>
              <w:keepNext w:val="0"/>
              <w:keepLines w:val="0"/>
              <w:pageBreakBefore w:val="0"/>
              <w:kinsoku/>
              <w:wordWrap/>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室内声源</w:t>
            </w:r>
          </w:p>
          <w:p>
            <w:pPr>
              <w:pStyle w:val="157"/>
              <w:keepNext w:val="0"/>
              <w:keepLines w:val="0"/>
              <w:pageBreakBefore w:val="0"/>
              <w:kinsoku/>
              <w:wordWrap/>
              <w:bidi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根据《环境影响评价技术导则声环境》（</w:t>
            </w:r>
            <w:r>
              <w:rPr>
                <w:rFonts w:hint="default" w:ascii="Times New Roman" w:hAnsi="Times New Roman" w:eastAsia="宋体" w:cs="Times New Roman"/>
                <w:color w:val="auto"/>
                <w:sz w:val="24"/>
                <w:szCs w:val="24"/>
                <w:highlight w:val="none"/>
                <w:lang w:eastAsia="zh-CN"/>
              </w:rPr>
              <w:t>HJ2.4-2021</w:t>
            </w:r>
            <w:r>
              <w:rPr>
                <w:rFonts w:hint="default" w:ascii="Times New Roman" w:hAnsi="Times New Roman" w:eastAsia="宋体" w:cs="Times New Roman"/>
                <w:color w:val="auto"/>
                <w:sz w:val="24"/>
                <w:szCs w:val="24"/>
                <w:highlight w:val="none"/>
              </w:rPr>
              <w:t>）对室内声源的预测方法，声源位于室内，室内声源可采用等效室外声源声功率级法进行计算。</w:t>
            </w:r>
          </w:p>
          <w:p>
            <w:pPr>
              <w:pStyle w:val="157"/>
              <w:keepNext w:val="0"/>
              <w:keepLines w:val="0"/>
              <w:pageBreakBefore w:val="0"/>
              <w:kinsoku/>
              <w:wordWrap/>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计算某一室内声源靠近围护结构处产生的倍频带声压级：</w:t>
            </w:r>
          </w:p>
          <w:p>
            <w:pPr>
              <w:pStyle w:val="157"/>
              <w:keepNext w:val="0"/>
              <w:keepLines w:val="0"/>
              <w:pageBreakBefore w:val="0"/>
              <w:kinsoku/>
              <w:wordWrap/>
              <w:bidi w:val="0"/>
              <w:spacing w:line="360" w:lineRule="auto"/>
              <w:ind w:firstLine="48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5" o:spt="75" type="#_x0000_t75" style="height:31.5pt;width:134.25pt;" o:ole="t" filled="f" o:preferrelative="t" stroked="f" coordsize="21600,21600">
                  <v:path/>
                  <v:fill on="f" focussize="0,0"/>
                  <v:stroke on="f" joinstyle="miter"/>
                  <v:imagedata r:id="rId14" o:title=""/>
                  <o:lock v:ext="edit" aspectratio="t"/>
                  <w10:wrap type="none"/>
                  <w10:anchorlock/>
                </v:shape>
                <o:OLEObject Type="Embed" ProgID="Equation.3" ShapeID="_x0000_i1025" DrawAspect="Content" ObjectID="_1468075725" r:id="rId13">
                  <o:LockedField>false</o:LockedField>
                </o:OLEObject>
              </w:object>
            </w:r>
          </w:p>
          <w:p>
            <w:pPr>
              <w:pStyle w:val="157"/>
              <w:keepNext w:val="0"/>
              <w:keepLines w:val="0"/>
              <w:pageBreakBefore w:val="0"/>
              <w:kinsoku/>
              <w:wordWrap/>
              <w:bidi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式中：Q——指向性因子：通常对无指向性声源，当声源放在房间中心时，Q=1；当放在一面墙的中心时，Q=2；当放在两面墙夹角时，Q=4；当放在三面墙夹角处时，Q=8。</w:t>
            </w:r>
          </w:p>
          <w:p>
            <w:pPr>
              <w:pStyle w:val="157"/>
              <w:keepNext w:val="0"/>
              <w:keepLines w:val="0"/>
              <w:pageBreakBefore w:val="0"/>
              <w:kinsoku/>
              <w:wordWrap/>
              <w:bidi w:val="0"/>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R——房间常数：R=Sa/（1-a），S为房间内表面面积，m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；a为平均吸声系数（混凝土刷漆，取值为0.07）。</w:t>
            </w:r>
          </w:p>
          <w:p>
            <w:pPr>
              <w:pStyle w:val="157"/>
              <w:keepNext w:val="0"/>
              <w:keepLines w:val="0"/>
              <w:pageBreakBefore w:val="0"/>
              <w:kinsoku/>
              <w:wordWrap/>
              <w:bidi w:val="0"/>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r——声源到靠近围护结构某点处的距离，m。</w:t>
            </w:r>
          </w:p>
          <w:p>
            <w:pPr>
              <w:pStyle w:val="157"/>
              <w:keepNext w:val="0"/>
              <w:keepLines w:val="0"/>
              <w:pageBreakBefore w:val="0"/>
              <w:kinsoku/>
              <w:wordWrap/>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计算出所有室内声源在围护结构处产生的i倍频带叠加声压级：</w:t>
            </w:r>
          </w:p>
          <w:p>
            <w:pPr>
              <w:pStyle w:val="157"/>
              <w:keepNext w:val="0"/>
              <w:keepLines w:val="0"/>
              <w:pageBreakBefore w:val="0"/>
              <w:kinsoku/>
              <w:wordWrap/>
              <w:bidi w:val="0"/>
              <w:spacing w:line="360" w:lineRule="auto"/>
              <w:ind w:firstLine="48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6" o:spt="75" type="#_x0000_t75" style="height:32.25pt;width:119.2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p>
          <w:p>
            <w:pPr>
              <w:pStyle w:val="157"/>
              <w:keepNext w:val="0"/>
              <w:keepLines w:val="0"/>
              <w:pageBreakBefore w:val="0"/>
              <w:kinsoku/>
              <w:wordWrap/>
              <w:bidi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w:t>
            </w:r>
            <w:r>
              <w:rPr>
                <w:rFonts w:hint="default" w:ascii="Times New Roman" w:hAnsi="Times New Roman" w:eastAsia="宋体" w:cs="Times New Roman"/>
                <w:color w:val="auto"/>
                <w:sz w:val="24"/>
                <w:szCs w:val="24"/>
                <w:highlight w:val="none"/>
                <w:vertAlign w:val="subscript"/>
              </w:rPr>
              <w:t>p1i</w:t>
            </w:r>
            <w:r>
              <w:rPr>
                <w:rFonts w:hint="default" w:ascii="Times New Roman" w:hAnsi="Times New Roman" w:eastAsia="宋体" w:cs="Times New Roman"/>
                <w:color w:val="auto"/>
                <w:sz w:val="24"/>
                <w:szCs w:val="24"/>
                <w:highlight w:val="none"/>
              </w:rPr>
              <w:t>（T）——靠近围护结构处室内N个声源i倍频带的叠加声压级，dB；</w:t>
            </w:r>
          </w:p>
          <w:p>
            <w:pPr>
              <w:pStyle w:val="157"/>
              <w:keepNext w:val="0"/>
              <w:keepLines w:val="0"/>
              <w:pageBreakBefore w:val="0"/>
              <w:kinsoku/>
              <w:wordWrap/>
              <w:bidi w:val="0"/>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p1ij</w:t>
            </w:r>
            <w:r>
              <w:rPr>
                <w:rFonts w:hint="default" w:ascii="Times New Roman" w:hAnsi="Times New Roman" w:eastAsia="宋体" w:cs="Times New Roman"/>
                <w:color w:val="auto"/>
                <w:sz w:val="24"/>
                <w:szCs w:val="24"/>
                <w:highlight w:val="none"/>
              </w:rPr>
              <w:t>——室内j声源i倍频带的声压级，dB；</w:t>
            </w:r>
          </w:p>
          <w:p>
            <w:pPr>
              <w:pStyle w:val="157"/>
              <w:keepNext w:val="0"/>
              <w:keepLines w:val="0"/>
              <w:pageBreakBefore w:val="0"/>
              <w:kinsoku/>
              <w:wordWrap/>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在室内近似为扩散声场地，按下式计算出靠近室外围护结构处的声压级：</w:t>
            </w:r>
          </w:p>
          <w:p>
            <w:pPr>
              <w:pStyle w:val="157"/>
              <w:keepNext w:val="0"/>
              <w:keepLines w:val="0"/>
              <w:pageBreakBefore w:val="0"/>
              <w:kinsoku/>
              <w:wordWrap/>
              <w:bidi w:val="0"/>
              <w:spacing w:line="360" w:lineRule="auto"/>
              <w:ind w:firstLine="48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7" o:spt="75" type="#_x0000_t75" style="height:21.75pt;width:150.75pt;" o:ole="t" filled="f" o:preferrelative="t" stroked="f" coordsize="21600,21600">
                  <v:path/>
                  <v:fill on="f" focussize="0,0"/>
                  <v:stroke on="f" joinstyle="miter"/>
                  <v:imagedata r:id="rId18" o:title=""/>
                  <o:lock v:ext="edit" aspectratio="t"/>
                  <w10:wrap type="none"/>
                  <w10:anchorlock/>
                </v:shape>
                <o:OLEObject Type="Embed" ProgID="Equation.3" ShapeID="_x0000_i1027" DrawAspect="Content" ObjectID="_1468075727" r:id="rId17">
                  <o:LockedField>false</o:LockedField>
                </o:OLEObject>
              </w:object>
            </w:r>
          </w:p>
          <w:p>
            <w:pPr>
              <w:pStyle w:val="157"/>
              <w:keepNext w:val="0"/>
              <w:keepLines w:val="0"/>
              <w:pageBreakBefore w:val="0"/>
              <w:kinsoku/>
              <w:wordWrap/>
              <w:bidi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式中：Lp</w:t>
            </w:r>
            <w:r>
              <w:rPr>
                <w:rFonts w:hint="default" w:ascii="Times New Roman" w:hAnsi="Times New Roman" w:eastAsia="宋体" w:cs="Times New Roman"/>
                <w:color w:val="auto"/>
                <w:sz w:val="24"/>
                <w:szCs w:val="24"/>
                <w:highlight w:val="none"/>
                <w:vertAlign w:val="subscript"/>
              </w:rPr>
              <w:t>2i</w:t>
            </w:r>
            <w:r>
              <w:rPr>
                <w:rFonts w:hint="default" w:ascii="Times New Roman" w:hAnsi="Times New Roman" w:eastAsia="宋体" w:cs="Times New Roman"/>
                <w:color w:val="auto"/>
                <w:sz w:val="24"/>
                <w:szCs w:val="24"/>
                <w:highlight w:val="none"/>
              </w:rPr>
              <w:t>（T）——靠近围护结构处室外N个声源i倍频带的叠加声压级，dB；</w:t>
            </w:r>
          </w:p>
          <w:p>
            <w:pPr>
              <w:pStyle w:val="157"/>
              <w:keepNext w:val="0"/>
              <w:keepLines w:val="0"/>
              <w:pageBreakBefore w:val="0"/>
              <w:kinsoku/>
              <w:wordWrap/>
              <w:bidi w:val="0"/>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TL</w:t>
            </w:r>
            <w:r>
              <w:rPr>
                <w:rFonts w:hint="default" w:ascii="Times New Roman" w:hAnsi="Times New Roman" w:eastAsia="宋体" w:cs="Times New Roman"/>
                <w:color w:val="auto"/>
                <w:sz w:val="24"/>
                <w:szCs w:val="24"/>
                <w:highlight w:val="none"/>
                <w:vertAlign w:val="subscript"/>
              </w:rPr>
              <w:t>i</w:t>
            </w:r>
            <w:r>
              <w:rPr>
                <w:rFonts w:hint="default" w:ascii="Times New Roman" w:hAnsi="Times New Roman" w:eastAsia="宋体" w:cs="Times New Roman"/>
                <w:color w:val="auto"/>
                <w:sz w:val="24"/>
                <w:szCs w:val="24"/>
                <w:highlight w:val="none"/>
              </w:rPr>
              <w:t>——围护结构i倍频带的隔声量，dB；</w:t>
            </w:r>
          </w:p>
          <w:p>
            <w:pPr>
              <w:pStyle w:val="157"/>
              <w:keepNext w:val="0"/>
              <w:keepLines w:val="0"/>
              <w:pageBreakBefore w:val="0"/>
              <w:kinsoku/>
              <w:wordWrap/>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rPr>
              <w:t>将室外声源的声压级和透过面积换算成等效的室外声源，计算出中心位置位地透声面积（S）处的等效声源的倍频带声功率级。</w:t>
            </w:r>
          </w:p>
          <w:p>
            <w:pPr>
              <w:pStyle w:val="157"/>
              <w:keepNext w:val="0"/>
              <w:keepLines w:val="0"/>
              <w:pageBreakBefore w:val="0"/>
              <w:kinsoku/>
              <w:wordWrap/>
              <w:bidi w:val="0"/>
              <w:spacing w:line="360" w:lineRule="auto"/>
              <w:ind w:firstLine="48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8" o:spt="75" type="#_x0000_t75" style="height:32.25pt;width:118.5pt;" o:ole="t" filled="f" o:preferrelative="t" stroked="f" coordsize="21600,21600">
                  <v:path/>
                  <v:fill on="f" focussize="0,0"/>
                  <v:stroke on="f" joinstyle="miter"/>
                  <v:imagedata r:id="rId16" o:title=""/>
                  <o:lock v:ext="edit" aspectratio="t"/>
                  <w10:wrap type="none"/>
                  <w10:anchorlock/>
                </v:shape>
                <o:OLEObject Type="Embed" ProgID="Equation.3" ShapeID="_x0000_i1028" DrawAspect="Content" ObjectID="_1468075728" r:id="rId19">
                  <o:LockedField>false</o:LockedField>
                </o:OLEObject>
              </w:object>
            </w:r>
          </w:p>
          <w:p>
            <w:pPr>
              <w:pStyle w:val="157"/>
              <w:keepNext w:val="0"/>
              <w:keepLines w:val="0"/>
              <w:pageBreakBefore w:val="0"/>
              <w:kinsoku/>
              <w:wordWrap/>
              <w:bidi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rPr>
              <w:t>按室外声源预测方法计算预测点处的A声级。</w:t>
            </w:r>
          </w:p>
          <w:p>
            <w:pPr>
              <w:pStyle w:val="157"/>
              <w:keepNext w:val="0"/>
              <w:keepLines w:val="0"/>
              <w:pageBreakBefore w:val="0"/>
              <w:kinsoku/>
              <w:wordWrap/>
              <w:bidi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设第i个室外声源在预是点产生的A声级为L</w:t>
            </w:r>
            <w:r>
              <w:rPr>
                <w:rFonts w:hint="default" w:ascii="Times New Roman" w:hAnsi="Times New Roman" w:eastAsia="宋体" w:cs="Times New Roman"/>
                <w:color w:val="auto"/>
                <w:sz w:val="24"/>
                <w:szCs w:val="24"/>
                <w:highlight w:val="none"/>
                <w:vertAlign w:val="subscript"/>
              </w:rPr>
              <w:t>Ai</w:t>
            </w:r>
            <w:r>
              <w:rPr>
                <w:rFonts w:hint="default" w:ascii="Times New Roman" w:hAnsi="Times New Roman" w:eastAsia="宋体" w:cs="Times New Roman"/>
                <w:color w:val="auto"/>
                <w:sz w:val="24"/>
                <w:szCs w:val="24"/>
                <w:highlight w:val="none"/>
              </w:rPr>
              <w:t>，在T时间内该声源工作时间为ti；第j个等效室外声源在预测点产生的A声级为L</w:t>
            </w:r>
            <w:r>
              <w:rPr>
                <w:rFonts w:hint="default" w:ascii="Times New Roman" w:hAnsi="Times New Roman" w:eastAsia="宋体" w:cs="Times New Roman"/>
                <w:color w:val="auto"/>
                <w:sz w:val="24"/>
                <w:szCs w:val="24"/>
                <w:highlight w:val="none"/>
                <w:vertAlign w:val="subscript"/>
              </w:rPr>
              <w:t>Aj</w:t>
            </w:r>
            <w:r>
              <w:rPr>
                <w:rFonts w:hint="default" w:ascii="Times New Roman" w:hAnsi="Times New Roman" w:eastAsia="宋体" w:cs="Times New Roman"/>
                <w:color w:val="auto"/>
                <w:sz w:val="24"/>
                <w:szCs w:val="24"/>
                <w:highlight w:val="none"/>
              </w:rPr>
              <w:t>，在T时间内该声源工作时间为tj，则拟建工程声源对预测点产生的贡献值（Leqg）为：</w:t>
            </w:r>
          </w:p>
          <w:p>
            <w:pPr>
              <w:pStyle w:val="157"/>
              <w:keepNext w:val="0"/>
              <w:keepLines w:val="0"/>
              <w:pageBreakBefore w:val="0"/>
              <w:kinsoku/>
              <w:wordWrap/>
              <w:bidi w:val="0"/>
              <w:spacing w:line="360" w:lineRule="auto"/>
              <w:ind w:firstLine="48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9" o:spt="75" type="#_x0000_t75" style="height:39pt;width:196.5pt;" o:ole="t" filled="f" o:preferrelative="t" stroked="f" coordsize="21600,21600">
                  <v:path/>
                  <v:fill on="f" focussize="0,0"/>
                  <v:stroke on="f" joinstyle="miter"/>
                  <v:imagedata r:id="rId21" o:title=""/>
                  <o:lock v:ext="edit" aspectratio="t"/>
                  <w10:wrap type="none"/>
                  <w10:anchorlock/>
                </v:shape>
                <o:OLEObject Type="Embed" ProgID="Visio.Drawing.11" ShapeID="_x0000_i1029" DrawAspect="Content" ObjectID="_1468075729" r:id="rId20">
                  <o:LockedField>false</o:LockedField>
                </o:OLEObject>
              </w:object>
            </w:r>
          </w:p>
          <w:p>
            <w:pPr>
              <w:pStyle w:val="157"/>
              <w:keepNext w:val="0"/>
              <w:keepLines w:val="0"/>
              <w:pageBreakBefore w:val="0"/>
              <w:kinsoku/>
              <w:wordWrap/>
              <w:bidi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式中：tj——在T时间内j声源工作时间，s；</w:t>
            </w:r>
          </w:p>
          <w:p>
            <w:pPr>
              <w:pStyle w:val="157"/>
              <w:keepNext w:val="0"/>
              <w:keepLines w:val="0"/>
              <w:pageBreakBefore w:val="0"/>
              <w:kinsoku/>
              <w:wordWrap/>
              <w:bidi w:val="0"/>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ti——在T时间内i声源工作时间，s；</w:t>
            </w:r>
          </w:p>
          <w:p>
            <w:pPr>
              <w:pStyle w:val="157"/>
              <w:keepNext w:val="0"/>
              <w:keepLines w:val="0"/>
              <w:pageBreakBefore w:val="0"/>
              <w:kinsoku/>
              <w:wordWrap/>
              <w:bidi w:val="0"/>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T——用于计算等效声级的时间，s；</w:t>
            </w:r>
          </w:p>
          <w:p>
            <w:pPr>
              <w:pStyle w:val="157"/>
              <w:keepNext w:val="0"/>
              <w:keepLines w:val="0"/>
              <w:pageBreakBefore w:val="0"/>
              <w:kinsoku/>
              <w:wordWrap/>
              <w:bidi w:val="0"/>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N——室外声源个数；</w:t>
            </w:r>
          </w:p>
          <w:p>
            <w:pPr>
              <w:pStyle w:val="157"/>
              <w:keepNext w:val="0"/>
              <w:keepLines w:val="0"/>
              <w:pageBreakBefore w:val="0"/>
              <w:kinsoku/>
              <w:wordWrap/>
              <w:bidi w:val="0"/>
              <w:spacing w:line="360" w:lineRule="auto"/>
              <w:ind w:firstLine="1200" w:firstLineChars="5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M——等效室外声源个数；</w:t>
            </w:r>
          </w:p>
          <w:p>
            <w:pPr>
              <w:pStyle w:val="157"/>
              <w:keepNext w:val="0"/>
              <w:keepLines w:val="0"/>
              <w:pageBreakBefore w:val="0"/>
              <w:kinsoku/>
              <w:wordWrap/>
              <w:bidi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预测点的预测等效声级（Leq）计算：</w:t>
            </w:r>
          </w:p>
          <w:p>
            <w:pPr>
              <w:pStyle w:val="157"/>
              <w:keepNext w:val="0"/>
              <w:keepLines w:val="0"/>
              <w:pageBreakBefore w:val="0"/>
              <w:kinsoku/>
              <w:wordWrap/>
              <w:bidi w:val="0"/>
              <w:spacing w:line="360" w:lineRule="auto"/>
              <w:ind w:firstLine="48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2522220" cy="278765"/>
                  <wp:effectExtent l="0" t="0" r="11430" b="6350"/>
                  <wp:docPr id="1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
                          <pic:cNvPicPr>
                            <a:picLocks noChangeAspect="1"/>
                          </pic:cNvPicPr>
                        </pic:nvPicPr>
                        <pic:blipFill>
                          <a:blip r:embed="rId22"/>
                          <a:stretch>
                            <a:fillRect/>
                          </a:stretch>
                        </pic:blipFill>
                        <pic:spPr>
                          <a:xfrm>
                            <a:off x="0" y="0"/>
                            <a:ext cx="2522220" cy="278765"/>
                          </a:xfrm>
                          <a:prstGeom prst="rect">
                            <a:avLst/>
                          </a:prstGeom>
                          <a:noFill/>
                          <a:ln>
                            <a:noFill/>
                          </a:ln>
                        </pic:spPr>
                      </pic:pic>
                    </a:graphicData>
                  </a:graphic>
                </wp:inline>
              </w:drawing>
            </w:r>
          </w:p>
          <w:p>
            <w:pPr>
              <w:pStyle w:val="157"/>
              <w:keepNext w:val="0"/>
              <w:keepLines w:val="0"/>
              <w:pageBreakBefore w:val="0"/>
              <w:kinsoku/>
              <w:wordWrap/>
              <w:bidi w:val="0"/>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式中：Leq（A）贡——建设项目声源在预测点的等效声级贡献量，dB（A）；</w:t>
            </w:r>
          </w:p>
          <w:p>
            <w:pPr>
              <w:pStyle w:val="154"/>
              <w:keepNext w:val="0"/>
              <w:keepLines w:val="0"/>
              <w:pageBreakBefore w:val="0"/>
              <w:kinsoku/>
              <w:wordWrap/>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Leq（A）现——预测点背景值，dB（A）。</w:t>
            </w:r>
          </w:p>
          <w:p>
            <w:pPr>
              <w:pStyle w:val="154"/>
              <w:keepNext w:val="0"/>
              <w:keepLines w:val="0"/>
              <w:pageBreakBefore w:val="0"/>
              <w:kinsoku/>
              <w:wordWrap/>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室外声源</w:t>
            </w:r>
          </w:p>
          <w:p>
            <w:pPr>
              <w:pStyle w:val="154"/>
              <w:keepNext w:val="0"/>
              <w:keepLines w:val="0"/>
              <w:pageBreakBefore w:val="0"/>
              <w:kinsoku/>
              <w:wordWrap/>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设室外声源为I个</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预测点为j个，采用倍频带声压级法</w:t>
            </w:r>
            <w:r>
              <w:rPr>
                <w:rFonts w:hint="default" w:ascii="Times New Roman" w:hAnsi="Times New Roman" w:eastAsia="宋体" w:cs="Times New Roman"/>
                <w:color w:val="auto"/>
                <w:sz w:val="24"/>
                <w:szCs w:val="24"/>
                <w:highlight w:val="none"/>
                <w:lang w:eastAsia="zh-CN"/>
              </w:rPr>
              <w:t>：</w:t>
            </w:r>
          </w:p>
          <w:p>
            <w:pPr>
              <w:pStyle w:val="154"/>
              <w:keepNext w:val="0"/>
              <w:keepLines w:val="0"/>
              <w:pageBreakBefore w:val="0"/>
              <w:kinsoku/>
              <w:wordWrap/>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计算第I个噪声源在第j个预测点的倍频带声压级L</w:t>
            </w:r>
            <w:r>
              <w:rPr>
                <w:rFonts w:hint="default" w:ascii="Times New Roman" w:hAnsi="Times New Roman" w:eastAsia="宋体" w:cs="Times New Roman"/>
                <w:color w:val="auto"/>
                <w:sz w:val="24"/>
                <w:szCs w:val="24"/>
                <w:highlight w:val="none"/>
                <w:vertAlign w:val="subscript"/>
              </w:rPr>
              <w:t>octij</w:t>
            </w: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w:t>
            </w:r>
          </w:p>
          <w:p>
            <w:pPr>
              <w:pStyle w:val="154"/>
              <w:keepNext w:val="0"/>
              <w:keepLines w:val="0"/>
              <w:pageBreakBefore w:val="0"/>
              <w:kinsoku/>
              <w:wordWrap/>
              <w:bidi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octij</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octi</w:t>
            </w: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）-（Aoctdir+Aoctbar+Aoctatm+Aoctexc）</w:t>
            </w:r>
          </w:p>
          <w:p>
            <w:pPr>
              <w:pStyle w:val="154"/>
              <w:keepNext w:val="0"/>
              <w:keepLines w:val="0"/>
              <w:pageBreakBefore w:val="0"/>
              <w:kinsoku/>
              <w:wordWrap/>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式中：</w:t>
            </w:r>
          </w:p>
          <w:p>
            <w:pPr>
              <w:pStyle w:val="154"/>
              <w:keepNext w:val="0"/>
              <w:keepLines w:val="0"/>
              <w:pageBreakBefore w:val="0"/>
              <w:kinsoku/>
              <w:wordWrap/>
              <w:bidi w:val="0"/>
              <w:spacing w:line="360" w:lineRule="auto"/>
              <w:ind w:firstLine="960" w:firstLineChars="4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Loctij（r0）—第I个噪声源在参考位置r0处的倍频带声压级，dB；</w:t>
            </w:r>
          </w:p>
          <w:p>
            <w:pPr>
              <w:pStyle w:val="154"/>
              <w:keepNext w:val="0"/>
              <w:keepLines w:val="0"/>
              <w:pageBreakBefore w:val="0"/>
              <w:kinsoku/>
              <w:wordWrap/>
              <w:bidi w:val="0"/>
              <w:spacing w:line="360" w:lineRule="auto"/>
              <w:ind w:firstLine="960" w:firstLineChars="4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Aoctdir—发散衰减量，dB；</w:t>
            </w:r>
          </w:p>
          <w:p>
            <w:pPr>
              <w:pStyle w:val="154"/>
              <w:keepNext w:val="0"/>
              <w:keepLines w:val="0"/>
              <w:pageBreakBefore w:val="0"/>
              <w:kinsoku/>
              <w:wordWrap/>
              <w:bidi w:val="0"/>
              <w:spacing w:line="360" w:lineRule="auto"/>
              <w:ind w:firstLine="960" w:firstLineChars="4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Aoctbar—屏障衰减量，dB；</w:t>
            </w:r>
          </w:p>
          <w:p>
            <w:pPr>
              <w:pStyle w:val="154"/>
              <w:keepNext w:val="0"/>
              <w:keepLines w:val="0"/>
              <w:pageBreakBefore w:val="0"/>
              <w:kinsoku/>
              <w:wordWrap/>
              <w:bidi w:val="0"/>
              <w:spacing w:line="360" w:lineRule="auto"/>
              <w:ind w:firstLine="960" w:firstLineChars="4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Aoctatm—空气吸收衰减量，dB；</w:t>
            </w:r>
          </w:p>
          <w:p>
            <w:pPr>
              <w:pStyle w:val="154"/>
              <w:keepNext w:val="0"/>
              <w:keepLines w:val="0"/>
              <w:pageBreakBefore w:val="0"/>
              <w:kinsoku/>
              <w:wordWrap/>
              <w:bidi w:val="0"/>
              <w:spacing w:line="360" w:lineRule="auto"/>
              <w:ind w:firstLine="960" w:firstLineChars="4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Aoctexc—附加衰减量，dB；</w:t>
            </w:r>
          </w:p>
          <w:p>
            <w:pPr>
              <w:pStyle w:val="154"/>
              <w:keepNext w:val="0"/>
              <w:keepLines w:val="0"/>
              <w:pageBreakBefore w:val="0"/>
              <w:kinsoku/>
              <w:wordWrap/>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假设已知噪声源的倍频带声功率级为L</w:t>
            </w:r>
            <w:r>
              <w:rPr>
                <w:rFonts w:hint="default" w:ascii="Times New Roman" w:hAnsi="Times New Roman" w:eastAsia="宋体" w:cs="Times New Roman"/>
                <w:color w:val="auto"/>
                <w:sz w:val="24"/>
                <w:szCs w:val="24"/>
                <w:highlight w:val="none"/>
                <w:vertAlign w:val="subscript"/>
              </w:rPr>
              <w:t>wiact</w:t>
            </w:r>
            <w:r>
              <w:rPr>
                <w:rFonts w:hint="default" w:ascii="Times New Roman" w:hAnsi="Times New Roman" w:eastAsia="宋体" w:cs="Times New Roman"/>
                <w:color w:val="auto"/>
                <w:sz w:val="24"/>
                <w:szCs w:val="24"/>
                <w:highlight w:val="none"/>
              </w:rPr>
              <w:t>，并假设声源位于地面上（半自由场），则：</w:t>
            </w:r>
          </w:p>
          <w:p>
            <w:pPr>
              <w:pStyle w:val="154"/>
              <w:keepNext w:val="0"/>
              <w:keepLines w:val="0"/>
              <w:pageBreakBefore w:val="0"/>
              <w:kinsoku/>
              <w:wordWrap/>
              <w:bidi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octi</w:t>
            </w:r>
            <w:r>
              <w:rPr>
                <w:rFonts w:hint="default" w:ascii="Times New Roman" w:hAnsi="Times New Roman" w:eastAsia="宋体" w:cs="Times New Roman"/>
                <w:color w:val="auto"/>
                <w:sz w:val="24"/>
                <w:szCs w:val="24"/>
                <w:highlight w:val="none"/>
              </w:rPr>
              <w:t>（r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wiact</w:t>
            </w:r>
            <w:r>
              <w:rPr>
                <w:rFonts w:hint="default" w:ascii="Times New Roman" w:hAnsi="Times New Roman" w:eastAsia="宋体" w:cs="Times New Roman"/>
                <w:color w:val="auto"/>
                <w:sz w:val="24"/>
                <w:szCs w:val="24"/>
                <w:highlight w:val="none"/>
              </w:rPr>
              <w:t>-20lgr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-8</w:t>
            </w:r>
          </w:p>
          <w:p>
            <w:pPr>
              <w:pStyle w:val="154"/>
              <w:keepNext w:val="0"/>
              <w:keepLines w:val="0"/>
              <w:pageBreakBefore w:val="0"/>
              <w:kinsoku/>
              <w:wordWrap/>
              <w:bidi w:val="0"/>
              <w:spacing w:line="360" w:lineRule="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由上式计算的倍频带声压级合成为A声级</w:t>
            </w:r>
          </w:p>
          <w:p>
            <w:pPr>
              <w:pStyle w:val="154"/>
              <w:keepNext w:val="0"/>
              <w:keepLines w:val="0"/>
              <w:pageBreakBefore w:val="0"/>
              <w:kinsoku/>
              <w:wordWrap/>
              <w:bidi w:val="0"/>
              <w:spacing w:line="36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aij</w:t>
            </w:r>
            <w:r>
              <w:rPr>
                <w:rFonts w:hint="default" w:ascii="Times New Roman" w:hAnsi="Times New Roman" w:eastAsia="宋体" w:cs="Times New Roman"/>
                <w:color w:val="auto"/>
                <w:sz w:val="24"/>
                <w:szCs w:val="24"/>
                <w:highlight w:val="none"/>
              </w:rPr>
              <w:t>=L</w:t>
            </w:r>
            <w:r>
              <w:rPr>
                <w:rFonts w:hint="default" w:ascii="Times New Roman" w:hAnsi="Times New Roman" w:eastAsia="宋体" w:cs="Times New Roman"/>
                <w:color w:val="auto"/>
                <w:sz w:val="24"/>
                <w:szCs w:val="24"/>
                <w:highlight w:val="none"/>
                <w:vertAlign w:val="subscript"/>
              </w:rPr>
              <w:t>wai</w:t>
            </w:r>
            <w:r>
              <w:rPr>
                <w:rFonts w:hint="default" w:ascii="Times New Roman" w:hAnsi="Times New Roman" w:eastAsia="宋体" w:cs="Times New Roman"/>
                <w:color w:val="auto"/>
                <w:sz w:val="24"/>
                <w:szCs w:val="24"/>
                <w:highlight w:val="none"/>
              </w:rPr>
              <w:t>-20lgr</w:t>
            </w:r>
            <w:r>
              <w:rPr>
                <w:rFonts w:hint="default" w:ascii="Times New Roman" w:hAnsi="Times New Roman" w:eastAsia="宋体" w:cs="Times New Roman"/>
                <w:color w:val="auto"/>
                <w:sz w:val="24"/>
                <w:szCs w:val="24"/>
                <w:highlight w:val="none"/>
                <w:vertAlign w:val="subscript"/>
              </w:rPr>
              <w:t>0</w:t>
            </w:r>
            <w:r>
              <w:rPr>
                <w:rFonts w:hint="default" w:ascii="Times New Roman" w:hAnsi="Times New Roman" w:eastAsia="宋体" w:cs="Times New Roman"/>
                <w:color w:val="auto"/>
                <w:sz w:val="24"/>
                <w:szCs w:val="24"/>
                <w:highlight w:val="none"/>
              </w:rPr>
              <w:t>-8</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采取上述预测方法，该项目营运后厂界外1m处的噪声预测结果见表4-12。</w:t>
            </w:r>
          </w:p>
          <w:p>
            <w:pPr>
              <w:adjustRightInd w:val="0"/>
              <w:snapToGrid w:val="0"/>
              <w:jc w:val="center"/>
              <w:rPr>
                <w:rFonts w:hint="default" w:ascii="Times New Roman" w:hAnsi="Times New Roman" w:eastAsia="宋体" w:cs="Times New Roman"/>
                <w:b/>
                <w:snapToGrid w:val="0"/>
                <w:color w:val="auto"/>
                <w:sz w:val="24"/>
                <w:szCs w:val="24"/>
              </w:rPr>
            </w:pPr>
            <w:r>
              <w:rPr>
                <w:rFonts w:hint="default" w:ascii="Times New Roman" w:hAnsi="Times New Roman" w:eastAsia="宋体" w:cs="Times New Roman"/>
                <w:b/>
                <w:color w:val="auto"/>
                <w:sz w:val="24"/>
                <w:szCs w:val="24"/>
                <w:highlight w:val="none"/>
              </w:rPr>
              <w:t>表4-</w:t>
            </w:r>
            <w:r>
              <w:rPr>
                <w:rFonts w:hint="eastAsia" w:cs="Times New Roman"/>
                <w:b/>
                <w:color w:val="auto"/>
                <w:sz w:val="24"/>
                <w:szCs w:val="24"/>
                <w:highlight w:val="none"/>
                <w:lang w:val="en-US" w:eastAsia="zh-CN"/>
              </w:rPr>
              <w:t>12</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噪声预测结果表</w:t>
            </w:r>
          </w:p>
          <w:tbl>
            <w:tblPr>
              <w:tblStyle w:val="27"/>
              <w:tblW w:w="807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92"/>
              <w:gridCol w:w="1716"/>
              <w:gridCol w:w="1327"/>
              <w:gridCol w:w="1140"/>
              <w:gridCol w:w="1215"/>
              <w:gridCol w:w="10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592" w:type="dxa"/>
                  <w:vMerge w:val="restart"/>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项目点位</w:t>
                  </w:r>
                </w:p>
              </w:tc>
              <w:tc>
                <w:tcPr>
                  <w:tcW w:w="1716" w:type="dxa"/>
                  <w:vMerge w:val="restart"/>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贡献值dB（A）</w:t>
                  </w:r>
                </w:p>
              </w:tc>
              <w:tc>
                <w:tcPr>
                  <w:tcW w:w="2467" w:type="dxa"/>
                  <w:gridSpan w:val="2"/>
                  <w:noWrap w:val="0"/>
                  <w:vAlign w:val="center"/>
                </w:tcPr>
                <w:p>
                  <w:pPr>
                    <w:ind w:firstLine="56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预测值dB（A）</w:t>
                  </w:r>
                </w:p>
              </w:tc>
              <w:tc>
                <w:tcPr>
                  <w:tcW w:w="2304" w:type="dxa"/>
                  <w:gridSpan w:val="2"/>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592" w:type="dxa"/>
                  <w:vMerge w:val="continue"/>
                  <w:noWrap w:val="0"/>
                  <w:vAlign w:val="center"/>
                </w:tcPr>
                <w:p>
                  <w:pPr>
                    <w:ind w:firstLine="560"/>
                    <w:jc w:val="center"/>
                    <w:rPr>
                      <w:rFonts w:hint="default" w:ascii="Times New Roman" w:hAnsi="Times New Roman" w:eastAsia="宋体" w:cs="Times New Roman"/>
                      <w:b/>
                      <w:bCs/>
                      <w:color w:val="auto"/>
                      <w:sz w:val="21"/>
                      <w:szCs w:val="21"/>
                    </w:rPr>
                  </w:pPr>
                </w:p>
              </w:tc>
              <w:tc>
                <w:tcPr>
                  <w:tcW w:w="1716" w:type="dxa"/>
                  <w:vMerge w:val="continue"/>
                  <w:noWrap w:val="0"/>
                  <w:vAlign w:val="center"/>
                </w:tcPr>
                <w:p>
                  <w:pPr>
                    <w:ind w:firstLine="560"/>
                    <w:jc w:val="center"/>
                    <w:rPr>
                      <w:rFonts w:hint="default" w:ascii="Times New Roman" w:hAnsi="Times New Roman" w:eastAsia="宋体" w:cs="Times New Roman"/>
                      <w:b/>
                      <w:bCs/>
                      <w:color w:val="auto"/>
                      <w:sz w:val="21"/>
                      <w:szCs w:val="21"/>
                    </w:rPr>
                  </w:pPr>
                </w:p>
              </w:tc>
              <w:tc>
                <w:tcPr>
                  <w:tcW w:w="1327" w:type="dxa"/>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140" w:type="dxa"/>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c>
                <w:tcPr>
                  <w:tcW w:w="1215" w:type="dxa"/>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1089" w:type="dxa"/>
                  <w:noWrap w:val="0"/>
                  <w:vAlign w:val="center"/>
                </w:tcPr>
                <w:p>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592" w:type="dxa"/>
                  <w:noWrap w:val="0"/>
                  <w:vAlign w:val="center"/>
                </w:tcPr>
                <w:p>
                  <w:pPr>
                    <w:tabs>
                      <w:tab w:val="left" w:pos="60"/>
                    </w:tabs>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厂界东侧</w:t>
                  </w:r>
                </w:p>
              </w:tc>
              <w:tc>
                <w:tcPr>
                  <w:tcW w:w="171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38.6</w:t>
                  </w:r>
                </w:p>
              </w:tc>
              <w:tc>
                <w:tcPr>
                  <w:tcW w:w="1327"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38.6</w:t>
                  </w:r>
                </w:p>
              </w:tc>
              <w:tc>
                <w:tcPr>
                  <w:tcW w:w="114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38.6</w:t>
                  </w:r>
                </w:p>
              </w:tc>
              <w:tc>
                <w:tcPr>
                  <w:tcW w:w="1215"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1089"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59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厂界南侧</w:t>
                  </w:r>
                </w:p>
              </w:tc>
              <w:tc>
                <w:tcPr>
                  <w:tcW w:w="171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38.2</w:t>
                  </w:r>
                </w:p>
              </w:tc>
              <w:tc>
                <w:tcPr>
                  <w:tcW w:w="1327"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38.2</w:t>
                  </w:r>
                </w:p>
              </w:tc>
              <w:tc>
                <w:tcPr>
                  <w:tcW w:w="114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38.2</w:t>
                  </w:r>
                </w:p>
              </w:tc>
              <w:tc>
                <w:tcPr>
                  <w:tcW w:w="1215"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1089"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159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厂界西侧</w:t>
                  </w:r>
                </w:p>
              </w:tc>
              <w:tc>
                <w:tcPr>
                  <w:tcW w:w="171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eastAsia="zh-CN"/>
                    </w:rPr>
                    <w:t>3</w:t>
                  </w:r>
                  <w:r>
                    <w:rPr>
                      <w:rFonts w:hint="eastAsia" w:cs="Times New Roman"/>
                      <w:color w:val="auto"/>
                      <w:sz w:val="21"/>
                      <w:szCs w:val="21"/>
                      <w:lang w:val="en-US" w:eastAsia="zh-CN"/>
                    </w:rPr>
                    <w:t>8.6</w:t>
                  </w:r>
                </w:p>
              </w:tc>
              <w:tc>
                <w:tcPr>
                  <w:tcW w:w="1327" w:type="dxa"/>
                  <w:noWrap w:val="0"/>
                  <w:vAlign w:val="center"/>
                </w:tcPr>
                <w:p>
                  <w:pPr>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3</w:t>
                  </w:r>
                  <w:r>
                    <w:rPr>
                      <w:rFonts w:hint="eastAsia" w:cs="Times New Roman"/>
                      <w:color w:val="auto"/>
                      <w:sz w:val="21"/>
                      <w:szCs w:val="21"/>
                      <w:lang w:val="en-US" w:eastAsia="zh-CN"/>
                    </w:rPr>
                    <w:t>8.6</w:t>
                  </w:r>
                </w:p>
              </w:tc>
              <w:tc>
                <w:tcPr>
                  <w:tcW w:w="1140" w:type="dxa"/>
                  <w:noWrap w:val="0"/>
                  <w:vAlign w:val="center"/>
                </w:tcPr>
                <w:p>
                  <w:pPr>
                    <w:jc w:val="center"/>
                    <w:rPr>
                      <w:rFonts w:hint="default" w:ascii="Times New Roman" w:hAnsi="Times New Roman" w:eastAsia="宋体" w:cs="Times New Roman"/>
                      <w:color w:val="auto"/>
                      <w:sz w:val="21"/>
                      <w:szCs w:val="21"/>
                    </w:rPr>
                  </w:pPr>
                  <w:r>
                    <w:rPr>
                      <w:rFonts w:hint="eastAsia" w:cs="Times New Roman"/>
                      <w:color w:val="auto"/>
                      <w:sz w:val="21"/>
                      <w:szCs w:val="21"/>
                      <w:lang w:eastAsia="zh-CN"/>
                    </w:rPr>
                    <w:t>3</w:t>
                  </w:r>
                  <w:r>
                    <w:rPr>
                      <w:rFonts w:hint="eastAsia" w:cs="Times New Roman"/>
                      <w:color w:val="auto"/>
                      <w:sz w:val="21"/>
                      <w:szCs w:val="21"/>
                      <w:lang w:val="en-US" w:eastAsia="zh-CN"/>
                    </w:rPr>
                    <w:t>8.6</w:t>
                  </w:r>
                </w:p>
              </w:tc>
              <w:tc>
                <w:tcPr>
                  <w:tcW w:w="1215"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1089"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592" w:type="dxa"/>
                  <w:noWrap w:val="0"/>
                  <w:vAlign w:val="center"/>
                </w:tcPr>
                <w:p>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厂界北侧</w:t>
                  </w:r>
                </w:p>
              </w:tc>
              <w:tc>
                <w:tcPr>
                  <w:tcW w:w="1716"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37.2</w:t>
                  </w:r>
                </w:p>
              </w:tc>
              <w:tc>
                <w:tcPr>
                  <w:tcW w:w="1327"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37.2</w:t>
                  </w:r>
                </w:p>
              </w:tc>
              <w:tc>
                <w:tcPr>
                  <w:tcW w:w="1140"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37.2</w:t>
                  </w:r>
                </w:p>
              </w:tc>
              <w:tc>
                <w:tcPr>
                  <w:tcW w:w="1215"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55</w:t>
                  </w:r>
                </w:p>
              </w:tc>
              <w:tc>
                <w:tcPr>
                  <w:tcW w:w="1089" w:type="dxa"/>
                  <w:noWrap w:val="0"/>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45</w:t>
                  </w:r>
                </w:p>
              </w:tc>
            </w:tr>
          </w:tbl>
          <w:p>
            <w:pPr>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本项目为新建项目，噪声在厂界的贡献值即为厂界预测值，由表4-1</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可以看出，项目营运后边界噪声预测值范围在</w:t>
            </w:r>
            <w:r>
              <w:rPr>
                <w:rFonts w:hint="eastAsia" w:cs="Times New Roman"/>
                <w:color w:val="auto"/>
                <w:sz w:val="24"/>
                <w:szCs w:val="24"/>
                <w:lang w:val="en-US" w:eastAsia="zh-CN"/>
              </w:rPr>
              <w:t>37.2</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38.6</w:t>
            </w:r>
            <w:r>
              <w:rPr>
                <w:rFonts w:hint="default" w:ascii="Times New Roman" w:hAnsi="Times New Roman" w:eastAsia="宋体" w:cs="Times New Roman"/>
                <w:color w:val="auto"/>
                <w:sz w:val="24"/>
                <w:szCs w:val="24"/>
              </w:rPr>
              <w:t>dB（A），厂界均满足《工业企业厂界噪声排放标准》（GB12348-2008）</w:t>
            </w:r>
            <w:r>
              <w:rPr>
                <w:rFonts w:hint="eastAsia" w:cs="Times New Roman"/>
                <w:color w:val="auto"/>
                <w:sz w:val="24"/>
                <w:szCs w:val="24"/>
                <w:lang w:val="en-US" w:eastAsia="zh-CN"/>
              </w:rPr>
              <w:t>1</w:t>
            </w:r>
            <w:r>
              <w:rPr>
                <w:rFonts w:hint="default" w:ascii="Times New Roman" w:hAnsi="Times New Roman" w:eastAsia="宋体" w:cs="Times New Roman"/>
                <w:color w:val="auto"/>
                <w:sz w:val="24"/>
                <w:szCs w:val="24"/>
              </w:rPr>
              <w:t>类标准的限值要求，噪声对外环境影响较小。</w:t>
            </w:r>
          </w:p>
          <w:p>
            <w:pPr>
              <w:pStyle w:val="3"/>
              <w:spacing w:after="0" w:line="360" w:lineRule="auto"/>
              <w:ind w:left="0" w:leftChars="0" w:firstLine="482" w:firstLineChars="200"/>
              <w:contextualSpacing/>
              <w:rPr>
                <w:rFonts w:hint="default" w:ascii="Times New Roman" w:hAnsi="Times New Roman" w:cs="Times New Roman"/>
                <w:b/>
                <w:bCs/>
                <w:color w:val="auto"/>
                <w:szCs w:val="24"/>
                <w:highlight w:val="none"/>
              </w:rPr>
            </w:pPr>
            <w:r>
              <w:rPr>
                <w:rFonts w:hint="default" w:ascii="Times New Roman" w:hAnsi="Times New Roman" w:cs="Times New Roman"/>
                <w:b/>
                <w:bCs/>
                <w:color w:val="auto"/>
                <w:highlight w:val="none"/>
              </w:rPr>
              <w:t>3.3</w:t>
            </w:r>
            <w:r>
              <w:rPr>
                <w:rFonts w:hint="default" w:ascii="Times New Roman" w:hAnsi="Times New Roman" w:cs="Times New Roman"/>
                <w:b/>
                <w:bCs/>
                <w:color w:val="auto"/>
                <w:szCs w:val="24"/>
                <w:highlight w:val="none"/>
              </w:rPr>
              <w:t>噪声防治措施</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为了进一步减少项目噪声对周围环境的影响，本环评建议以下几点：</w:t>
            </w:r>
          </w:p>
          <w:p>
            <w:pPr>
              <w:autoSpaceDE w:val="0"/>
              <w:autoSpaceDN w:val="0"/>
              <w:spacing w:line="360" w:lineRule="auto"/>
              <w:ind w:firstLine="492" w:firstLineChars="200"/>
              <w:rPr>
                <w:rFonts w:hint="default" w:ascii="Times New Roman" w:hAnsi="Times New Roman" w:cs="Times New Roman"/>
                <w:color w:val="auto"/>
                <w:spacing w:val="3"/>
                <w:kern w:val="0"/>
                <w:sz w:val="24"/>
                <w:highlight w:val="none"/>
              </w:rPr>
            </w:pPr>
            <w:r>
              <w:rPr>
                <w:rFonts w:hint="eastAsia" w:cs="Times New Roman"/>
                <w:color w:val="auto"/>
                <w:spacing w:val="3"/>
                <w:kern w:val="0"/>
                <w:sz w:val="24"/>
                <w:highlight w:val="none"/>
                <w:lang w:eastAsia="zh-CN"/>
              </w:rPr>
              <w:t>（</w:t>
            </w:r>
            <w:r>
              <w:rPr>
                <w:rFonts w:hint="eastAsia" w:cs="Times New Roman"/>
                <w:color w:val="auto"/>
                <w:spacing w:val="3"/>
                <w:kern w:val="0"/>
                <w:sz w:val="24"/>
                <w:highlight w:val="none"/>
                <w:lang w:val="en-US" w:eastAsia="zh-CN"/>
              </w:rPr>
              <w:t>1</w:t>
            </w:r>
            <w:r>
              <w:rPr>
                <w:rFonts w:hint="eastAsia" w:cs="Times New Roman"/>
                <w:color w:val="auto"/>
                <w:spacing w:val="3"/>
                <w:kern w:val="0"/>
                <w:sz w:val="24"/>
                <w:highlight w:val="none"/>
                <w:lang w:eastAsia="zh-CN"/>
              </w:rPr>
              <w:t>）</w:t>
            </w:r>
            <w:r>
              <w:rPr>
                <w:rFonts w:hint="eastAsia" w:ascii="Times New Roman" w:hAnsi="Times New Roman" w:cs="Times New Roman"/>
                <w:color w:val="auto"/>
                <w:spacing w:val="3"/>
                <w:kern w:val="0"/>
                <w:sz w:val="24"/>
                <w:highlight w:val="none"/>
              </w:rPr>
              <w:t>采购低噪声设备，采取隔声降噪措施；</w:t>
            </w:r>
          </w:p>
          <w:p>
            <w:pPr>
              <w:autoSpaceDE w:val="0"/>
              <w:autoSpaceDN w:val="0"/>
              <w:spacing w:line="360" w:lineRule="auto"/>
              <w:ind w:firstLine="492" w:firstLineChars="200"/>
              <w:rPr>
                <w:rFonts w:hint="default" w:ascii="Times New Roman" w:hAnsi="Times New Roman" w:cs="Times New Roman"/>
                <w:color w:val="auto"/>
                <w:spacing w:val="3"/>
                <w:kern w:val="0"/>
                <w:sz w:val="24"/>
                <w:highlight w:val="none"/>
              </w:rPr>
            </w:pPr>
            <w:r>
              <w:rPr>
                <w:rFonts w:hint="eastAsia" w:cs="Times New Roman"/>
                <w:color w:val="auto"/>
                <w:spacing w:val="3"/>
                <w:kern w:val="0"/>
                <w:sz w:val="24"/>
                <w:highlight w:val="none"/>
                <w:lang w:eastAsia="zh-CN"/>
              </w:rPr>
              <w:t>（</w:t>
            </w:r>
            <w:r>
              <w:rPr>
                <w:rFonts w:hint="eastAsia" w:cs="Times New Roman"/>
                <w:color w:val="auto"/>
                <w:spacing w:val="3"/>
                <w:kern w:val="0"/>
                <w:sz w:val="24"/>
                <w:highlight w:val="none"/>
                <w:lang w:val="en-US" w:eastAsia="zh-CN"/>
              </w:rPr>
              <w:t>2</w:t>
            </w:r>
            <w:r>
              <w:rPr>
                <w:rFonts w:hint="eastAsia" w:cs="Times New Roman"/>
                <w:color w:val="auto"/>
                <w:spacing w:val="3"/>
                <w:kern w:val="0"/>
                <w:sz w:val="24"/>
                <w:highlight w:val="none"/>
                <w:lang w:eastAsia="zh-CN"/>
              </w:rPr>
              <w:t>）</w:t>
            </w:r>
            <w:r>
              <w:rPr>
                <w:rFonts w:hint="eastAsia" w:ascii="Times New Roman" w:hAnsi="Times New Roman" w:cs="Times New Roman"/>
                <w:color w:val="auto"/>
                <w:spacing w:val="3"/>
                <w:kern w:val="0"/>
                <w:sz w:val="24"/>
                <w:highlight w:val="none"/>
              </w:rPr>
              <w:t>建立设备定期维护、保养的管理制度，以防止设备故障形成的非正常生产噪声；</w:t>
            </w:r>
          </w:p>
          <w:p>
            <w:pPr>
              <w:autoSpaceDE w:val="0"/>
              <w:autoSpaceDN w:val="0"/>
              <w:spacing w:line="360" w:lineRule="auto"/>
              <w:ind w:firstLine="492" w:firstLineChars="200"/>
              <w:rPr>
                <w:rFonts w:hint="default" w:ascii="Times New Roman" w:hAnsi="Times New Roman" w:cs="Times New Roman"/>
                <w:color w:val="auto"/>
                <w:spacing w:val="3"/>
                <w:kern w:val="0"/>
                <w:sz w:val="24"/>
                <w:highlight w:val="none"/>
              </w:rPr>
            </w:pPr>
            <w:r>
              <w:rPr>
                <w:rFonts w:hint="eastAsia" w:cs="Times New Roman"/>
                <w:color w:val="auto"/>
                <w:spacing w:val="3"/>
                <w:kern w:val="0"/>
                <w:sz w:val="24"/>
                <w:highlight w:val="none"/>
                <w:lang w:eastAsia="zh-CN"/>
              </w:rPr>
              <w:t>（</w:t>
            </w:r>
            <w:r>
              <w:rPr>
                <w:rFonts w:hint="eastAsia" w:cs="Times New Roman"/>
                <w:color w:val="auto"/>
                <w:spacing w:val="3"/>
                <w:kern w:val="0"/>
                <w:sz w:val="24"/>
                <w:highlight w:val="none"/>
                <w:lang w:val="en-US" w:eastAsia="zh-CN"/>
              </w:rPr>
              <w:t>3</w:t>
            </w:r>
            <w:r>
              <w:rPr>
                <w:rFonts w:hint="eastAsia" w:cs="Times New Roman"/>
                <w:color w:val="auto"/>
                <w:spacing w:val="3"/>
                <w:kern w:val="0"/>
                <w:sz w:val="24"/>
                <w:highlight w:val="none"/>
                <w:lang w:eastAsia="zh-CN"/>
              </w:rPr>
              <w:t>）</w:t>
            </w:r>
            <w:r>
              <w:rPr>
                <w:rFonts w:hint="eastAsia" w:ascii="Times New Roman" w:hAnsi="Times New Roman" w:cs="Times New Roman"/>
                <w:color w:val="auto"/>
                <w:spacing w:val="3"/>
                <w:kern w:val="0"/>
                <w:sz w:val="24"/>
                <w:highlight w:val="none"/>
              </w:rPr>
              <w:t>加强绿化，将进一步降低噪声影响。</w:t>
            </w:r>
          </w:p>
          <w:p>
            <w:pPr>
              <w:autoSpaceDE w:val="0"/>
              <w:autoSpaceDN w:val="0"/>
              <w:spacing w:line="360" w:lineRule="auto"/>
              <w:ind w:firstLine="492" w:firstLineChars="200"/>
              <w:rPr>
                <w:rFonts w:hint="default" w:ascii="Times New Roman" w:hAnsi="Times New Roman" w:cs="Times New Roman"/>
                <w:color w:val="auto"/>
                <w:spacing w:val="3"/>
                <w:kern w:val="0"/>
                <w:sz w:val="24"/>
                <w:highlight w:val="none"/>
              </w:rPr>
            </w:pPr>
            <w:r>
              <w:rPr>
                <w:rFonts w:hint="default" w:ascii="Times New Roman" w:hAnsi="Times New Roman" w:cs="Times New Roman"/>
                <w:color w:val="auto"/>
                <w:spacing w:val="3"/>
                <w:kern w:val="0"/>
                <w:sz w:val="24"/>
                <w:highlight w:val="none"/>
              </w:rPr>
              <w:t>（</w:t>
            </w:r>
            <w:r>
              <w:rPr>
                <w:rFonts w:hint="eastAsia" w:cs="Times New Roman"/>
                <w:color w:val="auto"/>
                <w:spacing w:val="3"/>
                <w:kern w:val="0"/>
                <w:sz w:val="24"/>
                <w:highlight w:val="none"/>
                <w:lang w:val="en-US" w:eastAsia="zh-CN"/>
              </w:rPr>
              <w:t>4</w:t>
            </w:r>
            <w:r>
              <w:rPr>
                <w:rFonts w:hint="default" w:ascii="Times New Roman" w:hAnsi="Times New Roman" w:cs="Times New Roman"/>
                <w:color w:val="auto"/>
                <w:spacing w:val="3"/>
                <w:kern w:val="0"/>
                <w:sz w:val="24"/>
                <w:highlight w:val="none"/>
              </w:rPr>
              <w:t>）风机采用低噪音设备，连接采用柔性连接，再通过减震处理，墙体的隔声衰减，对周围环境的影响小。</w:t>
            </w:r>
          </w:p>
          <w:p>
            <w:pPr>
              <w:autoSpaceDE w:val="0"/>
              <w:autoSpaceDN w:val="0"/>
              <w:spacing w:line="360" w:lineRule="auto"/>
              <w:ind w:firstLine="492" w:firstLineChars="200"/>
              <w:rPr>
                <w:rFonts w:hint="default" w:ascii="Times New Roman" w:hAnsi="Times New Roman" w:cs="Times New Roman"/>
                <w:color w:val="auto"/>
                <w:spacing w:val="3"/>
                <w:kern w:val="0"/>
                <w:sz w:val="24"/>
                <w:highlight w:val="none"/>
              </w:rPr>
            </w:pPr>
            <w:r>
              <w:rPr>
                <w:rFonts w:hint="default" w:ascii="Times New Roman" w:hAnsi="Times New Roman" w:cs="Times New Roman"/>
                <w:color w:val="auto"/>
                <w:spacing w:val="3"/>
                <w:kern w:val="0"/>
                <w:sz w:val="24"/>
                <w:highlight w:val="none"/>
              </w:rPr>
              <w:t>（</w:t>
            </w:r>
            <w:r>
              <w:rPr>
                <w:rFonts w:hint="eastAsia" w:cs="Times New Roman"/>
                <w:color w:val="auto"/>
                <w:spacing w:val="3"/>
                <w:kern w:val="0"/>
                <w:sz w:val="24"/>
                <w:highlight w:val="none"/>
                <w:lang w:val="en-US" w:eastAsia="zh-CN"/>
              </w:rPr>
              <w:t>5</w:t>
            </w:r>
            <w:r>
              <w:rPr>
                <w:rFonts w:hint="default" w:ascii="Times New Roman" w:hAnsi="Times New Roman" w:cs="Times New Roman"/>
                <w:color w:val="auto"/>
                <w:spacing w:val="3"/>
                <w:kern w:val="0"/>
                <w:sz w:val="24"/>
                <w:highlight w:val="none"/>
              </w:rPr>
              <w:t>）水泵采取底座安装减震器，水泵进出口设金属软管，水泵出口设微阻缓闭式止回阀，再利用墙体隔声，减轻水泵运行时的噪声。对医院及周围环境的影响小。</w:t>
            </w:r>
          </w:p>
          <w:p>
            <w:pPr>
              <w:autoSpaceDE w:val="0"/>
              <w:autoSpaceDN w:val="0"/>
              <w:spacing w:line="360" w:lineRule="auto"/>
              <w:ind w:firstLine="492" w:firstLineChars="200"/>
              <w:rPr>
                <w:rFonts w:hint="default" w:ascii="Times New Roman" w:hAnsi="Times New Roman" w:cs="Times New Roman"/>
                <w:color w:val="auto"/>
                <w:spacing w:val="3"/>
                <w:kern w:val="0"/>
                <w:sz w:val="24"/>
                <w:highlight w:val="none"/>
              </w:rPr>
            </w:pPr>
            <w:r>
              <w:rPr>
                <w:rFonts w:hint="default" w:ascii="Times New Roman" w:hAnsi="Times New Roman" w:cs="Times New Roman"/>
                <w:color w:val="auto"/>
                <w:spacing w:val="3"/>
                <w:kern w:val="0"/>
                <w:sz w:val="24"/>
                <w:highlight w:val="none"/>
              </w:rPr>
              <w:t>（</w:t>
            </w:r>
            <w:r>
              <w:rPr>
                <w:rFonts w:hint="eastAsia" w:cs="Times New Roman"/>
                <w:color w:val="auto"/>
                <w:spacing w:val="3"/>
                <w:kern w:val="0"/>
                <w:sz w:val="24"/>
                <w:highlight w:val="none"/>
                <w:lang w:val="en-US" w:eastAsia="zh-CN"/>
              </w:rPr>
              <w:t>6</w:t>
            </w:r>
            <w:r>
              <w:rPr>
                <w:rFonts w:hint="default" w:ascii="Times New Roman" w:hAnsi="Times New Roman" w:cs="Times New Roman"/>
                <w:color w:val="auto"/>
                <w:spacing w:val="3"/>
                <w:kern w:val="0"/>
                <w:sz w:val="24"/>
                <w:highlight w:val="none"/>
              </w:rPr>
              <w:t>）空调设备均选择低噪声产品，在送风、回风、新风管上加消声器，送回风静压箱、旋流风口静压箱均内贴50mm吸声材料，穿孔铝箔或无纺布覆面并在新风口处加消声窗。</w:t>
            </w:r>
          </w:p>
          <w:p>
            <w:pPr>
              <w:autoSpaceDE w:val="0"/>
              <w:autoSpaceDN w:val="0"/>
              <w:spacing w:line="360" w:lineRule="auto"/>
              <w:ind w:firstLine="492" w:firstLineChars="200"/>
              <w:rPr>
                <w:rFonts w:hint="default" w:ascii="Times New Roman" w:hAnsi="Times New Roman" w:cs="Times New Roman"/>
                <w:color w:val="auto"/>
                <w:spacing w:val="3"/>
                <w:kern w:val="0"/>
                <w:sz w:val="24"/>
                <w:highlight w:val="none"/>
              </w:rPr>
            </w:pPr>
            <w:r>
              <w:rPr>
                <w:rFonts w:hint="default" w:ascii="Times New Roman" w:hAnsi="Times New Roman" w:cs="Times New Roman"/>
                <w:color w:val="auto"/>
                <w:spacing w:val="3"/>
                <w:kern w:val="0"/>
                <w:sz w:val="24"/>
                <w:highlight w:val="none"/>
              </w:rPr>
              <w:t>（</w:t>
            </w:r>
            <w:r>
              <w:rPr>
                <w:rFonts w:hint="eastAsia" w:cs="Times New Roman"/>
                <w:color w:val="auto"/>
                <w:spacing w:val="3"/>
                <w:kern w:val="0"/>
                <w:sz w:val="24"/>
                <w:highlight w:val="none"/>
                <w:lang w:val="en-US" w:eastAsia="zh-CN"/>
              </w:rPr>
              <w:t>7</w:t>
            </w:r>
            <w:r>
              <w:rPr>
                <w:rFonts w:hint="default" w:ascii="Times New Roman" w:hAnsi="Times New Roman" w:cs="Times New Roman"/>
                <w:color w:val="auto"/>
                <w:spacing w:val="3"/>
                <w:kern w:val="0"/>
                <w:sz w:val="24"/>
                <w:highlight w:val="none"/>
              </w:rPr>
              <w:t>）制冷机房、空调机房墙体采用隔音墙，并在内墙面及顶面作吸音处理，降低机组噪声，制冷机房内的水管采用弹性吊杆。冷却塔选用超低噪声型设备，屋顶布置。</w:t>
            </w:r>
          </w:p>
          <w:p>
            <w:pPr>
              <w:autoSpaceDE w:val="0"/>
              <w:autoSpaceDN w:val="0"/>
              <w:spacing w:line="360" w:lineRule="auto"/>
              <w:ind w:firstLine="492" w:firstLineChars="200"/>
              <w:rPr>
                <w:rFonts w:hint="default" w:ascii="Times New Roman" w:hAnsi="Times New Roman" w:cs="Times New Roman"/>
                <w:color w:val="auto"/>
                <w:spacing w:val="3"/>
                <w:kern w:val="0"/>
                <w:sz w:val="24"/>
                <w:highlight w:val="none"/>
              </w:rPr>
            </w:pPr>
            <w:r>
              <w:rPr>
                <w:rFonts w:hint="default" w:ascii="Times New Roman" w:hAnsi="Times New Roman" w:cs="Times New Roman"/>
                <w:color w:val="auto"/>
                <w:spacing w:val="3"/>
                <w:kern w:val="0"/>
                <w:sz w:val="24"/>
                <w:highlight w:val="none"/>
              </w:rPr>
              <w:t>（</w:t>
            </w:r>
            <w:r>
              <w:rPr>
                <w:rFonts w:hint="eastAsia" w:cs="Times New Roman"/>
                <w:color w:val="auto"/>
                <w:spacing w:val="3"/>
                <w:kern w:val="0"/>
                <w:sz w:val="24"/>
                <w:highlight w:val="none"/>
                <w:lang w:val="en-US" w:eastAsia="zh-CN"/>
              </w:rPr>
              <w:t>8</w:t>
            </w:r>
            <w:r>
              <w:rPr>
                <w:rFonts w:hint="default" w:ascii="Times New Roman" w:hAnsi="Times New Roman" w:cs="Times New Roman"/>
                <w:color w:val="auto"/>
                <w:spacing w:val="3"/>
                <w:kern w:val="0"/>
                <w:sz w:val="24"/>
                <w:highlight w:val="none"/>
              </w:rPr>
              <w:t>）对于门诊噪声需要医院内部强化管理制度，禁止大声喧哗，经过医院门、墙等的隔声、距离衰减后对周围环境的影响较小。</w:t>
            </w:r>
          </w:p>
          <w:p>
            <w:pPr>
              <w:autoSpaceDE w:val="0"/>
              <w:autoSpaceDN w:val="0"/>
              <w:spacing w:line="360" w:lineRule="auto"/>
              <w:ind w:firstLine="492" w:firstLineChars="200"/>
              <w:rPr>
                <w:rFonts w:hint="default" w:ascii="Times New Roman" w:hAnsi="Times New Roman" w:cs="Times New Roman"/>
                <w:color w:val="auto"/>
                <w:spacing w:val="3"/>
                <w:kern w:val="0"/>
                <w:sz w:val="24"/>
                <w:highlight w:val="none"/>
              </w:rPr>
            </w:pPr>
            <w:r>
              <w:rPr>
                <w:rFonts w:hint="default" w:ascii="Times New Roman" w:hAnsi="Times New Roman" w:cs="Times New Roman"/>
                <w:color w:val="auto"/>
                <w:spacing w:val="3"/>
                <w:kern w:val="0"/>
                <w:sz w:val="24"/>
                <w:highlight w:val="none"/>
              </w:rPr>
              <w:t>（</w:t>
            </w:r>
            <w:r>
              <w:rPr>
                <w:rFonts w:hint="eastAsia" w:cs="Times New Roman"/>
                <w:color w:val="auto"/>
                <w:spacing w:val="3"/>
                <w:kern w:val="0"/>
                <w:sz w:val="24"/>
                <w:highlight w:val="none"/>
                <w:lang w:val="en-US" w:eastAsia="zh-CN"/>
              </w:rPr>
              <w:t>9</w:t>
            </w:r>
            <w:r>
              <w:rPr>
                <w:rFonts w:hint="default" w:ascii="Times New Roman" w:hAnsi="Times New Roman" w:cs="Times New Roman"/>
                <w:color w:val="auto"/>
                <w:spacing w:val="3"/>
                <w:kern w:val="0"/>
                <w:sz w:val="24"/>
                <w:highlight w:val="none"/>
              </w:rPr>
              <w:t>）车辆限速禁鸣，加强管理后对周围环境的影响较小。</w:t>
            </w:r>
          </w:p>
          <w:p>
            <w:pPr>
              <w:autoSpaceDE w:val="0"/>
              <w:autoSpaceDN w:val="0"/>
              <w:spacing w:line="360" w:lineRule="auto"/>
              <w:ind w:firstLine="492" w:firstLineChars="200"/>
              <w:rPr>
                <w:rFonts w:hint="default" w:ascii="Times New Roman" w:hAnsi="Times New Roman" w:cs="Times New Roman"/>
                <w:color w:val="auto"/>
                <w:spacing w:val="3"/>
                <w:kern w:val="0"/>
                <w:sz w:val="24"/>
                <w:highlight w:val="none"/>
              </w:rPr>
            </w:pPr>
            <w:r>
              <w:rPr>
                <w:rFonts w:hint="default" w:ascii="Times New Roman" w:hAnsi="Times New Roman" w:cs="Times New Roman"/>
                <w:color w:val="auto"/>
                <w:spacing w:val="3"/>
                <w:kern w:val="0"/>
                <w:sz w:val="24"/>
                <w:highlight w:val="none"/>
              </w:rPr>
              <w:t>（</w:t>
            </w:r>
            <w:r>
              <w:rPr>
                <w:rFonts w:hint="eastAsia" w:cs="Times New Roman"/>
                <w:color w:val="auto"/>
                <w:spacing w:val="3"/>
                <w:kern w:val="0"/>
                <w:sz w:val="24"/>
                <w:highlight w:val="none"/>
                <w:lang w:val="en-US" w:eastAsia="zh-CN"/>
              </w:rPr>
              <w:t>10</w:t>
            </w:r>
            <w:r>
              <w:rPr>
                <w:rFonts w:hint="default" w:ascii="Times New Roman" w:hAnsi="Times New Roman" w:cs="Times New Roman"/>
                <w:color w:val="auto"/>
                <w:spacing w:val="3"/>
                <w:kern w:val="0"/>
                <w:sz w:val="24"/>
                <w:highlight w:val="none"/>
              </w:rPr>
              <w:t>）靠近道路病房或办公室安装隔声窗，加强绿化，减少外环境的噪声影响。</w:t>
            </w:r>
          </w:p>
          <w:p>
            <w:pPr>
              <w:pStyle w:val="42"/>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baseline"/>
              <w:rPr>
                <w:rFonts w:hint="default" w:ascii="Times New Roman" w:hAnsi="Times New Roman" w:eastAsia="宋体" w:cs="Times New Roman"/>
                <w:color w:val="auto"/>
                <w:kern w:val="2"/>
                <w:sz w:val="24"/>
                <w:szCs w:val="22"/>
                <w:highlight w:val="none"/>
                <w:lang w:val="en-US" w:eastAsia="zh-CN" w:bidi="ar-SA"/>
              </w:rPr>
            </w:pPr>
            <w:r>
              <w:rPr>
                <w:rFonts w:hint="eastAsia" w:ascii="Times New Roman" w:hAnsi="Times New Roman" w:eastAsia="宋体" w:cs="Times New Roman"/>
                <w:color w:val="auto"/>
                <w:kern w:val="2"/>
                <w:sz w:val="24"/>
                <w:szCs w:val="22"/>
                <w:highlight w:val="none"/>
                <w:lang w:val="en-US" w:eastAsia="zh-CN" w:bidi="ar-SA"/>
              </w:rPr>
              <w:t>（11）在柴油发电机底座加装减振装置，接管处加装减振喉管，有效地降低噪声源的声压级和设备振动；</w:t>
            </w:r>
          </w:p>
          <w:p>
            <w:pPr>
              <w:pStyle w:val="3"/>
              <w:spacing w:after="0" w:line="360" w:lineRule="auto"/>
              <w:ind w:left="0" w:leftChars="0" w:firstLine="482" w:firstLineChars="200"/>
              <w:contextualSpacing/>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3.4</w:t>
            </w:r>
            <w:r>
              <w:rPr>
                <w:rFonts w:hint="default" w:ascii="Times New Roman" w:hAnsi="Times New Roman" w:cs="Times New Roman"/>
                <w:b/>
                <w:bCs/>
                <w:color w:val="auto"/>
                <w:szCs w:val="24"/>
                <w:highlight w:val="none"/>
              </w:rPr>
              <w:t>噪声监测计划</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本项目噪声监测方案见表4-1</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rPr>
              <w:t>。</w:t>
            </w:r>
          </w:p>
          <w:p>
            <w:pPr>
              <w:adjustRightInd w:val="0"/>
              <w:snapToGrid w:val="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表4-1</w:t>
            </w:r>
            <w:r>
              <w:rPr>
                <w:rFonts w:hint="eastAsia" w:cs="Times New Roman"/>
                <w:b/>
                <w:color w:val="auto"/>
                <w:sz w:val="24"/>
                <w:szCs w:val="24"/>
                <w:highlight w:val="none"/>
                <w:lang w:val="en-US" w:eastAsia="zh-CN"/>
              </w:rPr>
              <w:t>3</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项目运营期噪声监测计划</w:t>
            </w: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2826"/>
              <w:gridCol w:w="1411"/>
              <w:gridCol w:w="1274"/>
              <w:gridCol w:w="16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18"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类别</w:t>
                  </w:r>
                </w:p>
              </w:tc>
              <w:tc>
                <w:tcPr>
                  <w:tcW w:w="2826"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监测点位</w:t>
                  </w:r>
                </w:p>
              </w:tc>
              <w:tc>
                <w:tcPr>
                  <w:tcW w:w="1411"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监测项目</w:t>
                  </w:r>
                </w:p>
              </w:tc>
              <w:tc>
                <w:tcPr>
                  <w:tcW w:w="1274"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监测频率</w:t>
                  </w:r>
                </w:p>
              </w:tc>
              <w:tc>
                <w:tcPr>
                  <w:tcW w:w="1640"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实施单位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218"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厂界噪声</w:t>
                  </w:r>
                </w:p>
              </w:tc>
              <w:tc>
                <w:tcPr>
                  <w:tcW w:w="2826"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rPr>
                    <w:t>东、西、南、北厂</w:t>
                  </w:r>
                  <w:r>
                    <w:rPr>
                      <w:rFonts w:hint="default" w:ascii="Times New Roman" w:hAnsi="Times New Roman" w:cs="Times New Roman"/>
                      <w:color w:val="auto"/>
                      <w:szCs w:val="21"/>
                      <w:highlight w:val="none"/>
                    </w:rPr>
                    <w:t>界外1m</w:t>
                  </w:r>
                </w:p>
              </w:tc>
              <w:tc>
                <w:tcPr>
                  <w:tcW w:w="1411"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等效A声级</w:t>
                  </w:r>
                </w:p>
              </w:tc>
              <w:tc>
                <w:tcPr>
                  <w:tcW w:w="1274"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次/季</w:t>
                  </w:r>
                </w:p>
              </w:tc>
              <w:tc>
                <w:tcPr>
                  <w:tcW w:w="1640" w:type="dxa"/>
                  <w:noWrap w:val="0"/>
                  <w:vAlign w:val="center"/>
                </w:tcPr>
                <w:p>
                  <w:pPr>
                    <w:adjustRightInd w:val="0"/>
                    <w:snapToGrid w:val="0"/>
                    <w:spacing w:line="360" w:lineRule="exact"/>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企业自行委托</w:t>
                  </w:r>
                </w:p>
              </w:tc>
            </w:tr>
          </w:tbl>
          <w:p>
            <w:pPr>
              <w:numPr>
                <w:ilvl w:val="0"/>
                <w:numId w:val="0"/>
              </w:numPr>
              <w:adjustRightInd w:val="0"/>
              <w:snapToGrid w:val="0"/>
              <w:spacing w:line="360" w:lineRule="auto"/>
              <w:ind w:leftChars="0"/>
              <w:rPr>
                <w:rFonts w:hint="default" w:ascii="Times New Roman" w:hAnsi="Times New Roman" w:cs="Times New Roman"/>
                <w:b/>
                <w:bCs/>
                <w:color w:val="auto"/>
                <w:sz w:val="24"/>
                <w:highlight w:val="none"/>
              </w:rPr>
            </w:pPr>
            <w:r>
              <w:rPr>
                <w:rFonts w:hint="eastAsia" w:ascii="Times New Roman" w:hAnsi="Times New Roman" w:cs="Times New Roman"/>
                <w:b/>
                <w:bCs/>
                <w:color w:val="auto"/>
                <w:sz w:val="24"/>
                <w:highlight w:val="none"/>
                <w:lang w:val="en-US" w:eastAsia="zh-CN"/>
              </w:rPr>
              <w:t>4、</w:t>
            </w:r>
            <w:r>
              <w:rPr>
                <w:rFonts w:hint="default" w:ascii="Times New Roman" w:hAnsi="Times New Roman" w:cs="Times New Roman"/>
                <w:b/>
                <w:bCs/>
                <w:color w:val="auto"/>
                <w:sz w:val="24"/>
                <w:highlight w:val="none"/>
              </w:rPr>
              <w:t>固废</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0" w:firstLineChars="0"/>
              <w:textAlignment w:val="auto"/>
              <w:rPr>
                <w:rFonts w:hint="eastAsia"/>
                <w:lang w:eastAsia="zh-CN"/>
              </w:rPr>
            </w:pPr>
            <w:r>
              <w:rPr>
                <w:rFonts w:hint="eastAsia" w:ascii="Times New Roman" w:hAnsi="Times New Roman" w:cs="Times New Roman"/>
                <w:b/>
                <w:bCs/>
                <w:color w:val="000000"/>
                <w:sz w:val="24"/>
                <w:szCs w:val="24"/>
                <w:lang w:val="en-US" w:eastAsia="zh-CN"/>
              </w:rPr>
              <w:t>4.1固体废物产生量核算</w:t>
            </w:r>
          </w:p>
          <w:p>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本项目固体废物主要包括生活垃圾、医疗垃圾、污水站污泥</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除尘器收集的中药粉尘</w:t>
            </w:r>
            <w:r>
              <w:rPr>
                <w:rFonts w:hint="eastAsia" w:ascii="Times New Roman" w:hAnsi="Times New Roman" w:eastAsia="宋体" w:cs="Times New Roman"/>
                <w:color w:val="auto"/>
                <w:sz w:val="24"/>
                <w:highlight w:val="none"/>
                <w:lang w:val="en-US" w:eastAsia="zh-CN"/>
              </w:rPr>
              <w:t>、废活性炭以及废包装。</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（1）生活垃圾</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生活垃圾主要来自办公室、公共区等处，另外还包括部分无毒无害的医药包装材料等废弃物。</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医院生活垃圾核算过程按照满负荷运营计算。</w:t>
            </w:r>
          </w:p>
          <w:p>
            <w:pPr>
              <w:spacing w:line="360" w:lineRule="auto"/>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本项目住院病人按每病床每日产生生活垃圾按1kg计，项目设置床位2</w:t>
            </w:r>
            <w:r>
              <w:rPr>
                <w:rFonts w:hint="default" w:ascii="Times New Roman" w:hAnsi="Times New Roman" w:cs="Times New Roman"/>
                <w:color w:val="auto"/>
                <w:sz w:val="24"/>
                <w:highlight w:val="none"/>
                <w:lang w:val="en-US" w:eastAsia="zh-CN"/>
              </w:rPr>
              <w:t>82</w:t>
            </w:r>
            <w:r>
              <w:rPr>
                <w:rFonts w:hint="default" w:ascii="Times New Roman" w:hAnsi="Times New Roman" w:cs="Times New Roman"/>
                <w:color w:val="auto"/>
                <w:sz w:val="24"/>
                <w:highlight w:val="none"/>
              </w:rPr>
              <w:t>个，则住院病人产生生活垃圾为2</w:t>
            </w:r>
            <w:r>
              <w:rPr>
                <w:rFonts w:hint="default" w:ascii="Times New Roman" w:hAnsi="Times New Roman" w:cs="Times New Roman"/>
                <w:color w:val="auto"/>
                <w:sz w:val="24"/>
                <w:highlight w:val="none"/>
                <w:lang w:val="en-US" w:eastAsia="zh-CN"/>
              </w:rPr>
              <w:t>82</w:t>
            </w:r>
            <w:r>
              <w:rPr>
                <w:rFonts w:hint="default" w:ascii="Times New Roman" w:hAnsi="Times New Roman" w:cs="Times New Roman"/>
                <w:color w:val="auto"/>
                <w:sz w:val="24"/>
                <w:highlight w:val="none"/>
              </w:rPr>
              <w:t>kg/d，</w:t>
            </w:r>
            <w:r>
              <w:rPr>
                <w:rFonts w:hint="eastAsia" w:ascii="Times New Roman" w:hAnsi="Times New Roman" w:cs="Times New Roman"/>
                <w:color w:val="auto"/>
                <w:sz w:val="24"/>
                <w:highlight w:val="none"/>
                <w:lang w:val="en-US" w:eastAsia="zh-CN"/>
              </w:rPr>
              <w:t>102</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93</w:t>
            </w:r>
            <w:r>
              <w:rPr>
                <w:rFonts w:hint="default" w:ascii="Times New Roman" w:hAnsi="Times New Roman" w:cs="Times New Roman"/>
                <w:color w:val="auto"/>
                <w:sz w:val="24"/>
                <w:highlight w:val="none"/>
              </w:rPr>
              <w:t>t/a；</w:t>
            </w:r>
            <w:r>
              <w:rPr>
                <w:rFonts w:hint="eastAsia" w:ascii="Times New Roman" w:hAnsi="Times New Roman" w:cs="Times New Roman"/>
                <w:color w:val="auto"/>
                <w:sz w:val="24"/>
                <w:highlight w:val="none"/>
                <w:lang w:eastAsia="zh-CN"/>
              </w:rPr>
              <w:t>陪护人员按每床至少</w:t>
            </w:r>
            <w:r>
              <w:rPr>
                <w:rFonts w:hint="eastAsia"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eastAsia="zh-CN"/>
              </w:rPr>
              <w:t>个人计算，则产生的垃圾为</w:t>
            </w:r>
            <w:r>
              <w:rPr>
                <w:rFonts w:hint="default" w:ascii="Times New Roman" w:hAnsi="Times New Roman" w:cs="Times New Roman"/>
                <w:color w:val="auto"/>
                <w:sz w:val="24"/>
                <w:highlight w:val="none"/>
              </w:rPr>
              <w:t>2</w:t>
            </w:r>
            <w:r>
              <w:rPr>
                <w:rFonts w:hint="default" w:ascii="Times New Roman" w:hAnsi="Times New Roman" w:cs="Times New Roman"/>
                <w:color w:val="auto"/>
                <w:sz w:val="24"/>
                <w:highlight w:val="none"/>
                <w:lang w:val="en-US" w:eastAsia="zh-CN"/>
              </w:rPr>
              <w:t>82</w:t>
            </w:r>
            <w:r>
              <w:rPr>
                <w:rFonts w:hint="default" w:ascii="Times New Roman" w:hAnsi="Times New Roman" w:cs="Times New Roman"/>
                <w:color w:val="auto"/>
                <w:sz w:val="24"/>
                <w:highlight w:val="none"/>
              </w:rPr>
              <w:t>kg/d，</w:t>
            </w:r>
            <w:r>
              <w:rPr>
                <w:rFonts w:hint="eastAsia" w:ascii="Times New Roman" w:hAnsi="Times New Roman" w:cs="Times New Roman"/>
                <w:color w:val="auto"/>
                <w:sz w:val="24"/>
                <w:highlight w:val="none"/>
                <w:lang w:val="en-US" w:eastAsia="zh-CN"/>
              </w:rPr>
              <w:t>102</w:t>
            </w:r>
            <w:r>
              <w:rPr>
                <w:rFonts w:hint="eastAsia"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93</w:t>
            </w:r>
            <w:r>
              <w:rPr>
                <w:rFonts w:hint="default" w:ascii="Times New Roman" w:hAnsi="Times New Roman" w:cs="Times New Roman"/>
                <w:color w:val="auto"/>
                <w:sz w:val="24"/>
                <w:highlight w:val="none"/>
              </w:rPr>
              <w:t>t/a</w:t>
            </w:r>
            <w:r>
              <w:rPr>
                <w:rFonts w:hint="eastAsia" w:ascii="Times New Roman" w:hAnsi="Times New Roman" w:cs="Times New Roman"/>
                <w:color w:val="auto"/>
                <w:sz w:val="24"/>
                <w:highlight w:val="none"/>
                <w:lang w:eastAsia="zh-CN"/>
              </w:rPr>
              <w:t>。</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门诊垃圾按每日每人次产生0.1kg计，项目门诊人数</w:t>
            </w:r>
            <w:r>
              <w:rPr>
                <w:rFonts w:hint="default" w:ascii="Times New Roman" w:hAnsi="Times New Roman" w:cs="Times New Roman"/>
                <w:color w:val="auto"/>
                <w:sz w:val="24"/>
                <w:highlight w:val="none"/>
                <w:lang w:val="en-US" w:eastAsia="zh-CN"/>
              </w:rPr>
              <w:t>55</w:t>
            </w:r>
            <w:r>
              <w:rPr>
                <w:rFonts w:hint="default" w:ascii="Times New Roman" w:hAnsi="Times New Roman" w:cs="Times New Roman"/>
                <w:color w:val="auto"/>
                <w:sz w:val="24"/>
                <w:highlight w:val="none"/>
              </w:rPr>
              <w:t>人次/d，则生活垃圾量为5</w:t>
            </w: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kg/d，</w:t>
            </w:r>
            <w:r>
              <w:rPr>
                <w:rFonts w:hint="eastAsia" w:ascii="Times New Roman" w:hAnsi="Times New Roman" w:cs="Times New Roman"/>
                <w:color w:val="auto"/>
                <w:sz w:val="24"/>
                <w:highlight w:val="none"/>
                <w:lang w:val="en-US" w:eastAsia="zh-CN"/>
              </w:rPr>
              <w:t>2.0075</w:t>
            </w:r>
            <w:r>
              <w:rPr>
                <w:rFonts w:hint="default" w:ascii="Times New Roman" w:hAnsi="Times New Roman" w:cs="Times New Roman"/>
                <w:color w:val="auto"/>
                <w:sz w:val="24"/>
                <w:highlight w:val="none"/>
              </w:rPr>
              <w:t>t/a；</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项目医务人员共计</w:t>
            </w:r>
            <w:r>
              <w:rPr>
                <w:rFonts w:hint="default" w:ascii="Times New Roman" w:hAnsi="Times New Roman" w:cs="Times New Roman"/>
                <w:color w:val="auto"/>
                <w:sz w:val="24"/>
                <w:highlight w:val="none"/>
                <w:lang w:val="en-US" w:eastAsia="zh-CN"/>
              </w:rPr>
              <w:t>152</w:t>
            </w:r>
            <w:r>
              <w:rPr>
                <w:rFonts w:hint="default" w:ascii="Times New Roman" w:hAnsi="Times New Roman" w:cs="Times New Roman"/>
                <w:color w:val="auto"/>
                <w:sz w:val="24"/>
                <w:highlight w:val="none"/>
              </w:rPr>
              <w:t>人，在医院内每人每日产生生活垃圾按0.5kg计，生活垃圾量为</w:t>
            </w:r>
            <w:r>
              <w:rPr>
                <w:rFonts w:hint="default" w:ascii="Times New Roman" w:hAnsi="Times New Roman" w:cs="Times New Roman"/>
                <w:color w:val="auto"/>
                <w:sz w:val="24"/>
                <w:highlight w:val="none"/>
                <w:lang w:val="en-US" w:eastAsia="zh-CN"/>
              </w:rPr>
              <w:t>76</w:t>
            </w:r>
            <w:r>
              <w:rPr>
                <w:rFonts w:hint="default" w:ascii="Times New Roman" w:hAnsi="Times New Roman" w:cs="Times New Roman"/>
                <w:color w:val="auto"/>
                <w:sz w:val="24"/>
                <w:highlight w:val="none"/>
              </w:rPr>
              <w:t>kg/d，</w:t>
            </w:r>
            <w:r>
              <w:rPr>
                <w:rFonts w:hint="eastAsia" w:ascii="Times New Roman" w:hAnsi="Times New Roman" w:cs="Times New Roman"/>
                <w:color w:val="auto"/>
                <w:sz w:val="24"/>
                <w:highlight w:val="none"/>
                <w:lang w:val="en-US" w:eastAsia="zh-CN"/>
              </w:rPr>
              <w:t>27.74</w:t>
            </w:r>
            <w:r>
              <w:rPr>
                <w:rFonts w:hint="default" w:ascii="Times New Roman" w:hAnsi="Times New Roman" w:cs="Times New Roman"/>
                <w:color w:val="auto"/>
                <w:sz w:val="24"/>
                <w:highlight w:val="none"/>
              </w:rPr>
              <w:t>t/a。</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则医院生活垃圾产生量为0.</w:t>
            </w:r>
            <w:r>
              <w:rPr>
                <w:rFonts w:hint="eastAsia" w:ascii="Times New Roman" w:hAnsi="Times New Roman" w:cs="Times New Roman"/>
                <w:color w:val="auto"/>
                <w:sz w:val="24"/>
                <w:highlight w:val="none"/>
                <w:lang w:val="en-US" w:eastAsia="zh-CN"/>
              </w:rPr>
              <w:t>64</w:t>
            </w:r>
            <w:r>
              <w:rPr>
                <w:rFonts w:hint="eastAsia" w:cs="Times New Roman"/>
                <w:color w:val="auto"/>
                <w:sz w:val="24"/>
                <w:highlight w:val="none"/>
                <w:lang w:val="en-US" w:eastAsia="zh-CN"/>
              </w:rPr>
              <w:t>55t</w:t>
            </w:r>
            <w:r>
              <w:rPr>
                <w:rFonts w:hint="default" w:ascii="Times New Roman" w:hAnsi="Times New Roman" w:cs="Times New Roman"/>
                <w:color w:val="auto"/>
                <w:sz w:val="24"/>
                <w:highlight w:val="none"/>
              </w:rPr>
              <w:t>/d，</w:t>
            </w:r>
            <w:r>
              <w:rPr>
                <w:rFonts w:hint="eastAsia" w:ascii="Times New Roman" w:hAnsi="Times New Roman" w:cs="Times New Roman"/>
                <w:color w:val="auto"/>
                <w:sz w:val="24"/>
                <w:highlight w:val="none"/>
                <w:lang w:val="en-US" w:eastAsia="zh-CN"/>
              </w:rPr>
              <w:t>23</w:t>
            </w:r>
            <w:r>
              <w:rPr>
                <w:rFonts w:hint="eastAsia" w:cs="Times New Roman"/>
                <w:color w:val="auto"/>
                <w:sz w:val="24"/>
                <w:highlight w:val="none"/>
                <w:lang w:val="en-US" w:eastAsia="zh-CN"/>
              </w:rPr>
              <w:t>5</w:t>
            </w:r>
            <w:r>
              <w:rPr>
                <w:rFonts w:hint="eastAsia"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6075</w:t>
            </w:r>
            <w:r>
              <w:rPr>
                <w:rFonts w:hint="default" w:ascii="Times New Roman" w:hAnsi="Times New Roman" w:cs="Times New Roman"/>
                <w:color w:val="auto"/>
                <w:sz w:val="24"/>
                <w:highlight w:val="none"/>
              </w:rPr>
              <w:t>t/a。</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（2）医疗垃圾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根据《医疗卫生机构医疗废物排放量调查》（倪晓平，邢华等）产污系数计算，凡拥有病床的医院，医疗废物排放（产生）量的产污系数单位为k</w:t>
            </w:r>
            <w:r>
              <w:rPr>
                <w:rFonts w:hint="eastAsia"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床·d</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，使用该方法计算时不再考虑门诊人次数。市级综合医院产污系数为0.7-2.1kg/（床·d）。本评价取医疗废物产污系数1.4kg/（床·d），计算得医疗废物产生量约0.3</w:t>
            </w:r>
            <w:r>
              <w:rPr>
                <w:rFonts w:hint="default" w:ascii="Times New Roman" w:hAnsi="Times New Roman" w:cs="Times New Roman"/>
                <w:color w:val="auto"/>
                <w:sz w:val="24"/>
                <w:highlight w:val="none"/>
                <w:lang w:val="en-US" w:eastAsia="zh-CN"/>
              </w:rPr>
              <w:t>9</w:t>
            </w:r>
            <w:r>
              <w:rPr>
                <w:rFonts w:hint="eastAsia"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t/d（</w:t>
            </w:r>
            <w:r>
              <w:rPr>
                <w:rFonts w:hint="eastAsia" w:ascii="Times New Roman" w:hAnsi="Times New Roman" w:cs="Times New Roman"/>
                <w:color w:val="auto"/>
                <w:sz w:val="24"/>
                <w:highlight w:val="none"/>
                <w:lang w:val="en-US" w:eastAsia="zh-CN"/>
              </w:rPr>
              <w:t>114.175</w:t>
            </w:r>
            <w:r>
              <w:rPr>
                <w:rFonts w:hint="default" w:ascii="Times New Roman" w:hAnsi="Times New Roman" w:cs="Times New Roman"/>
                <w:color w:val="auto"/>
                <w:sz w:val="24"/>
                <w:highlight w:val="none"/>
              </w:rPr>
              <w:t>t/a）。</w:t>
            </w:r>
          </w:p>
          <w:p>
            <w:pPr>
              <w:widowControl/>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医疗废物主要来自病人的生活废弃物、医疗诊断及治疗过程中产生的各类固体废物，含有大量的病原微生物、寄生虫，还含有其他有害物质。医疗垃圾属于危险废物，根据《国家危险废物名录（2021年版）》分为医疗废物（HW01）和废药物、药品（HW03，废物代码900-002-03）。</w:t>
            </w:r>
          </w:p>
          <w:p>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本项目主要医疗废物来源如下：</w:t>
            </w:r>
          </w:p>
          <w:p>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感染性废物（废物代码：841-001-01）主要指携带病原微生物具有引发感染性疾病传播危险的医疗废物。包括</w:t>
            </w:r>
            <w:r>
              <w:rPr>
                <w:rFonts w:hint="eastAsia" w:ascii="Times New Roman" w:hAnsi="Times New Roman" w:eastAsia="宋体" w:cs="Times New Roman"/>
                <w:color w:val="auto"/>
                <w:sz w:val="24"/>
                <w:highlight w:val="none"/>
                <w:lang w:val="en-US" w:eastAsia="zh-CN"/>
              </w:rPr>
              <w:t>被病人血液沾染过的</w:t>
            </w:r>
            <w:r>
              <w:rPr>
                <w:rFonts w:hint="default" w:ascii="Times New Roman" w:hAnsi="Times New Roman" w:eastAsia="宋体" w:cs="Times New Roman"/>
                <w:color w:val="auto"/>
                <w:sz w:val="24"/>
                <w:highlight w:val="none"/>
              </w:rPr>
              <w:t>棉球、棉签、纱布</w:t>
            </w:r>
            <w:r>
              <w:rPr>
                <w:rFonts w:hint="eastAsia" w:ascii="Times New Roman" w:hAnsi="Times New Roman" w:eastAsia="宋体" w:cs="Times New Roman"/>
                <w:color w:val="auto"/>
                <w:sz w:val="24"/>
                <w:highlight w:val="none"/>
                <w:lang w:val="en-US" w:eastAsia="zh-CN"/>
              </w:rPr>
              <w:t>等各种辅料、</w:t>
            </w:r>
            <w:r>
              <w:rPr>
                <w:rFonts w:hint="default" w:ascii="Times New Roman" w:hAnsi="Times New Roman" w:eastAsia="宋体" w:cs="Times New Roman"/>
                <w:color w:val="auto"/>
                <w:sz w:val="24"/>
                <w:highlight w:val="none"/>
              </w:rPr>
              <w:t>一次性使用的卫生用品</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口罩、手术衣、手术帽、手套等</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一次性医疗用品（无菌注射器、输液器、输液袋、抽血器材等）。</w:t>
            </w:r>
          </w:p>
          <w:p>
            <w:pPr>
              <w:widowControl/>
              <w:spacing w:line="360" w:lineRule="auto"/>
              <w:ind w:firstLine="480" w:firstLineChars="200"/>
              <w:jc w:val="left"/>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B、损伤性废物（废物代码：841-002-01）主要指能够刺伤或割伤人体的废弃的医用锐器。包括医用针头、缝合针、各类医用锐器（解剖刀、手术刀、备皮刀、手术锯等）</w:t>
            </w:r>
            <w:r>
              <w:rPr>
                <w:rFonts w:hint="eastAsia" w:ascii="Times New Roman" w:hAnsi="Times New Roman" w:eastAsia="宋体" w:cs="Times New Roman"/>
                <w:color w:val="auto"/>
                <w:sz w:val="24"/>
                <w:highlight w:val="none"/>
                <w:lang w:eastAsia="zh-CN"/>
              </w:rPr>
              <w:t>。</w:t>
            </w:r>
          </w:p>
          <w:p>
            <w:pPr>
              <w:widowControl/>
              <w:spacing w:line="360" w:lineRule="auto"/>
              <w:ind w:firstLine="480" w:firstLineChars="200"/>
              <w:jc w:val="left"/>
              <w:rPr>
                <w:rFonts w:hint="eastAsia"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C、病理性废物（废物代码：841-003-01）主要指诊疗过程中产生的人体废弃物。包括：人体组织、器官、肢体等相关物质</w:t>
            </w:r>
            <w:r>
              <w:rPr>
                <w:rFonts w:hint="eastAsia" w:ascii="Times New Roman" w:hAnsi="Times New Roman" w:eastAsia="宋体" w:cs="Times New Roman"/>
                <w:color w:val="auto"/>
                <w:sz w:val="24"/>
                <w:highlight w:val="none"/>
                <w:lang w:eastAsia="zh-CN"/>
              </w:rPr>
              <w:t>。</w:t>
            </w:r>
          </w:p>
          <w:p>
            <w:pPr>
              <w:widowControl/>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D、化学性废物（废物代码：841-004-01）主要指具有毒性、腐蚀性、易燃易爆的废弃的化学品。</w:t>
            </w:r>
            <w:r>
              <w:rPr>
                <w:rFonts w:hint="eastAsia" w:ascii="Times New Roman" w:hAnsi="Times New Roman" w:eastAsia="宋体" w:cs="Times New Roman"/>
                <w:color w:val="auto"/>
                <w:sz w:val="24"/>
                <w:highlight w:val="none"/>
                <w:lang w:val="en-US" w:eastAsia="zh-CN"/>
              </w:rPr>
              <w:t>包括次氯酸钠</w:t>
            </w:r>
            <w:r>
              <w:rPr>
                <w:rFonts w:hint="default" w:ascii="Times New Roman" w:hAnsi="Times New Roman" w:eastAsia="宋体" w:cs="Times New Roman"/>
                <w:color w:val="auto"/>
                <w:sz w:val="24"/>
                <w:highlight w:val="none"/>
              </w:rPr>
              <w:t>消毒剂和废弃的汞血压计、汞温度计。</w:t>
            </w:r>
          </w:p>
          <w:p>
            <w:pPr>
              <w:widowControl/>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由于本项目药品流转的速度快，一周进两次药品，库房没有剩余药品，也不存在过期、失效、不合格药品，因此本项目不涉及E类和F类（</w:t>
            </w:r>
            <w:r>
              <w:rPr>
                <w:rFonts w:hint="default" w:ascii="Times New Roman" w:hAnsi="Times New Roman" w:cs="Times New Roman"/>
                <w:color w:val="auto"/>
                <w:sz w:val="24"/>
                <w:highlight w:val="none"/>
              </w:rPr>
              <w:t>E、药物性废物（废物代码：841-005-01）主要指过期、淘汰、变质或被污染的废弃的药品。包括废弃的一般性药品（如：42抗生素、非处方类药品等）、废弃血液制品等。</w:t>
            </w:r>
            <w:r>
              <w:rPr>
                <w:rFonts w:hint="eastAsia" w:ascii="Times New Roman" w:hAnsi="Times New Roman" w:eastAsia="宋体" w:cs="Times New Roman"/>
                <w:color w:val="auto"/>
                <w:sz w:val="24"/>
                <w:highlight w:val="none"/>
                <w:lang w:val="en-US" w:eastAsia="zh-CN"/>
              </w:rPr>
              <w:t>F、非特定行业（废物代码：900-002-03）销售及使用过程中产生的失效、变质、不合格、淘汰、伪劣的化学药品和生物制品（不包括列入《国家基本药物目录》中的维生素、矿物质类药，调节水、电解质及酸碱平衡药），以及《医疗用毒性药品管理办法》中所列的毒性中药。</w:t>
            </w:r>
            <w:r>
              <w:rPr>
                <w:rFonts w:hint="eastAsia" w:cs="Times New Roman"/>
                <w:color w:val="auto"/>
                <w:sz w:val="24"/>
                <w:highlight w:val="none"/>
                <w:lang w:val="en-US" w:eastAsia="zh-CN"/>
              </w:rPr>
              <w:t>）</w:t>
            </w:r>
          </w:p>
          <w:p>
            <w:pPr>
              <w:spacing w:line="360" w:lineRule="auto"/>
              <w:ind w:firstLine="480" w:firstLineChars="200"/>
              <w:rPr>
                <w:rFonts w:hint="default" w:ascii="Times New Roman" w:hAnsi="Times New Roman" w:cs="Times New Roman"/>
                <w:color w:val="auto"/>
                <w:sz w:val="24"/>
                <w:highlight w:val="none"/>
              </w:rPr>
            </w:pPr>
            <w:bookmarkStart w:id="9" w:name="_Toc18642"/>
            <w:bookmarkStart w:id="10" w:name="_Toc353535554"/>
            <w:bookmarkStart w:id="11" w:name="_Toc292895359"/>
            <w:bookmarkStart w:id="12" w:name="_Toc13179"/>
            <w:bookmarkStart w:id="13" w:name="_Toc462986925"/>
            <w:r>
              <w:rPr>
                <w:rFonts w:hint="default" w:ascii="Times New Roman" w:hAnsi="Times New Roman" w:cs="Times New Roman"/>
                <w:color w:val="auto"/>
                <w:sz w:val="24"/>
                <w:highlight w:val="none"/>
              </w:rPr>
              <w:t>（3）污水站污泥</w:t>
            </w:r>
          </w:p>
          <w:bookmarkEnd w:id="9"/>
          <w:bookmarkEnd w:id="10"/>
          <w:bookmarkEnd w:id="11"/>
          <w:bookmarkEnd w:id="12"/>
          <w:bookmarkEnd w:id="13"/>
          <w:p>
            <w:pPr>
              <w:widowControl/>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本医院、综合废水量为</w:t>
            </w:r>
            <w:r>
              <w:rPr>
                <w:rFonts w:hint="eastAsia" w:cs="Times New Roman"/>
                <w:color w:val="auto"/>
                <w:sz w:val="24"/>
                <w:highlight w:val="none"/>
                <w:lang w:val="en-US" w:eastAsia="zh-CN"/>
              </w:rPr>
              <w:t>13512.3</w:t>
            </w:r>
            <w:r>
              <w:rPr>
                <w:rFonts w:hint="eastAsia" w:ascii="Times New Roman" w:hAnsi="Times New Roman" w:eastAsia="宋体" w:cs="Times New Roman"/>
                <w:color w:val="auto"/>
                <w:sz w:val="24"/>
                <w:highlight w:val="none"/>
                <w:lang w:val="en-US" w:eastAsia="zh-CN"/>
              </w:rPr>
              <w:t>m</w:t>
            </w:r>
            <w:r>
              <w:rPr>
                <w:rFonts w:hint="eastAsia" w:ascii="Times New Roman" w:hAnsi="Times New Roman" w:eastAsia="宋体" w:cs="Times New Roman"/>
                <w:color w:val="auto"/>
                <w:sz w:val="24"/>
                <w:highlight w:val="none"/>
                <w:vertAlign w:val="superscript"/>
                <w:lang w:val="en-US" w:eastAsia="zh-CN"/>
              </w:rPr>
              <w:t>3</w:t>
            </w:r>
            <w:r>
              <w:rPr>
                <w:rFonts w:hint="eastAsia"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val="en-US" w:eastAsia="zh-CN"/>
              </w:rPr>
              <w:t>，根据《第一次全国污染源普查集中式污染治理设施产排污系数手册》，在不采用污泥消化工艺的情况下，进水悬浮物浓度为中（100～200mg/L）时，含水污泥产生系数为3.5吨/万吨污水量，则项目污水站产生的含水污泥量约为</w:t>
            </w:r>
            <w:r>
              <w:rPr>
                <w:rFonts w:hint="eastAsia" w:cs="Times New Roman"/>
                <w:color w:val="auto"/>
                <w:sz w:val="24"/>
                <w:highlight w:val="none"/>
                <w:lang w:val="en-US" w:eastAsia="zh-CN"/>
              </w:rPr>
              <w:t>3.24</w:t>
            </w:r>
            <w:r>
              <w:rPr>
                <w:rFonts w:hint="default" w:ascii="Times New Roman" w:hAnsi="Times New Roman" w:eastAsia="宋体" w:cs="Times New Roman"/>
                <w:color w:val="auto"/>
                <w:sz w:val="24"/>
                <w:highlight w:val="none"/>
                <w:lang w:val="en-US" w:eastAsia="zh-CN"/>
              </w:rPr>
              <w:t>t/a。本项目污水处理站运行过程中产生的污泥中因含有病原菌、病毒、有毒化学物等致害因素，根据《医疗废物分类目录》（卫医发〔2003〕287号），“感染性废物”中列有“其他被病人血液、体液、排泄物污染的物品”，因此医院污水处理产生的污泥属于医疗废物中的感染性废物。根据</w:t>
            </w:r>
            <w:r>
              <w:rPr>
                <w:rFonts w:hint="eastAsia" w:ascii="Times New Roman" w:hAnsi="Times New Roman" w:eastAsia="宋体" w:cs="Times New Roman"/>
                <w:color w:val="auto"/>
                <w:sz w:val="24"/>
                <w:highlight w:val="none"/>
                <w:lang w:val="en-US" w:eastAsia="zh-CN"/>
              </w:rPr>
              <w:t>生态环境部</w:t>
            </w:r>
            <w:r>
              <w:rPr>
                <w:rFonts w:hint="default" w:ascii="Times New Roman" w:hAnsi="Times New Roman" w:eastAsia="宋体" w:cs="Times New Roman"/>
                <w:color w:val="auto"/>
                <w:sz w:val="24"/>
                <w:highlight w:val="none"/>
                <w:lang w:val="en-US" w:eastAsia="zh-CN"/>
              </w:rPr>
              <w:t>部令第15号文《国家危险废物名录》（2021年），该医疗废物属于危险废物。</w:t>
            </w:r>
          </w:p>
          <w:p>
            <w:pPr>
              <w:widowControl/>
              <w:spacing w:line="360" w:lineRule="auto"/>
              <w:ind w:firstLine="480" w:firstLineChars="200"/>
              <w:jc w:val="left"/>
              <w:rPr>
                <w:rFonts w:hint="eastAsia" w:ascii="Times New Roman" w:hAnsi="Times New Roman" w:eastAsia="宋体" w:cs="Times New Roman"/>
                <w:color w:val="auto"/>
                <w:kern w:val="0"/>
                <w:sz w:val="24"/>
                <w:highlight w:val="none"/>
                <w:lang w:bidi="en-US"/>
              </w:rPr>
            </w:pPr>
            <w:r>
              <w:rPr>
                <w:rFonts w:hint="eastAsia" w:ascii="Times New Roman" w:hAnsi="Times New Roman" w:eastAsia="宋体" w:cs="Times New Roman"/>
                <w:color w:val="auto"/>
                <w:kern w:val="0"/>
                <w:sz w:val="24"/>
                <w:highlight w:val="none"/>
                <w:lang w:eastAsia="zh-CN" w:bidi="en-US"/>
              </w:rPr>
              <w:t>（</w:t>
            </w:r>
            <w:r>
              <w:rPr>
                <w:rFonts w:hint="eastAsia" w:ascii="Times New Roman" w:hAnsi="Times New Roman" w:eastAsia="宋体" w:cs="Times New Roman"/>
                <w:color w:val="auto"/>
                <w:kern w:val="0"/>
                <w:sz w:val="24"/>
                <w:highlight w:val="none"/>
                <w:lang w:val="en-US" w:eastAsia="zh-CN" w:bidi="en-US"/>
              </w:rPr>
              <w:t>4</w:t>
            </w:r>
            <w:r>
              <w:rPr>
                <w:rFonts w:hint="eastAsia" w:ascii="Times New Roman" w:hAnsi="Times New Roman" w:eastAsia="宋体" w:cs="Times New Roman"/>
                <w:color w:val="auto"/>
                <w:kern w:val="0"/>
                <w:sz w:val="24"/>
                <w:highlight w:val="none"/>
                <w:lang w:eastAsia="zh-CN" w:bidi="en-US"/>
              </w:rPr>
              <w:t>）</w:t>
            </w:r>
            <w:r>
              <w:rPr>
                <w:rFonts w:hint="eastAsia" w:ascii="Times New Roman" w:hAnsi="Times New Roman" w:eastAsia="宋体" w:cs="Times New Roman"/>
                <w:color w:val="auto"/>
                <w:kern w:val="0"/>
                <w:sz w:val="24"/>
                <w:highlight w:val="none"/>
                <w:lang w:bidi="en-US"/>
              </w:rPr>
              <w:t>除尘器收集的中药粉尘</w:t>
            </w:r>
          </w:p>
          <w:p>
            <w:pPr>
              <w:widowControl/>
              <w:spacing w:line="360" w:lineRule="auto"/>
              <w:ind w:firstLine="480" w:firstLineChars="200"/>
              <w:jc w:val="both"/>
              <w:rPr>
                <w:rFonts w:hint="eastAsia"/>
                <w:color w:val="auto"/>
              </w:rPr>
            </w:pPr>
            <w:r>
              <w:rPr>
                <w:rFonts w:hint="eastAsia" w:ascii="Times New Roman" w:hAnsi="Times New Roman" w:eastAsia="宋体" w:cs="Times New Roman"/>
                <w:color w:val="auto"/>
                <w:kern w:val="0"/>
                <w:sz w:val="24"/>
                <w:highlight w:val="none"/>
                <w:lang w:val="en-US" w:eastAsia="zh-CN" w:bidi="en-US"/>
              </w:rPr>
              <w:t>本项目在中药散剂及药物制剂粉磨工序会产生粉尘，根据调查，粉尘的产生量约为原料用量的5%，本项目中药散剂10.5t/a，共10.5t/a，则本项目粉尘产生量为0.525t/a，项目购置小型一体化中药粉磨机，拥有全密闭式粉磨仓，打粉时无粉尘外溢，在开盖及倾倒中药粉末时会有粉尘产生，设备自带粉尘收集箱，内置布袋除尘器（除尘效率99%），粉尘的</w:t>
            </w:r>
            <w:r>
              <w:rPr>
                <w:rFonts w:hint="eastAsia" w:cs="Times New Roman"/>
                <w:color w:val="auto"/>
                <w:kern w:val="0"/>
                <w:sz w:val="24"/>
                <w:highlight w:val="none"/>
                <w:lang w:val="en-US" w:eastAsia="zh-CN" w:bidi="en-US"/>
              </w:rPr>
              <w:t>收集量为0.52</w:t>
            </w:r>
            <w:r>
              <w:rPr>
                <w:rFonts w:hint="eastAsia" w:ascii="Times New Roman" w:hAnsi="Times New Roman" w:eastAsia="宋体" w:cs="Times New Roman"/>
                <w:color w:val="auto"/>
                <w:kern w:val="0"/>
                <w:sz w:val="24"/>
                <w:highlight w:val="none"/>
                <w:lang w:val="en-US" w:eastAsia="zh-CN" w:bidi="en-US"/>
              </w:rPr>
              <w:t>t/a</w:t>
            </w:r>
            <w:r>
              <w:rPr>
                <w:rFonts w:hint="eastAsia" w:cs="Times New Roman"/>
                <w:color w:val="auto"/>
                <w:kern w:val="0"/>
                <w:sz w:val="24"/>
                <w:highlight w:val="none"/>
                <w:lang w:val="en-US" w:eastAsia="zh-CN" w:bidi="en-US"/>
              </w:rPr>
              <w:t>，</w:t>
            </w:r>
            <w:r>
              <w:rPr>
                <w:rFonts w:hint="eastAsia" w:ascii="Times New Roman" w:hAnsi="Times New Roman" w:eastAsia="宋体" w:cs="Times New Roman"/>
                <w:color w:val="auto"/>
                <w:kern w:val="0"/>
                <w:sz w:val="24"/>
                <w:highlight w:val="none"/>
                <w:lang w:val="en-US" w:eastAsia="zh-CN" w:bidi="en-US"/>
              </w:rPr>
              <w:t>定期清理粉尘收集箱，交由环卫部门处理。</w:t>
            </w:r>
          </w:p>
          <w:p>
            <w:pPr>
              <w:widowControl/>
              <w:spacing w:line="360" w:lineRule="auto"/>
              <w:ind w:firstLine="480" w:firstLineChars="200"/>
              <w:jc w:val="left"/>
              <w:rPr>
                <w:rFonts w:hint="eastAsia" w:ascii="Times New Roman" w:hAnsi="Times New Roman" w:eastAsia="宋体" w:cs="Times New Roman"/>
                <w:color w:val="auto"/>
                <w:kern w:val="0"/>
                <w:sz w:val="24"/>
                <w:highlight w:val="none"/>
                <w:lang w:eastAsia="zh-CN" w:bidi="en-US"/>
              </w:rPr>
            </w:pPr>
            <w:r>
              <w:rPr>
                <w:rFonts w:hint="eastAsia" w:ascii="Times New Roman" w:hAnsi="Times New Roman" w:eastAsia="宋体" w:cs="Times New Roman"/>
                <w:color w:val="auto"/>
                <w:kern w:val="0"/>
                <w:sz w:val="24"/>
                <w:highlight w:val="none"/>
                <w:lang w:eastAsia="zh-CN" w:bidi="en-US"/>
              </w:rPr>
              <w:t>（</w:t>
            </w:r>
            <w:r>
              <w:rPr>
                <w:rFonts w:hint="eastAsia" w:ascii="Times New Roman" w:hAnsi="Times New Roman" w:eastAsia="宋体" w:cs="Times New Roman"/>
                <w:color w:val="auto"/>
                <w:kern w:val="0"/>
                <w:sz w:val="24"/>
                <w:highlight w:val="none"/>
                <w:lang w:val="en-US" w:eastAsia="zh-CN" w:bidi="en-US"/>
              </w:rPr>
              <w:t>5</w:t>
            </w:r>
            <w:r>
              <w:rPr>
                <w:rFonts w:hint="eastAsia" w:ascii="Times New Roman" w:hAnsi="Times New Roman" w:eastAsia="宋体" w:cs="Times New Roman"/>
                <w:color w:val="auto"/>
                <w:kern w:val="0"/>
                <w:sz w:val="24"/>
                <w:highlight w:val="none"/>
                <w:lang w:eastAsia="zh-CN" w:bidi="en-US"/>
              </w:rPr>
              <w:t>）</w:t>
            </w:r>
            <w:r>
              <w:rPr>
                <w:rFonts w:hint="default" w:ascii="Times New Roman" w:hAnsi="Times New Roman" w:eastAsia="宋体" w:cs="Times New Roman"/>
                <w:color w:val="auto"/>
                <w:kern w:val="0"/>
                <w:sz w:val="24"/>
                <w:highlight w:val="none"/>
                <w:lang w:bidi="en-US"/>
              </w:rPr>
              <w:t>化粪池</w:t>
            </w:r>
            <w:r>
              <w:rPr>
                <w:rFonts w:hint="eastAsia" w:ascii="Times New Roman" w:hAnsi="Times New Roman" w:eastAsia="宋体" w:cs="Times New Roman"/>
                <w:color w:val="auto"/>
                <w:kern w:val="0"/>
                <w:sz w:val="24"/>
                <w:highlight w:val="none"/>
                <w:lang w:eastAsia="zh-CN" w:bidi="en-US"/>
              </w:rPr>
              <w:t>产污系数</w:t>
            </w:r>
            <w:r>
              <w:rPr>
                <w:rFonts w:hint="eastAsia" w:ascii="Times New Roman" w:hAnsi="Times New Roman" w:eastAsia="宋体" w:cs="Times New Roman"/>
                <w:color w:val="auto"/>
                <w:kern w:val="0"/>
                <w:sz w:val="24"/>
                <w:highlight w:val="none"/>
                <w:lang w:val="en-US" w:eastAsia="zh-CN" w:bidi="en-US"/>
              </w:rPr>
              <w:t>150g/人</w:t>
            </w:r>
            <w:r>
              <w:rPr>
                <w:rFonts w:hint="default" w:ascii="Times New Roman" w:hAnsi="Times New Roman" w:eastAsia="宋体" w:cs="Times New Roman"/>
                <w:color w:val="auto"/>
                <w:kern w:val="0"/>
                <w:sz w:val="24"/>
                <w:highlight w:val="none"/>
                <w:lang w:bidi="en-US"/>
              </w:rPr>
              <w:t>·d</w:t>
            </w:r>
            <w:r>
              <w:rPr>
                <w:rFonts w:hint="eastAsia" w:ascii="Times New Roman" w:hAnsi="Times New Roman" w:eastAsia="宋体" w:cs="Times New Roman"/>
                <w:color w:val="auto"/>
                <w:kern w:val="0"/>
                <w:sz w:val="24"/>
                <w:highlight w:val="none"/>
                <w:lang w:eastAsia="zh-CN" w:bidi="en-US"/>
              </w:rPr>
              <w:t>，可产生湿污泥</w:t>
            </w:r>
            <w:r>
              <w:rPr>
                <w:rFonts w:hint="eastAsia" w:ascii="Times New Roman" w:hAnsi="Times New Roman" w:eastAsia="宋体" w:cs="Times New Roman"/>
                <w:color w:val="auto"/>
                <w:kern w:val="0"/>
                <w:sz w:val="24"/>
                <w:highlight w:val="none"/>
                <w:lang w:val="en-US" w:eastAsia="zh-CN" w:bidi="en-US"/>
              </w:rPr>
              <w:t>39.42t/a，</w:t>
            </w:r>
            <w:r>
              <w:rPr>
                <w:rFonts w:hint="default" w:ascii="Times New Roman" w:hAnsi="Times New Roman" w:eastAsia="宋体" w:cs="Times New Roman"/>
                <w:color w:val="auto"/>
                <w:kern w:val="0"/>
                <w:sz w:val="24"/>
                <w:highlight w:val="none"/>
                <w:lang w:bidi="en-US"/>
              </w:rPr>
              <w:t>干化污泥(以含水率60%计)</w:t>
            </w:r>
            <w:r>
              <w:rPr>
                <w:rFonts w:hint="eastAsia" w:ascii="Times New Roman" w:hAnsi="Times New Roman" w:eastAsia="宋体" w:cs="Times New Roman"/>
                <w:color w:val="auto"/>
                <w:kern w:val="0"/>
                <w:sz w:val="24"/>
                <w:highlight w:val="none"/>
                <w:lang w:val="en-US" w:eastAsia="zh-CN" w:bidi="en-US"/>
              </w:rPr>
              <w:t>23.652t。经处理后加石灰消毒，</w:t>
            </w:r>
            <w:r>
              <w:rPr>
                <w:rFonts w:hint="eastAsia" w:ascii="Times New Roman" w:hAnsi="Times New Roman" w:eastAsia="宋体" w:cs="Times New Roman"/>
                <w:color w:val="auto"/>
                <w:kern w:val="0"/>
                <w:sz w:val="24"/>
                <w:highlight w:val="none"/>
                <w:lang w:eastAsia="zh-CN" w:bidi="en-US"/>
              </w:rPr>
              <w:t>达到</w:t>
            </w:r>
            <w:r>
              <w:rPr>
                <w:rFonts w:hint="default" w:ascii="Times New Roman" w:hAnsi="Times New Roman" w:eastAsia="宋体" w:cs="Times New Roman"/>
                <w:color w:val="auto"/>
                <w:kern w:val="0"/>
                <w:sz w:val="24"/>
                <w:highlight w:val="none"/>
                <w:lang w:bidi="en-US"/>
              </w:rPr>
              <w:t>《医疗机构水污染物排放标准》(GB18466-2005)表4医疗机构污泥控制标准</w:t>
            </w:r>
            <w:r>
              <w:rPr>
                <w:rFonts w:hint="eastAsia" w:ascii="Times New Roman" w:hAnsi="Times New Roman" w:eastAsia="宋体" w:cs="Times New Roman"/>
                <w:color w:val="auto"/>
                <w:kern w:val="0"/>
                <w:sz w:val="24"/>
                <w:highlight w:val="none"/>
                <w:lang w:eastAsia="zh-CN" w:bidi="en-US"/>
              </w:rPr>
              <w:t>，</w:t>
            </w:r>
            <w:r>
              <w:rPr>
                <w:rFonts w:hint="default" w:ascii="Times New Roman" w:hAnsi="Times New Roman" w:eastAsia="宋体" w:cs="Times New Roman"/>
                <w:color w:val="auto"/>
                <w:kern w:val="0"/>
                <w:sz w:val="24"/>
                <w:highlight w:val="none"/>
                <w:lang w:bidi="en-US"/>
              </w:rPr>
              <w:t>装入防渗桶中，暂存于</w:t>
            </w:r>
            <w:r>
              <w:rPr>
                <w:rFonts w:hint="eastAsia" w:cs="Times New Roman"/>
                <w:color w:val="auto"/>
                <w:kern w:val="0"/>
                <w:sz w:val="24"/>
                <w:highlight w:val="none"/>
                <w:lang w:val="en-US" w:eastAsia="zh-CN" w:bidi="en-US"/>
              </w:rPr>
              <w:t>危险废物</w:t>
            </w:r>
            <w:r>
              <w:rPr>
                <w:rFonts w:hint="default" w:ascii="Times New Roman" w:hAnsi="Times New Roman" w:eastAsia="宋体" w:cs="Times New Roman"/>
                <w:color w:val="auto"/>
                <w:kern w:val="0"/>
                <w:sz w:val="24"/>
                <w:highlight w:val="none"/>
                <w:lang w:bidi="en-US"/>
              </w:rPr>
              <w:t>暂存</w:t>
            </w:r>
            <w:r>
              <w:rPr>
                <w:rFonts w:hint="eastAsia" w:ascii="Times New Roman" w:hAnsi="Times New Roman" w:eastAsia="宋体" w:cs="Times New Roman"/>
                <w:color w:val="auto"/>
                <w:kern w:val="0"/>
                <w:sz w:val="24"/>
                <w:highlight w:val="none"/>
                <w:lang w:eastAsia="zh-CN" w:bidi="en-US"/>
              </w:rPr>
              <w:t>间</w:t>
            </w:r>
            <w:r>
              <w:rPr>
                <w:rFonts w:hint="default" w:ascii="Times New Roman" w:hAnsi="Times New Roman" w:eastAsia="宋体" w:cs="Times New Roman"/>
                <w:color w:val="auto"/>
                <w:kern w:val="0"/>
                <w:sz w:val="24"/>
                <w:highlight w:val="none"/>
                <w:lang w:bidi="en-US"/>
              </w:rPr>
              <w:t>，交由</w:t>
            </w:r>
            <w:r>
              <w:rPr>
                <w:rFonts w:hint="eastAsia" w:ascii="Times New Roman" w:hAnsi="Times New Roman" w:eastAsia="宋体" w:cs="Times New Roman"/>
                <w:color w:val="auto"/>
                <w:kern w:val="0"/>
                <w:sz w:val="24"/>
                <w:highlight w:val="none"/>
                <w:lang w:eastAsia="zh-CN" w:bidi="en-US"/>
              </w:rPr>
              <w:t>有资质的单位</w:t>
            </w:r>
            <w:r>
              <w:rPr>
                <w:rFonts w:hint="default" w:ascii="Times New Roman" w:hAnsi="Times New Roman" w:eastAsia="宋体" w:cs="Times New Roman"/>
                <w:color w:val="auto"/>
                <w:kern w:val="0"/>
                <w:sz w:val="24"/>
                <w:highlight w:val="none"/>
                <w:lang w:bidi="en-US"/>
              </w:rPr>
              <w:t>处置</w:t>
            </w:r>
            <w:r>
              <w:rPr>
                <w:rFonts w:hint="eastAsia" w:ascii="Times New Roman" w:hAnsi="Times New Roman" w:eastAsia="宋体" w:cs="Times New Roman"/>
                <w:color w:val="auto"/>
                <w:kern w:val="0"/>
                <w:sz w:val="24"/>
                <w:highlight w:val="none"/>
                <w:lang w:eastAsia="zh-CN" w:bidi="en-US"/>
              </w:rPr>
              <w:t>。</w:t>
            </w:r>
          </w:p>
          <w:p>
            <w:pPr>
              <w:widowControl/>
              <w:spacing w:line="360" w:lineRule="auto"/>
              <w:ind w:firstLine="480" w:firstLineChars="200"/>
              <w:jc w:val="left"/>
              <w:rPr>
                <w:rFonts w:hint="eastAsia" w:ascii="Times New Roman" w:hAnsi="Times New Roman" w:eastAsia="宋体" w:cs="Times New Roman"/>
                <w:color w:val="auto"/>
                <w:kern w:val="0"/>
                <w:sz w:val="24"/>
                <w:highlight w:val="none"/>
                <w:lang w:eastAsia="zh-CN" w:bidi="en-US"/>
              </w:rPr>
            </w:pPr>
            <w:r>
              <w:rPr>
                <w:rFonts w:hint="eastAsia" w:ascii="Times New Roman" w:hAnsi="Times New Roman" w:eastAsia="宋体" w:cs="Times New Roman"/>
                <w:color w:val="auto"/>
                <w:kern w:val="0"/>
                <w:sz w:val="24"/>
                <w:highlight w:val="none"/>
                <w:lang w:eastAsia="zh-CN" w:bidi="en-US"/>
              </w:rPr>
              <w:t>（</w:t>
            </w:r>
            <w:r>
              <w:rPr>
                <w:rFonts w:hint="eastAsia" w:ascii="Times New Roman" w:hAnsi="Times New Roman" w:eastAsia="宋体" w:cs="Times New Roman"/>
                <w:color w:val="auto"/>
                <w:kern w:val="0"/>
                <w:sz w:val="24"/>
                <w:highlight w:val="none"/>
                <w:lang w:val="en-US" w:eastAsia="zh-CN" w:bidi="en-US"/>
              </w:rPr>
              <w:t>6</w:t>
            </w:r>
            <w:r>
              <w:rPr>
                <w:rFonts w:hint="eastAsia" w:ascii="Times New Roman" w:hAnsi="Times New Roman" w:eastAsia="宋体" w:cs="Times New Roman"/>
                <w:color w:val="auto"/>
                <w:kern w:val="0"/>
                <w:sz w:val="24"/>
                <w:highlight w:val="none"/>
                <w:lang w:eastAsia="zh-CN" w:bidi="en-US"/>
              </w:rPr>
              <w:t>）栅渣按照0.1m</w:t>
            </w:r>
            <w:r>
              <w:rPr>
                <w:rFonts w:hint="eastAsia" w:ascii="Times New Roman" w:hAnsi="Times New Roman" w:eastAsia="宋体" w:cs="Times New Roman"/>
                <w:color w:val="auto"/>
                <w:kern w:val="0"/>
                <w:sz w:val="24"/>
                <w:highlight w:val="none"/>
                <w:vertAlign w:val="superscript"/>
                <w:lang w:eastAsia="zh-CN" w:bidi="en-US"/>
              </w:rPr>
              <w:t>3</w:t>
            </w:r>
            <w:r>
              <w:rPr>
                <w:rFonts w:hint="eastAsia" w:ascii="Times New Roman" w:hAnsi="Times New Roman" w:eastAsia="宋体" w:cs="Times New Roman"/>
                <w:color w:val="auto"/>
                <w:kern w:val="0"/>
                <w:sz w:val="24"/>
                <w:highlight w:val="none"/>
                <w:lang w:eastAsia="zh-CN" w:bidi="en-US"/>
              </w:rPr>
              <w:t>/1000m</w:t>
            </w:r>
            <w:r>
              <w:rPr>
                <w:rFonts w:hint="eastAsia" w:ascii="Times New Roman" w:hAnsi="Times New Roman" w:eastAsia="宋体" w:cs="Times New Roman"/>
                <w:color w:val="auto"/>
                <w:kern w:val="0"/>
                <w:sz w:val="24"/>
                <w:highlight w:val="none"/>
                <w:vertAlign w:val="superscript"/>
                <w:lang w:eastAsia="zh-CN" w:bidi="en-US"/>
              </w:rPr>
              <w:t>3</w:t>
            </w:r>
            <w:r>
              <w:rPr>
                <w:rFonts w:hint="eastAsia" w:ascii="Times New Roman" w:hAnsi="Times New Roman" w:eastAsia="宋体" w:cs="Times New Roman"/>
                <w:color w:val="auto"/>
                <w:kern w:val="0"/>
                <w:sz w:val="24"/>
                <w:highlight w:val="none"/>
                <w:lang w:eastAsia="zh-CN" w:bidi="en-US"/>
              </w:rPr>
              <w:t>污水，容重750kg/</w:t>
            </w:r>
            <w:r>
              <w:rPr>
                <w:rFonts w:hint="eastAsia" w:ascii="Times New Roman" w:hAnsi="Times New Roman" w:eastAsia="宋体" w:cs="Times New Roman"/>
                <w:color w:val="auto"/>
                <w:kern w:val="0"/>
                <w:sz w:val="24"/>
                <w:highlight w:val="none"/>
                <w:lang w:val="en-US" w:eastAsia="zh-CN" w:bidi="en-US"/>
              </w:rPr>
              <w:t>m</w:t>
            </w:r>
            <w:r>
              <w:rPr>
                <w:rFonts w:hint="eastAsia" w:ascii="Times New Roman" w:hAnsi="Times New Roman" w:eastAsia="宋体" w:cs="Times New Roman"/>
                <w:color w:val="auto"/>
                <w:kern w:val="0"/>
                <w:sz w:val="24"/>
                <w:highlight w:val="none"/>
                <w:vertAlign w:val="superscript"/>
                <w:lang w:val="en-US" w:eastAsia="zh-CN" w:bidi="en-US"/>
              </w:rPr>
              <w:t>3</w:t>
            </w:r>
            <w:r>
              <w:rPr>
                <w:rFonts w:hint="eastAsia" w:ascii="Times New Roman" w:hAnsi="Times New Roman" w:eastAsia="宋体" w:cs="Times New Roman"/>
                <w:color w:val="auto"/>
                <w:kern w:val="0"/>
                <w:sz w:val="24"/>
                <w:highlight w:val="none"/>
                <w:lang w:eastAsia="zh-CN" w:bidi="en-US"/>
              </w:rPr>
              <w:t>计算，产生量为</w:t>
            </w:r>
            <w:r>
              <w:rPr>
                <w:rFonts w:hint="eastAsia" w:ascii="Times New Roman" w:hAnsi="Times New Roman" w:eastAsia="宋体" w:cs="Times New Roman"/>
                <w:color w:val="auto"/>
                <w:kern w:val="0"/>
                <w:sz w:val="24"/>
                <w:highlight w:val="none"/>
                <w:lang w:val="en-US" w:eastAsia="zh-CN" w:bidi="en-US"/>
              </w:rPr>
              <w:t>1.</w:t>
            </w:r>
            <w:r>
              <w:rPr>
                <w:rFonts w:hint="eastAsia" w:cs="Times New Roman"/>
                <w:color w:val="auto"/>
                <w:kern w:val="0"/>
                <w:sz w:val="24"/>
                <w:highlight w:val="none"/>
                <w:lang w:val="en-US" w:eastAsia="zh-CN" w:bidi="en-US"/>
              </w:rPr>
              <w:t>013</w:t>
            </w:r>
            <w:r>
              <w:rPr>
                <w:rFonts w:hint="eastAsia" w:ascii="Times New Roman" w:hAnsi="Times New Roman" w:eastAsia="宋体" w:cs="Times New Roman"/>
                <w:color w:val="auto"/>
                <w:kern w:val="0"/>
                <w:sz w:val="24"/>
                <w:highlight w:val="none"/>
                <w:lang w:val="en-US" w:eastAsia="zh-CN" w:bidi="en-US"/>
              </w:rPr>
              <w:t>t，经处理后加石灰消毒，</w:t>
            </w:r>
            <w:r>
              <w:rPr>
                <w:rFonts w:hint="eastAsia" w:ascii="Times New Roman" w:hAnsi="Times New Roman" w:eastAsia="宋体" w:cs="Times New Roman"/>
                <w:color w:val="auto"/>
                <w:kern w:val="0"/>
                <w:sz w:val="24"/>
                <w:highlight w:val="none"/>
                <w:lang w:eastAsia="zh-CN" w:bidi="en-US"/>
              </w:rPr>
              <w:t>达到《医疗机构水污染物排放标准》(GB18466-2005)表4医疗机构污泥控制标准，装入防渗桶中，暂存于</w:t>
            </w:r>
            <w:r>
              <w:rPr>
                <w:rFonts w:hint="eastAsia" w:cs="Times New Roman"/>
                <w:color w:val="auto"/>
                <w:kern w:val="0"/>
                <w:sz w:val="24"/>
                <w:highlight w:val="none"/>
                <w:lang w:val="en-US" w:eastAsia="zh-CN" w:bidi="en-US"/>
              </w:rPr>
              <w:t>危险废物</w:t>
            </w:r>
            <w:r>
              <w:rPr>
                <w:rFonts w:hint="eastAsia" w:ascii="Times New Roman" w:hAnsi="Times New Roman" w:eastAsia="宋体" w:cs="Times New Roman"/>
                <w:color w:val="auto"/>
                <w:kern w:val="0"/>
                <w:sz w:val="24"/>
                <w:highlight w:val="none"/>
                <w:lang w:eastAsia="zh-CN" w:bidi="en-US"/>
              </w:rPr>
              <w:t>暂存间，交由有资质的单位处置。</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en-US"/>
              </w:rPr>
            </w:pPr>
            <w:r>
              <w:rPr>
                <w:rFonts w:hint="eastAsia" w:ascii="Times New Roman" w:hAnsi="Times New Roman" w:eastAsia="宋体" w:cs="Times New Roman"/>
                <w:color w:val="auto"/>
                <w:kern w:val="0"/>
                <w:sz w:val="24"/>
                <w:szCs w:val="24"/>
                <w:highlight w:val="none"/>
                <w:lang w:val="en-US" w:eastAsia="zh-CN" w:bidi="en-US"/>
              </w:rPr>
              <w:t>（7）</w:t>
            </w:r>
            <w:r>
              <w:rPr>
                <w:rFonts w:hint="eastAsia" w:ascii="Times New Roman" w:hAnsi="Times New Roman" w:cs="Times New Roman"/>
                <w:color w:val="auto"/>
                <w:sz w:val="24"/>
                <w:highlight w:val="none"/>
                <w:lang w:val="en-US" w:eastAsia="zh-CN"/>
              </w:rPr>
              <w:t>项目集气罩后方安装</w:t>
            </w:r>
            <w:r>
              <w:rPr>
                <w:rFonts w:hint="eastAsia" w:ascii="Times New Roman" w:hAnsi="Times New Roman" w:cs="Times New Roman"/>
                <w:color w:val="auto"/>
                <w:sz w:val="24"/>
                <w:highlight w:val="none"/>
              </w:rPr>
              <w:t>活性炭吸附箱</w:t>
            </w:r>
            <w:r>
              <w:rPr>
                <w:rFonts w:hint="eastAsia" w:ascii="Times New Roman" w:hAnsi="Times New Roman" w:cs="Times New Roman"/>
                <w:color w:val="auto"/>
                <w:sz w:val="24"/>
                <w:highlight w:val="none"/>
                <w:lang w:val="en-US" w:eastAsia="zh-CN"/>
              </w:rPr>
              <w:t>，</w:t>
            </w:r>
            <w:r>
              <w:rPr>
                <w:rFonts w:hint="eastAsia" w:ascii="Times New Roman" w:hAnsi="Times New Roman" w:cs="Times New Roman"/>
                <w:color w:val="auto"/>
                <w:sz w:val="24"/>
                <w:highlight w:val="none"/>
              </w:rPr>
              <w:t>中药异味经活性炭吸附</w:t>
            </w:r>
            <w:r>
              <w:rPr>
                <w:rFonts w:hint="eastAsia" w:ascii="Times New Roman" w:hAnsi="Times New Roman" w:cs="Times New Roman"/>
                <w:color w:val="auto"/>
                <w:sz w:val="24"/>
                <w:highlight w:val="none"/>
                <w:lang w:val="en-US" w:eastAsia="zh-CN"/>
              </w:rPr>
              <w:t>后以无组织形式排放。</w:t>
            </w:r>
            <w:r>
              <w:rPr>
                <w:rFonts w:hint="eastAsia" w:ascii="Times New Roman" w:hAnsi="Times New Roman" w:eastAsia="宋体" w:cs="Times New Roman"/>
                <w:bCs/>
                <w:color w:val="auto"/>
                <w:kern w:val="0"/>
                <w:sz w:val="24"/>
                <w:szCs w:val="24"/>
                <w:highlight w:val="none"/>
                <w:lang w:val="en-US" w:eastAsia="zh-CN" w:bidi="en-US"/>
              </w:rPr>
              <w:t>该活性炭箱需</w:t>
            </w:r>
            <w:r>
              <w:rPr>
                <w:rFonts w:hint="eastAsia" w:cs="Times New Roman"/>
                <w:bCs/>
                <w:color w:val="auto"/>
                <w:kern w:val="0"/>
                <w:sz w:val="24"/>
                <w:szCs w:val="24"/>
                <w:highlight w:val="none"/>
                <w:lang w:val="en-US" w:eastAsia="zh-CN" w:bidi="en-US"/>
              </w:rPr>
              <w:t>一季度</w:t>
            </w:r>
            <w:r>
              <w:rPr>
                <w:rFonts w:hint="eastAsia" w:ascii="Times New Roman" w:hAnsi="Times New Roman" w:eastAsia="宋体" w:cs="Times New Roman"/>
                <w:bCs/>
                <w:color w:val="auto"/>
                <w:kern w:val="0"/>
                <w:sz w:val="24"/>
                <w:szCs w:val="24"/>
                <w:highlight w:val="none"/>
                <w:lang w:val="en-US" w:eastAsia="zh-CN" w:bidi="en-US"/>
              </w:rPr>
              <w:t>更换一次。</w:t>
            </w:r>
            <w:r>
              <w:rPr>
                <w:rFonts w:hint="eastAsia" w:cs="Times New Roman"/>
                <w:color w:val="auto"/>
                <w:sz w:val="24"/>
                <w:highlight w:val="none"/>
                <w:lang w:val="en-US" w:eastAsia="zh-CN"/>
              </w:rPr>
              <w:t>房间内安装</w:t>
            </w:r>
            <w:r>
              <w:rPr>
                <w:rFonts w:hint="eastAsia" w:ascii="Times New Roman" w:hAnsi="Times New Roman" w:eastAsia="宋体" w:cs="Times New Roman"/>
                <w:color w:val="auto"/>
                <w:sz w:val="24"/>
                <w:highlight w:val="none"/>
              </w:rPr>
              <w:t>空调换气系统</w:t>
            </w:r>
            <w:r>
              <w:rPr>
                <w:rFonts w:hint="eastAsia" w:eastAsia="宋体" w:cs="Times New Roman"/>
                <w:color w:val="auto"/>
                <w:sz w:val="24"/>
                <w:highlight w:val="none"/>
                <w:lang w:eastAsia="zh-CN"/>
              </w:rPr>
              <w:t>。</w:t>
            </w:r>
            <w:r>
              <w:rPr>
                <w:rFonts w:hint="eastAsia" w:ascii="Times New Roman" w:hAnsi="Times New Roman" w:eastAsia="宋体" w:cs="Times New Roman"/>
                <w:color w:val="auto"/>
                <w:kern w:val="0"/>
                <w:sz w:val="24"/>
                <w:szCs w:val="24"/>
                <w:highlight w:val="none"/>
                <w:lang w:val="en-US" w:eastAsia="zh-CN" w:bidi="en-US"/>
              </w:rPr>
              <w:t>活性炭吸附箱用于吸附中药煎煮</w:t>
            </w:r>
            <w:r>
              <w:rPr>
                <w:rFonts w:hint="eastAsia" w:cs="Times New Roman"/>
                <w:color w:val="auto"/>
                <w:kern w:val="0"/>
                <w:sz w:val="24"/>
                <w:szCs w:val="24"/>
                <w:highlight w:val="none"/>
                <w:lang w:val="en-US" w:eastAsia="zh-CN" w:bidi="en-US"/>
              </w:rPr>
              <w:t>、</w:t>
            </w:r>
            <w:r>
              <w:rPr>
                <w:rFonts w:hint="eastAsia" w:ascii="Times New Roman" w:hAnsi="Times New Roman" w:eastAsia="宋体" w:cs="Times New Roman"/>
                <w:color w:val="auto"/>
                <w:kern w:val="0"/>
                <w:sz w:val="24"/>
                <w:szCs w:val="24"/>
                <w:highlight w:val="none"/>
                <w:lang w:val="en-US" w:eastAsia="zh-CN" w:bidi="en-US"/>
              </w:rPr>
              <w:t>中药制剂产生的异味，该活性炭箱需</w:t>
            </w:r>
            <w:r>
              <w:rPr>
                <w:rFonts w:hint="eastAsia" w:cs="Times New Roman"/>
                <w:color w:val="auto"/>
                <w:kern w:val="0"/>
                <w:sz w:val="24"/>
                <w:szCs w:val="24"/>
                <w:highlight w:val="none"/>
                <w:lang w:val="en-US" w:eastAsia="zh-CN" w:bidi="en-US"/>
              </w:rPr>
              <w:t>一季度</w:t>
            </w:r>
            <w:r>
              <w:rPr>
                <w:rFonts w:hint="eastAsia" w:ascii="Times New Roman" w:hAnsi="Times New Roman" w:eastAsia="宋体" w:cs="Times New Roman"/>
                <w:color w:val="auto"/>
                <w:kern w:val="0"/>
                <w:sz w:val="24"/>
                <w:szCs w:val="24"/>
                <w:highlight w:val="none"/>
                <w:lang w:val="en-US" w:eastAsia="zh-CN" w:bidi="en-US"/>
              </w:rPr>
              <w:t>更换一次，每次更换30kg。因项目中药提取工序采用水提，不使用有机溶剂，因此更换下的废活性炭属于一般固体废弃物，交由活性炭厂家回收处置。</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en-US"/>
              </w:rPr>
            </w:pPr>
            <w:r>
              <w:rPr>
                <w:rFonts w:hint="eastAsia" w:ascii="Times New Roman" w:hAnsi="Times New Roman" w:eastAsia="宋体" w:cs="Times New Roman"/>
                <w:color w:val="auto"/>
                <w:kern w:val="0"/>
                <w:sz w:val="24"/>
                <w:szCs w:val="24"/>
                <w:highlight w:val="none"/>
                <w:lang w:val="en-US" w:eastAsia="zh-CN" w:bidi="en-US"/>
              </w:rPr>
              <w:t>（8）废包装物，项目产生的废包装材料约0.2t/a，经垃圾桶收集后，定期由环卫部门处置。</w:t>
            </w:r>
          </w:p>
          <w:p>
            <w:pPr>
              <w:adjustRightInd w:val="0"/>
              <w:snapToGrid w:val="0"/>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en-US"/>
              </w:rPr>
            </w:pPr>
            <w:r>
              <w:rPr>
                <w:rFonts w:hint="eastAsia" w:ascii="Times New Roman" w:hAnsi="Times New Roman" w:eastAsia="宋体" w:cs="Times New Roman"/>
                <w:color w:val="auto"/>
                <w:kern w:val="0"/>
                <w:sz w:val="24"/>
                <w:szCs w:val="24"/>
                <w:highlight w:val="none"/>
                <w:lang w:val="en-US" w:eastAsia="zh-CN" w:bidi="en-US"/>
              </w:rPr>
              <w:t>（9）项目煎药会产生中药渣，中药渣含有一定的水分，以中药压虑后含水15%计，项目煎药中药的用量为40t，则中药渣产生量为46t/a。中药渣由垃圾桶收集，定期交由环卫部门处置。</w:t>
            </w:r>
          </w:p>
          <w:p>
            <w:pPr>
              <w:adjustRightInd w:val="0"/>
              <w:snapToGrid w:val="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表4-1</w:t>
            </w:r>
            <w:r>
              <w:rPr>
                <w:rFonts w:hint="eastAsia" w:cs="Times New Roman"/>
                <w:b/>
                <w:color w:val="auto"/>
                <w:sz w:val="24"/>
                <w:szCs w:val="24"/>
                <w:highlight w:val="none"/>
                <w:lang w:val="en-US" w:eastAsia="zh-CN"/>
              </w:rPr>
              <w:t>4</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固废产生情况一览表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87"/>
              <w:gridCol w:w="817"/>
              <w:gridCol w:w="900"/>
              <w:gridCol w:w="1682"/>
              <w:gridCol w:w="1401"/>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83"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482"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名称</w:t>
                  </w:r>
                </w:p>
              </w:tc>
              <w:tc>
                <w:tcPr>
                  <w:tcW w:w="531"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排放量t/a</w:t>
                  </w:r>
                </w:p>
              </w:tc>
              <w:tc>
                <w:tcPr>
                  <w:tcW w:w="993"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固废性质</w:t>
                  </w:r>
                </w:p>
              </w:tc>
              <w:tc>
                <w:tcPr>
                  <w:tcW w:w="827"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代码</w:t>
                  </w:r>
                </w:p>
              </w:tc>
              <w:tc>
                <w:tcPr>
                  <w:tcW w:w="1580"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处置方法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583"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482"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感染性废物</w:t>
                  </w:r>
                </w:p>
              </w:tc>
              <w:tc>
                <w:tcPr>
                  <w:tcW w:w="531"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34.5</w:t>
                  </w:r>
                </w:p>
              </w:tc>
              <w:tc>
                <w:tcPr>
                  <w:tcW w:w="993" w:type="pct"/>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危险废物</w:t>
                  </w:r>
                </w:p>
              </w:tc>
              <w:tc>
                <w:tcPr>
                  <w:tcW w:w="827"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841-001-01</w:t>
                  </w:r>
                </w:p>
              </w:tc>
              <w:tc>
                <w:tcPr>
                  <w:tcW w:w="1580" w:type="pct"/>
                  <w:vMerge w:val="restart"/>
                  <w:noWrap w:val="0"/>
                  <w:vAlign w:val="center"/>
                </w:tcPr>
                <w:p>
                  <w:pP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分置于防渗漏、防锐器穿透的专用包装物或者密闭的容器内，暂存于</w:t>
                  </w:r>
                  <w:r>
                    <w:rPr>
                      <w:rFonts w:hint="eastAsia" w:cs="Times New Roman"/>
                      <w:color w:val="auto"/>
                      <w:sz w:val="21"/>
                      <w:szCs w:val="21"/>
                      <w:vertAlign w:val="baseline"/>
                      <w:lang w:val="en-US" w:eastAsia="zh-CN"/>
                    </w:rPr>
                    <w:t>危险</w:t>
                  </w:r>
                  <w:r>
                    <w:rPr>
                      <w:rFonts w:hint="default" w:ascii="Times New Roman" w:hAnsi="Times New Roman" w:eastAsia="宋体" w:cs="Times New Roman"/>
                      <w:color w:val="auto"/>
                      <w:sz w:val="21"/>
                      <w:szCs w:val="21"/>
                      <w:vertAlign w:val="baseline"/>
                      <w:lang w:val="en-US" w:eastAsia="zh-CN"/>
                    </w:rPr>
                    <w:t>废物暂存间</w:t>
                  </w:r>
                  <w:r>
                    <w:rPr>
                      <w:rFonts w:hint="default" w:ascii="Times New Roman" w:hAnsi="Times New Roman" w:cs="Times New Roman"/>
                      <w:color w:val="auto"/>
                      <w:szCs w:val="21"/>
                      <w:highlight w:val="none"/>
                    </w:rPr>
                    <w:t>，委托有资质单位定期处理</w:t>
                  </w:r>
                  <w:r>
                    <w:rPr>
                      <w:rFonts w:hint="eastAsia" w:cs="Times New Roman"/>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83"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482"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病理性废物</w:t>
                  </w:r>
                </w:p>
              </w:tc>
              <w:tc>
                <w:tcPr>
                  <w:tcW w:w="531"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38</w:t>
                  </w:r>
                </w:p>
              </w:tc>
              <w:tc>
                <w:tcPr>
                  <w:tcW w:w="993" w:type="pct"/>
                  <w:vMerge w:val="continue"/>
                  <w:noWrap w:val="0"/>
                  <w:vAlign w:val="center"/>
                </w:tcPr>
                <w:p>
                  <w:pPr>
                    <w:jc w:val="center"/>
                    <w:rPr>
                      <w:rFonts w:hint="default" w:ascii="Times New Roman" w:hAnsi="Times New Roman" w:cs="Times New Roman"/>
                      <w:color w:val="auto"/>
                      <w:szCs w:val="21"/>
                      <w:highlight w:val="none"/>
                    </w:rPr>
                  </w:pPr>
                </w:p>
              </w:tc>
              <w:tc>
                <w:tcPr>
                  <w:tcW w:w="827"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841-003-01</w:t>
                  </w:r>
                </w:p>
              </w:tc>
              <w:tc>
                <w:tcPr>
                  <w:tcW w:w="1580" w:type="pct"/>
                  <w:vMerge w:val="continue"/>
                  <w:noWrap w:val="0"/>
                  <w:vAlign w:val="center"/>
                </w:tcPr>
                <w:p>
                  <w:pP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83"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482"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损伤性废物</w:t>
                  </w:r>
                </w:p>
              </w:tc>
              <w:tc>
                <w:tcPr>
                  <w:tcW w:w="531"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36.525</w:t>
                  </w:r>
                </w:p>
              </w:tc>
              <w:tc>
                <w:tcPr>
                  <w:tcW w:w="993" w:type="pct"/>
                  <w:vMerge w:val="continue"/>
                  <w:noWrap w:val="0"/>
                  <w:vAlign w:val="center"/>
                </w:tcPr>
                <w:p>
                  <w:pPr>
                    <w:jc w:val="center"/>
                    <w:rPr>
                      <w:rFonts w:hint="default" w:ascii="Times New Roman" w:hAnsi="Times New Roman" w:cs="Times New Roman"/>
                      <w:color w:val="auto"/>
                      <w:szCs w:val="21"/>
                      <w:highlight w:val="none"/>
                    </w:rPr>
                  </w:pPr>
                </w:p>
              </w:tc>
              <w:tc>
                <w:tcPr>
                  <w:tcW w:w="827"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841-002-01</w:t>
                  </w:r>
                </w:p>
              </w:tc>
              <w:tc>
                <w:tcPr>
                  <w:tcW w:w="1580" w:type="pct"/>
                  <w:vMerge w:val="continue"/>
                  <w:noWrap w:val="0"/>
                  <w:vAlign w:val="center"/>
                </w:tcPr>
                <w:p>
                  <w:pP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83"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482"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药物性废物</w:t>
                  </w:r>
                </w:p>
              </w:tc>
              <w:tc>
                <w:tcPr>
                  <w:tcW w:w="531"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4.7</w:t>
                  </w:r>
                </w:p>
              </w:tc>
              <w:tc>
                <w:tcPr>
                  <w:tcW w:w="993" w:type="pct"/>
                  <w:vMerge w:val="continue"/>
                  <w:noWrap w:val="0"/>
                  <w:vAlign w:val="center"/>
                </w:tcPr>
                <w:p>
                  <w:pPr>
                    <w:jc w:val="center"/>
                    <w:rPr>
                      <w:rFonts w:hint="default" w:ascii="Times New Roman" w:hAnsi="Times New Roman" w:cs="Times New Roman"/>
                      <w:color w:val="auto"/>
                      <w:szCs w:val="21"/>
                      <w:highlight w:val="none"/>
                    </w:rPr>
                  </w:pPr>
                </w:p>
              </w:tc>
              <w:tc>
                <w:tcPr>
                  <w:tcW w:w="827"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841-005-01</w:t>
                  </w:r>
                </w:p>
              </w:tc>
              <w:tc>
                <w:tcPr>
                  <w:tcW w:w="1580" w:type="pct"/>
                  <w:vMerge w:val="continue"/>
                  <w:noWrap w:val="0"/>
                  <w:vAlign w:val="center"/>
                </w:tcPr>
                <w:p>
                  <w:pP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83"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482"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化学性废物</w:t>
                  </w:r>
                </w:p>
              </w:tc>
              <w:tc>
                <w:tcPr>
                  <w:tcW w:w="531"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rPr>
                    <w:t>0.</w:t>
                  </w:r>
                  <w:r>
                    <w:rPr>
                      <w:rFonts w:hint="eastAsia" w:ascii="Times New Roman" w:hAnsi="Times New Roman" w:cs="Times New Roman"/>
                      <w:color w:val="auto"/>
                      <w:szCs w:val="21"/>
                      <w:highlight w:val="none"/>
                      <w:lang w:val="en-US" w:eastAsia="zh-CN"/>
                    </w:rPr>
                    <w:t>45</w:t>
                  </w:r>
                </w:p>
              </w:tc>
              <w:tc>
                <w:tcPr>
                  <w:tcW w:w="993" w:type="pct"/>
                  <w:vMerge w:val="continue"/>
                  <w:noWrap w:val="0"/>
                  <w:vAlign w:val="center"/>
                </w:tcPr>
                <w:p>
                  <w:pPr>
                    <w:jc w:val="center"/>
                    <w:rPr>
                      <w:rFonts w:hint="default" w:ascii="Times New Roman" w:hAnsi="Times New Roman" w:cs="Times New Roman"/>
                      <w:color w:val="auto"/>
                      <w:szCs w:val="21"/>
                      <w:highlight w:val="none"/>
                    </w:rPr>
                  </w:pPr>
                </w:p>
              </w:tc>
              <w:tc>
                <w:tcPr>
                  <w:tcW w:w="827"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841-004-01</w:t>
                  </w:r>
                </w:p>
              </w:tc>
              <w:tc>
                <w:tcPr>
                  <w:tcW w:w="1580" w:type="pct"/>
                  <w:vMerge w:val="continue"/>
                  <w:noWrap w:val="0"/>
                  <w:vAlign w:val="center"/>
                </w:tcPr>
                <w:p>
                  <w:pPr>
                    <w:rPr>
                      <w:rFonts w:hint="default" w:ascii="Times New Roman" w:hAnsi="Times New Roman"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83"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482"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污水站污泥</w:t>
                  </w:r>
                </w:p>
              </w:tc>
              <w:tc>
                <w:tcPr>
                  <w:tcW w:w="531"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3.24</w:t>
                  </w:r>
                </w:p>
              </w:tc>
              <w:tc>
                <w:tcPr>
                  <w:tcW w:w="993" w:type="pct"/>
                  <w:vMerge w:val="continue"/>
                  <w:noWrap w:val="0"/>
                  <w:vAlign w:val="center"/>
                </w:tcPr>
                <w:p>
                  <w:pPr>
                    <w:jc w:val="center"/>
                    <w:rPr>
                      <w:rFonts w:hint="default" w:ascii="Times New Roman" w:hAnsi="Times New Roman" w:cs="Times New Roman"/>
                      <w:color w:val="auto"/>
                      <w:szCs w:val="21"/>
                      <w:highlight w:val="none"/>
                    </w:rPr>
                  </w:pPr>
                </w:p>
              </w:tc>
              <w:tc>
                <w:tcPr>
                  <w:tcW w:w="827"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841-001-01</w:t>
                  </w:r>
                </w:p>
              </w:tc>
              <w:tc>
                <w:tcPr>
                  <w:tcW w:w="1580" w:type="pct"/>
                  <w:noWrap w:val="0"/>
                  <w:vAlign w:val="center"/>
                </w:tcPr>
                <w:p>
                  <w:pP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污泥浓缩池暂存，委托有资质单位处理</w:t>
                  </w:r>
                  <w:r>
                    <w:rPr>
                      <w:rFonts w:hint="eastAsia" w:cs="Times New Roman"/>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83" w:type="pct"/>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482"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生活垃圾</w:t>
                  </w:r>
                </w:p>
              </w:tc>
              <w:tc>
                <w:tcPr>
                  <w:tcW w:w="531"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kern w:val="0"/>
                      <w:szCs w:val="21"/>
                      <w:highlight w:val="none"/>
                      <w:lang w:val="en-US" w:eastAsia="zh-CN" w:bidi="en-US"/>
                    </w:rPr>
                    <w:t>23</w:t>
                  </w:r>
                  <w:r>
                    <w:rPr>
                      <w:rFonts w:hint="eastAsia" w:cs="Times New Roman"/>
                      <w:color w:val="auto"/>
                      <w:kern w:val="0"/>
                      <w:szCs w:val="21"/>
                      <w:highlight w:val="none"/>
                      <w:lang w:val="en-US" w:eastAsia="zh-CN" w:bidi="en-US"/>
                    </w:rPr>
                    <w:t>5</w:t>
                  </w:r>
                  <w:r>
                    <w:rPr>
                      <w:rFonts w:hint="eastAsia" w:ascii="Times New Roman" w:hAnsi="Times New Roman" w:cs="Times New Roman"/>
                      <w:color w:val="auto"/>
                      <w:kern w:val="0"/>
                      <w:szCs w:val="21"/>
                      <w:highlight w:val="none"/>
                      <w:lang w:val="en-US" w:eastAsia="zh-CN" w:bidi="en-US"/>
                    </w:rPr>
                    <w:t>.</w:t>
                  </w:r>
                  <w:r>
                    <w:rPr>
                      <w:rFonts w:hint="eastAsia" w:cs="Times New Roman"/>
                      <w:color w:val="auto"/>
                      <w:kern w:val="0"/>
                      <w:szCs w:val="21"/>
                      <w:highlight w:val="none"/>
                      <w:lang w:val="en-US" w:eastAsia="zh-CN" w:bidi="en-US"/>
                    </w:rPr>
                    <w:t>6075</w:t>
                  </w:r>
                </w:p>
              </w:tc>
              <w:tc>
                <w:tcPr>
                  <w:tcW w:w="993" w:type="pct"/>
                  <w:vMerge w:val="restar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一般固废</w:t>
                  </w:r>
                </w:p>
              </w:tc>
              <w:tc>
                <w:tcPr>
                  <w:tcW w:w="827" w:type="pct"/>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w:t>
                  </w:r>
                </w:p>
              </w:tc>
              <w:tc>
                <w:tcPr>
                  <w:tcW w:w="1580" w:type="pct"/>
                  <w:noWrap w:val="0"/>
                  <w:vAlign w:val="center"/>
                </w:tcPr>
                <w:p>
                  <w:pP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垃圾桶垃圾箱收集，定期由环卫部门定期清运</w:t>
                  </w:r>
                  <w:r>
                    <w:rPr>
                      <w:rFonts w:hint="eastAsia" w:cs="Times New Roman"/>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83" w:type="pct"/>
                  <w:vMerge w:val="continue"/>
                  <w:noWrap w:val="0"/>
                  <w:vAlign w:val="center"/>
                </w:tcPr>
                <w:p>
                  <w:pPr>
                    <w:jc w:val="center"/>
                    <w:rPr>
                      <w:rFonts w:hint="default" w:ascii="Times New Roman" w:hAnsi="Times New Roman" w:cs="Times New Roman"/>
                      <w:color w:val="auto"/>
                      <w:szCs w:val="21"/>
                      <w:highlight w:val="none"/>
                    </w:rPr>
                  </w:pPr>
                </w:p>
              </w:tc>
              <w:tc>
                <w:tcPr>
                  <w:tcW w:w="482" w:type="pct"/>
                  <w:noWrap w:val="0"/>
                  <w:vAlign w:val="center"/>
                </w:tcPr>
                <w:p>
                  <w:pPr>
                    <w:jc w:val="center"/>
                    <w:rPr>
                      <w:rFonts w:hint="eastAsia"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eastAsia="zh-CN"/>
                    </w:rPr>
                    <w:t>废活性炭</w:t>
                  </w:r>
                </w:p>
              </w:tc>
              <w:tc>
                <w:tcPr>
                  <w:tcW w:w="531" w:type="pct"/>
                  <w:noWrap w:val="0"/>
                  <w:vAlign w:val="center"/>
                </w:tcPr>
                <w:p>
                  <w:pPr>
                    <w:jc w:val="center"/>
                    <w:rPr>
                      <w:rFonts w:hint="default" w:ascii="Times New Roman" w:hAnsi="Times New Roman" w:cs="Times New Roman"/>
                      <w:color w:val="auto"/>
                      <w:kern w:val="0"/>
                      <w:szCs w:val="21"/>
                      <w:highlight w:val="none"/>
                      <w:lang w:val="en-US" w:eastAsia="zh-CN" w:bidi="en-US"/>
                    </w:rPr>
                  </w:pPr>
                  <w:r>
                    <w:rPr>
                      <w:rFonts w:hint="eastAsia" w:ascii="Times New Roman" w:hAnsi="Times New Roman" w:cs="Times New Roman"/>
                      <w:color w:val="auto"/>
                      <w:kern w:val="0"/>
                      <w:szCs w:val="21"/>
                      <w:highlight w:val="none"/>
                      <w:lang w:val="en-US" w:eastAsia="zh-CN" w:bidi="en-US"/>
                    </w:rPr>
                    <w:t>0.03</w:t>
                  </w:r>
                </w:p>
              </w:tc>
              <w:tc>
                <w:tcPr>
                  <w:tcW w:w="993" w:type="pct"/>
                  <w:vMerge w:val="continue"/>
                  <w:noWrap w:val="0"/>
                  <w:vAlign w:val="center"/>
                </w:tcPr>
                <w:p>
                  <w:pPr>
                    <w:jc w:val="center"/>
                    <w:rPr>
                      <w:rFonts w:hint="default" w:ascii="Times New Roman" w:hAnsi="Times New Roman" w:cs="Times New Roman"/>
                      <w:color w:val="auto"/>
                      <w:szCs w:val="21"/>
                      <w:highlight w:val="none"/>
                    </w:rPr>
                  </w:pPr>
                </w:p>
              </w:tc>
              <w:tc>
                <w:tcPr>
                  <w:tcW w:w="827"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900-999-99</w:t>
                  </w:r>
                </w:p>
              </w:tc>
              <w:tc>
                <w:tcPr>
                  <w:tcW w:w="1580" w:type="pct"/>
                  <w:noWrap w:val="0"/>
                  <w:vAlign w:val="center"/>
                </w:tcPr>
                <w:p>
                  <w:pPr>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厂家回收</w:t>
                  </w:r>
                  <w:r>
                    <w:rPr>
                      <w:rFonts w:hint="default" w:ascii="Times New Roman" w:hAnsi="Times New Roman" w:eastAsia="宋体" w:cs="Times New Roman"/>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83" w:type="pct"/>
                  <w:vMerge w:val="continue"/>
                  <w:noWrap w:val="0"/>
                  <w:vAlign w:val="center"/>
                </w:tcPr>
                <w:p>
                  <w:pPr>
                    <w:jc w:val="center"/>
                    <w:rPr>
                      <w:rFonts w:hint="default" w:ascii="Times New Roman" w:hAnsi="Times New Roman" w:cs="Times New Roman"/>
                      <w:color w:val="auto"/>
                      <w:szCs w:val="21"/>
                      <w:highlight w:val="none"/>
                    </w:rPr>
                  </w:pPr>
                </w:p>
              </w:tc>
              <w:tc>
                <w:tcPr>
                  <w:tcW w:w="482" w:type="pct"/>
                  <w:noWrap w:val="0"/>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中药药渣</w:t>
                  </w:r>
                </w:p>
              </w:tc>
              <w:tc>
                <w:tcPr>
                  <w:tcW w:w="531" w:type="pct"/>
                  <w:noWrap w:val="0"/>
                  <w:vAlign w:val="center"/>
                </w:tcPr>
                <w:p>
                  <w:pPr>
                    <w:jc w:val="center"/>
                    <w:rPr>
                      <w:rFonts w:hint="default" w:ascii="Times New Roman" w:hAnsi="Times New Roman"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46</w:t>
                  </w:r>
                </w:p>
              </w:tc>
              <w:tc>
                <w:tcPr>
                  <w:tcW w:w="993" w:type="pct"/>
                  <w:vMerge w:val="continue"/>
                  <w:noWrap w:val="0"/>
                  <w:vAlign w:val="center"/>
                </w:tcPr>
                <w:p>
                  <w:pPr>
                    <w:jc w:val="center"/>
                    <w:rPr>
                      <w:rFonts w:hint="default" w:ascii="Times New Roman" w:hAnsi="Times New Roman" w:cs="Times New Roman"/>
                      <w:color w:val="auto"/>
                      <w:szCs w:val="21"/>
                      <w:highlight w:val="none"/>
                    </w:rPr>
                  </w:pPr>
                </w:p>
              </w:tc>
              <w:tc>
                <w:tcPr>
                  <w:tcW w:w="827"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olor w:val="auto"/>
                      <w:szCs w:val="21"/>
                      <w:lang w:val="en-US" w:eastAsia="zh-CN"/>
                    </w:rPr>
                    <w:t>017-001-45</w:t>
                  </w:r>
                </w:p>
              </w:tc>
              <w:tc>
                <w:tcPr>
                  <w:tcW w:w="1580" w:type="pct"/>
                  <w:noWrap w:val="0"/>
                  <w:vAlign w:val="center"/>
                </w:tcPr>
                <w:p>
                  <w:pP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中药渣由垃圾桶收集，定期交由环卫部门处置。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trPr>
              <w:tc>
                <w:tcPr>
                  <w:tcW w:w="583" w:type="pct"/>
                  <w:vMerge w:val="continue"/>
                  <w:noWrap w:val="0"/>
                  <w:vAlign w:val="center"/>
                </w:tcPr>
                <w:p>
                  <w:pPr>
                    <w:jc w:val="center"/>
                    <w:rPr>
                      <w:rFonts w:hint="default" w:ascii="Times New Roman" w:hAnsi="Times New Roman" w:cs="Times New Roman"/>
                      <w:color w:val="auto"/>
                      <w:szCs w:val="21"/>
                      <w:highlight w:val="none"/>
                    </w:rPr>
                  </w:pPr>
                </w:p>
              </w:tc>
              <w:tc>
                <w:tcPr>
                  <w:tcW w:w="482" w:type="pct"/>
                  <w:noWrap w:val="0"/>
                  <w:vAlign w:val="center"/>
                </w:tcPr>
                <w:p>
                  <w:pPr>
                    <w:jc w:val="center"/>
                    <w:rPr>
                      <w:rFonts w:hint="eastAsia" w:ascii="Times New Roman" w:hAnsi="Times New Roman" w:cs="Times New Roman"/>
                      <w:color w:val="auto"/>
                      <w:szCs w:val="21"/>
                      <w:highlight w:val="none"/>
                      <w:lang w:eastAsia="zh-CN"/>
                    </w:rPr>
                  </w:pPr>
                  <w:r>
                    <w:rPr>
                      <w:rFonts w:hint="eastAsia" w:ascii="Times New Roman" w:hAnsi="Times New Roman" w:cs="Times New Roman"/>
                      <w:color w:val="auto"/>
                      <w:szCs w:val="21"/>
                      <w:highlight w:val="none"/>
                      <w:lang w:eastAsia="zh-CN"/>
                    </w:rPr>
                    <w:t>废包装</w:t>
                  </w:r>
                </w:p>
              </w:tc>
              <w:tc>
                <w:tcPr>
                  <w:tcW w:w="531" w:type="pct"/>
                  <w:noWrap w:val="0"/>
                  <w:vAlign w:val="center"/>
                </w:tcPr>
                <w:p>
                  <w:pPr>
                    <w:jc w:val="center"/>
                    <w:rPr>
                      <w:rFonts w:hint="default" w:ascii="Times New Roman" w:hAnsi="Times New Roman" w:cs="Times New Roman"/>
                      <w:color w:val="auto"/>
                      <w:kern w:val="0"/>
                      <w:szCs w:val="21"/>
                      <w:highlight w:val="none"/>
                      <w:lang w:val="en-US" w:eastAsia="zh-CN" w:bidi="en-US"/>
                    </w:rPr>
                  </w:pPr>
                  <w:r>
                    <w:rPr>
                      <w:rFonts w:hint="eastAsia" w:ascii="Times New Roman" w:hAnsi="Times New Roman" w:cs="Times New Roman"/>
                      <w:color w:val="auto"/>
                      <w:kern w:val="0"/>
                      <w:szCs w:val="21"/>
                      <w:highlight w:val="none"/>
                      <w:lang w:val="en-US" w:eastAsia="zh-CN" w:bidi="en-US"/>
                    </w:rPr>
                    <w:t>0.2</w:t>
                  </w:r>
                </w:p>
              </w:tc>
              <w:tc>
                <w:tcPr>
                  <w:tcW w:w="993" w:type="pct"/>
                  <w:vMerge w:val="continue"/>
                  <w:noWrap w:val="0"/>
                  <w:vAlign w:val="center"/>
                </w:tcPr>
                <w:p>
                  <w:pPr>
                    <w:jc w:val="center"/>
                    <w:rPr>
                      <w:rFonts w:hint="default" w:ascii="Times New Roman" w:hAnsi="Times New Roman" w:cs="Times New Roman"/>
                      <w:color w:val="auto"/>
                      <w:szCs w:val="21"/>
                      <w:highlight w:val="none"/>
                    </w:rPr>
                  </w:pPr>
                </w:p>
              </w:tc>
              <w:tc>
                <w:tcPr>
                  <w:tcW w:w="827"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223-001-07</w:t>
                  </w:r>
                </w:p>
              </w:tc>
              <w:tc>
                <w:tcPr>
                  <w:tcW w:w="1580" w:type="pct"/>
                  <w:noWrap w:val="0"/>
                  <w:vAlign w:val="center"/>
                </w:tcPr>
                <w:p>
                  <w:pP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经垃圾桶收集后，定期由环卫部门处置</w:t>
                  </w:r>
                  <w:r>
                    <w:rPr>
                      <w:rFonts w:hint="eastAsia" w:ascii="Times New Roman" w:hAnsi="Times New Roman" w:eastAsia="宋体" w:cs="Times New Roman"/>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0" w:hRule="atLeast"/>
              </w:trPr>
              <w:tc>
                <w:tcPr>
                  <w:tcW w:w="583" w:type="pct"/>
                  <w:vMerge w:val="continue"/>
                  <w:noWrap w:val="0"/>
                  <w:vAlign w:val="center"/>
                </w:tcPr>
                <w:p>
                  <w:pPr>
                    <w:jc w:val="center"/>
                    <w:rPr>
                      <w:rFonts w:hint="default" w:ascii="Times New Roman" w:hAnsi="Times New Roman" w:cs="Times New Roman"/>
                      <w:color w:val="auto"/>
                      <w:szCs w:val="21"/>
                      <w:highlight w:val="none"/>
                    </w:rPr>
                  </w:pPr>
                </w:p>
              </w:tc>
              <w:tc>
                <w:tcPr>
                  <w:tcW w:w="482" w:type="pct"/>
                  <w:noWrap w:val="0"/>
                  <w:vAlign w:val="center"/>
                </w:tcPr>
                <w:p>
                  <w:pPr>
                    <w:jc w:val="center"/>
                    <w:rPr>
                      <w:rFonts w:hint="eastAsia" w:ascii="Times New Roman" w:hAnsi="Times New Roman" w:cs="Times New Roman"/>
                      <w:color w:val="auto"/>
                      <w:szCs w:val="21"/>
                      <w:highlight w:val="none"/>
                      <w:lang w:eastAsia="zh-CN"/>
                    </w:rPr>
                  </w:pPr>
                  <w:r>
                    <w:rPr>
                      <w:rFonts w:hint="eastAsia" w:ascii="Times New Roman" w:hAnsi="Times New Roman" w:eastAsia="宋体" w:cs="Times New Roman"/>
                      <w:color w:val="auto"/>
                      <w:szCs w:val="21"/>
                      <w:highlight w:val="none"/>
                      <w:lang w:eastAsia="zh-CN"/>
                    </w:rPr>
                    <w:t>中药粉尘</w:t>
                  </w:r>
                </w:p>
              </w:tc>
              <w:tc>
                <w:tcPr>
                  <w:tcW w:w="531" w:type="pct"/>
                  <w:noWrap w:val="0"/>
                  <w:vAlign w:val="center"/>
                </w:tcPr>
                <w:p>
                  <w:pPr>
                    <w:jc w:val="center"/>
                    <w:rPr>
                      <w:rFonts w:hint="eastAsia" w:ascii="Times New Roman" w:hAnsi="Times New Roman" w:cs="Times New Roman"/>
                      <w:color w:val="auto"/>
                      <w:kern w:val="0"/>
                      <w:szCs w:val="21"/>
                      <w:highlight w:val="none"/>
                      <w:lang w:val="en-US" w:eastAsia="zh-CN" w:bidi="en-US"/>
                    </w:rPr>
                  </w:pPr>
                  <w:r>
                    <w:rPr>
                      <w:rFonts w:hint="eastAsia" w:ascii="Times New Roman" w:hAnsi="Times New Roman" w:eastAsia="宋体" w:cs="Times New Roman"/>
                      <w:color w:val="auto"/>
                      <w:kern w:val="0"/>
                      <w:szCs w:val="21"/>
                      <w:highlight w:val="none"/>
                      <w:lang w:val="en-US" w:eastAsia="zh-CN" w:bidi="en-US"/>
                    </w:rPr>
                    <w:t>0.005</w:t>
                  </w:r>
                </w:p>
              </w:tc>
              <w:tc>
                <w:tcPr>
                  <w:tcW w:w="993" w:type="pct"/>
                  <w:vMerge w:val="continue"/>
                  <w:noWrap w:val="0"/>
                  <w:vAlign w:val="center"/>
                </w:tcPr>
                <w:p>
                  <w:pPr>
                    <w:jc w:val="center"/>
                    <w:rPr>
                      <w:rFonts w:hint="default" w:ascii="Times New Roman" w:hAnsi="Times New Roman" w:cs="Times New Roman"/>
                      <w:color w:val="auto"/>
                      <w:szCs w:val="21"/>
                      <w:highlight w:val="none"/>
                    </w:rPr>
                  </w:pPr>
                </w:p>
              </w:tc>
              <w:tc>
                <w:tcPr>
                  <w:tcW w:w="827"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900-999-66</w:t>
                  </w:r>
                </w:p>
              </w:tc>
              <w:tc>
                <w:tcPr>
                  <w:tcW w:w="1580" w:type="pct"/>
                  <w:noWrap w:val="0"/>
                  <w:vAlign w:val="center"/>
                </w:tcPr>
                <w:p>
                  <w:pPr>
                    <w:rPr>
                      <w:rFonts w:hint="eastAsia" w:ascii="Times New Roman" w:hAnsi="Times New Roman" w:eastAsia="宋体" w:cs="Times New Roman"/>
                      <w:color w:val="auto"/>
                      <w:szCs w:val="21"/>
                      <w:highlight w:val="none"/>
                      <w:lang w:eastAsia="zh-CN"/>
                    </w:rPr>
                  </w:pPr>
                  <w:r>
                    <w:rPr>
                      <w:rFonts w:hint="eastAsia" w:ascii="Times New Roman" w:hAnsi="Times New Roman" w:eastAsia="宋体" w:cs="Times New Roman"/>
                      <w:color w:val="auto"/>
                      <w:szCs w:val="21"/>
                      <w:highlight w:val="none"/>
                    </w:rPr>
                    <w:t>集中收集，定期交由环卫部门处置</w:t>
                  </w:r>
                  <w:r>
                    <w:rPr>
                      <w:rFonts w:hint="eastAsia" w:ascii="Times New Roman" w:hAnsi="Times New Roman" w:eastAsia="宋体" w:cs="Times New Roman"/>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5" w:hRule="atLeast"/>
              </w:trPr>
              <w:tc>
                <w:tcPr>
                  <w:tcW w:w="583"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8</w:t>
                  </w:r>
                </w:p>
                <w:p>
                  <w:pPr>
                    <w:jc w:val="center"/>
                    <w:rPr>
                      <w:rFonts w:hint="default" w:ascii="Times New Roman" w:hAnsi="Times New Roman" w:eastAsia="宋体" w:cs="Times New Roman"/>
                      <w:color w:val="auto"/>
                      <w:szCs w:val="21"/>
                      <w:highlight w:val="none"/>
                      <w:lang w:val="en-US" w:eastAsia="zh-CN"/>
                    </w:rPr>
                  </w:pPr>
                </w:p>
              </w:tc>
              <w:tc>
                <w:tcPr>
                  <w:tcW w:w="482" w:type="pct"/>
                  <w:noWrap w:val="0"/>
                  <w:vAlign w:val="center"/>
                </w:tcPr>
                <w:p>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化粪池</w:t>
                  </w:r>
                  <w:r>
                    <w:rPr>
                      <w:rFonts w:hint="eastAsia" w:ascii="Times New Roman" w:hAnsi="Times New Roman" w:eastAsia="宋体" w:cs="Times New Roman"/>
                      <w:color w:val="auto"/>
                      <w:szCs w:val="21"/>
                      <w:highlight w:val="none"/>
                      <w:lang w:eastAsia="zh-CN"/>
                    </w:rPr>
                    <w:t>污泥</w:t>
                  </w:r>
                </w:p>
              </w:tc>
              <w:tc>
                <w:tcPr>
                  <w:tcW w:w="531" w:type="pct"/>
                  <w:noWrap w:val="0"/>
                  <w:vAlign w:val="center"/>
                </w:tcPr>
                <w:p>
                  <w:pPr>
                    <w:jc w:val="center"/>
                    <w:rPr>
                      <w:rFonts w:hint="eastAsia" w:ascii="Times New Roman" w:hAnsi="Times New Roman"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23.652</w:t>
                  </w:r>
                </w:p>
                <w:p>
                  <w:pPr>
                    <w:rPr>
                      <w:rFonts w:hint="eastAsia" w:ascii="Times New Roman" w:hAnsi="Times New Roman" w:eastAsia="宋体" w:cs="Times New Roman"/>
                      <w:color w:val="auto"/>
                      <w:szCs w:val="21"/>
                      <w:highlight w:val="none"/>
                      <w:lang w:eastAsia="zh-CN"/>
                    </w:rPr>
                  </w:pPr>
                </w:p>
              </w:tc>
              <w:tc>
                <w:tcPr>
                  <w:tcW w:w="993" w:type="pct"/>
                  <w:vMerge w:val="restart"/>
                  <w:noWrap w:val="0"/>
                  <w:vAlign w:val="center"/>
                </w:tcPr>
                <w:p>
                  <w:pPr>
                    <w:jc w:val="center"/>
                    <w:rPr>
                      <w:rFonts w:hint="default" w:ascii="Times New Roman" w:hAnsi="Times New Roman" w:cs="Times New Roman"/>
                      <w:color w:val="auto"/>
                      <w:szCs w:val="21"/>
                      <w:highlight w:val="none"/>
                    </w:rPr>
                  </w:pPr>
                  <w:r>
                    <w:rPr>
                      <w:rFonts w:hint="eastAsia" w:ascii="Times New Roman" w:hAnsi="Times New Roman" w:eastAsia="宋体" w:cs="Times New Roman"/>
                      <w:color w:val="auto"/>
                      <w:szCs w:val="21"/>
                      <w:highlight w:val="none"/>
                      <w:lang w:eastAsia="zh-CN"/>
                    </w:rPr>
                    <w:t>感染性废物</w:t>
                  </w:r>
                </w:p>
              </w:tc>
              <w:tc>
                <w:tcPr>
                  <w:tcW w:w="827" w:type="pct"/>
                  <w:vMerge w:val="restar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841-001-01</w:t>
                  </w:r>
                </w:p>
              </w:tc>
              <w:tc>
                <w:tcPr>
                  <w:tcW w:w="1580" w:type="pct"/>
                  <w:vMerge w:val="restart"/>
                  <w:noWrap w:val="0"/>
                  <w:vAlign w:val="center"/>
                </w:tcPr>
                <w:p>
                  <w:pP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装入防渗桶中，暂存于</w:t>
                  </w:r>
                  <w:r>
                    <w:rPr>
                      <w:rFonts w:hint="eastAsia" w:cs="Times New Roman"/>
                      <w:color w:val="auto"/>
                      <w:szCs w:val="21"/>
                      <w:highlight w:val="none"/>
                      <w:lang w:val="en-US" w:eastAsia="zh-CN"/>
                    </w:rPr>
                    <w:t>危险废物</w:t>
                  </w:r>
                  <w:r>
                    <w:rPr>
                      <w:rFonts w:hint="default" w:ascii="Times New Roman" w:hAnsi="Times New Roman" w:eastAsia="宋体" w:cs="Times New Roman"/>
                      <w:color w:val="auto"/>
                      <w:szCs w:val="21"/>
                      <w:highlight w:val="none"/>
                    </w:rPr>
                    <w:t>暂存</w:t>
                  </w:r>
                  <w:r>
                    <w:rPr>
                      <w:rFonts w:hint="eastAsia" w:ascii="Times New Roman" w:hAnsi="Times New Roman" w:eastAsia="宋体" w:cs="Times New Roman"/>
                      <w:color w:val="auto"/>
                      <w:szCs w:val="21"/>
                      <w:highlight w:val="none"/>
                      <w:lang w:eastAsia="zh-CN"/>
                    </w:rPr>
                    <w:t>间</w:t>
                  </w:r>
                  <w:r>
                    <w:rPr>
                      <w:rFonts w:hint="default" w:ascii="Times New Roman" w:hAnsi="Times New Roman" w:eastAsia="宋体" w:cs="Times New Roman"/>
                      <w:color w:val="auto"/>
                      <w:szCs w:val="21"/>
                      <w:highlight w:val="none"/>
                    </w:rPr>
                    <w:t>，交由</w:t>
                  </w:r>
                  <w:r>
                    <w:rPr>
                      <w:rFonts w:hint="eastAsia" w:ascii="Times New Roman" w:hAnsi="Times New Roman" w:eastAsia="宋体" w:cs="Times New Roman"/>
                      <w:color w:val="auto"/>
                      <w:szCs w:val="21"/>
                      <w:highlight w:val="none"/>
                      <w:lang w:eastAsia="zh-CN"/>
                    </w:rPr>
                    <w:t>有资质的单位</w:t>
                  </w:r>
                  <w:r>
                    <w:rPr>
                      <w:rFonts w:hint="default" w:ascii="Times New Roman" w:hAnsi="Times New Roman" w:eastAsia="宋体" w:cs="Times New Roman"/>
                      <w:color w:val="auto"/>
                      <w:szCs w:val="21"/>
                      <w:highlight w:val="none"/>
                    </w:rPr>
                    <w:t>处置</w:t>
                  </w:r>
                  <w:r>
                    <w:rPr>
                      <w:rFonts w:hint="eastAsia" w:ascii="Times New Roman" w:hAnsi="Times New Roman" w:eastAsia="宋体" w:cs="Times New Roman"/>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5" w:hRule="atLeast"/>
              </w:trPr>
              <w:tc>
                <w:tcPr>
                  <w:tcW w:w="583"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w:t>
                  </w:r>
                </w:p>
              </w:tc>
              <w:tc>
                <w:tcPr>
                  <w:tcW w:w="482" w:type="pct"/>
                  <w:noWrap w:val="0"/>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栅渣</w:t>
                  </w:r>
                </w:p>
                <w:p>
                  <w:pPr>
                    <w:rPr>
                      <w:rFonts w:hint="eastAsia" w:ascii="Times New Roman" w:hAnsi="Times New Roman" w:eastAsia="宋体" w:cs="Times New Roman"/>
                      <w:color w:val="auto"/>
                      <w:szCs w:val="21"/>
                      <w:highlight w:val="none"/>
                      <w:lang w:val="en-US" w:eastAsia="zh-CN"/>
                    </w:rPr>
                  </w:pPr>
                </w:p>
              </w:tc>
              <w:tc>
                <w:tcPr>
                  <w:tcW w:w="531" w:type="pct"/>
                  <w:noWrap w:val="0"/>
                  <w:vAlign w:val="center"/>
                </w:tcPr>
                <w:p>
                  <w:pP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r>
                    <w:rPr>
                      <w:rFonts w:hint="eastAsia" w:cs="Times New Roman"/>
                      <w:color w:val="auto"/>
                      <w:szCs w:val="21"/>
                      <w:highlight w:val="none"/>
                      <w:lang w:val="en-US" w:eastAsia="zh-CN"/>
                    </w:rPr>
                    <w:t>013</w:t>
                  </w:r>
                </w:p>
              </w:tc>
              <w:tc>
                <w:tcPr>
                  <w:tcW w:w="993" w:type="pct"/>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c>
                <w:tcPr>
                  <w:tcW w:w="827" w:type="pct"/>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c>
                <w:tcPr>
                  <w:tcW w:w="1580" w:type="pct"/>
                  <w:vMerge w:val="continue"/>
                  <w:noWrap w:val="0"/>
                  <w:vAlign w:val="center"/>
                </w:tcPr>
                <w:p>
                  <w:pPr>
                    <w:rPr>
                      <w:rFonts w:hint="eastAsia" w:ascii="Times New Roman" w:hAnsi="Times New Roman" w:eastAsia="宋体" w:cs="Times New Roman"/>
                      <w:color w:val="auto"/>
                      <w:szCs w:val="21"/>
                      <w:highlight w:val="none"/>
                      <w:lang w:val="en-US" w:eastAsia="zh-CN"/>
                    </w:rPr>
                  </w:pPr>
                </w:p>
              </w:tc>
            </w:tr>
          </w:tbl>
          <w:p>
            <w:pPr>
              <w:adjustRightInd w:val="0"/>
              <w:snapToGrid w:val="0"/>
              <w:spacing w:line="360" w:lineRule="auto"/>
              <w:ind w:firstLine="482" w:firstLineChars="200"/>
              <w:jc w:val="left"/>
              <w:rPr>
                <w:rFonts w:hint="eastAsia" w:cs="Times New Roman"/>
                <w:b/>
                <w:bCs/>
                <w:color w:val="auto"/>
                <w:kern w:val="0"/>
                <w:sz w:val="24"/>
                <w:szCs w:val="20"/>
                <w:highlight w:val="none"/>
                <w:lang w:val="en-US" w:eastAsia="zh-CN" w:bidi="ar-SA"/>
              </w:rPr>
            </w:pPr>
            <w:r>
              <w:rPr>
                <w:rFonts w:hint="default" w:ascii="Times New Roman" w:hAnsi="Times New Roman" w:eastAsia="宋体" w:cs="Times New Roman"/>
                <w:b/>
                <w:bCs/>
                <w:color w:val="auto"/>
                <w:kern w:val="0"/>
                <w:sz w:val="24"/>
                <w:szCs w:val="20"/>
                <w:highlight w:val="none"/>
                <w:lang w:val="en-US" w:eastAsia="zh-CN" w:bidi="ar-SA"/>
              </w:rPr>
              <w:t>4.2</w:t>
            </w:r>
            <w:r>
              <w:rPr>
                <w:rFonts w:hint="eastAsia" w:cs="Times New Roman"/>
                <w:b/>
                <w:bCs/>
                <w:color w:val="auto"/>
                <w:kern w:val="0"/>
                <w:sz w:val="24"/>
                <w:szCs w:val="20"/>
                <w:highlight w:val="none"/>
                <w:lang w:val="en-US" w:eastAsia="zh-CN" w:bidi="ar-SA"/>
              </w:rPr>
              <w:t>危废暂存间依托可行性</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b/>
                <w:bCs/>
                <w:color w:val="auto"/>
                <w:kern w:val="0"/>
                <w:sz w:val="24"/>
                <w:szCs w:val="20"/>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项目危废暂存间占地</w:t>
            </w:r>
            <w:r>
              <w:rPr>
                <w:rFonts w:hint="eastAsia" w:cs="Times New Roman"/>
                <w:color w:val="auto"/>
                <w:kern w:val="2"/>
                <w:sz w:val="24"/>
                <w:szCs w:val="24"/>
                <w:highlight w:val="none"/>
                <w:lang w:val="en-US" w:eastAsia="zh-CN" w:bidi="ar-SA"/>
              </w:rPr>
              <w:t>127.13</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最多可容纳</w:t>
            </w:r>
            <w:r>
              <w:rPr>
                <w:rFonts w:hint="eastAsia" w:cs="Times New Roman"/>
                <w:color w:val="auto"/>
                <w:kern w:val="2"/>
                <w:sz w:val="24"/>
                <w:szCs w:val="24"/>
                <w:highlight w:val="none"/>
                <w:lang w:val="en-US" w:eastAsia="zh-CN" w:bidi="ar-SA"/>
              </w:rPr>
              <w:t>762</w:t>
            </w:r>
            <w:r>
              <w:rPr>
                <w:rFonts w:hint="eastAsia" w:ascii="Times New Roman" w:hAnsi="Times New Roman" w:eastAsia="宋体" w:cs="Times New Roman"/>
                <w:color w:val="auto"/>
                <w:kern w:val="2"/>
                <w:sz w:val="24"/>
                <w:szCs w:val="24"/>
                <w:highlight w:val="none"/>
                <w:lang w:val="en-US" w:eastAsia="zh-CN" w:bidi="ar-SA"/>
              </w:rPr>
              <w:t>箱危险废物，以平均每箱7kg计，总容纳量约</w:t>
            </w:r>
            <w:r>
              <w:rPr>
                <w:rFonts w:hint="eastAsia" w:cs="Times New Roman"/>
                <w:color w:val="auto"/>
                <w:kern w:val="2"/>
                <w:sz w:val="24"/>
                <w:szCs w:val="24"/>
                <w:highlight w:val="none"/>
                <w:lang w:val="en-US" w:eastAsia="zh-CN" w:bidi="ar-SA"/>
              </w:rPr>
              <w:t>5334</w:t>
            </w:r>
            <w:r>
              <w:rPr>
                <w:rFonts w:hint="eastAsia" w:ascii="Times New Roman" w:hAnsi="Times New Roman" w:eastAsia="宋体" w:cs="Times New Roman"/>
                <w:color w:val="auto"/>
                <w:kern w:val="2"/>
                <w:sz w:val="24"/>
                <w:szCs w:val="24"/>
                <w:highlight w:val="none"/>
                <w:lang w:val="en-US" w:eastAsia="zh-CN" w:bidi="ar-SA"/>
              </w:rPr>
              <w:t>kg。现有危险废物产生量</w:t>
            </w:r>
            <w:r>
              <w:rPr>
                <w:rFonts w:hint="eastAsia" w:cs="Times New Roman"/>
                <w:color w:val="auto"/>
                <w:kern w:val="2"/>
                <w:sz w:val="24"/>
                <w:szCs w:val="24"/>
                <w:highlight w:val="none"/>
                <w:lang w:val="en-US" w:eastAsia="zh-CN" w:bidi="ar-SA"/>
              </w:rPr>
              <w:t>395</w:t>
            </w:r>
            <w:r>
              <w:rPr>
                <w:rFonts w:hint="eastAsia" w:ascii="Times New Roman" w:hAnsi="Times New Roman" w:eastAsia="宋体" w:cs="Times New Roman"/>
                <w:color w:val="auto"/>
                <w:kern w:val="2"/>
                <w:sz w:val="24"/>
                <w:szCs w:val="24"/>
                <w:highlight w:val="none"/>
                <w:lang w:val="en-US" w:eastAsia="zh-CN" w:bidi="ar-SA"/>
              </w:rPr>
              <w:t>kg/d，尚有</w:t>
            </w:r>
            <w:r>
              <w:rPr>
                <w:rFonts w:hint="eastAsia" w:cs="Times New Roman"/>
                <w:color w:val="auto"/>
                <w:kern w:val="2"/>
                <w:sz w:val="24"/>
                <w:szCs w:val="24"/>
                <w:highlight w:val="none"/>
                <w:lang w:val="en-US" w:eastAsia="zh-CN" w:bidi="ar-SA"/>
              </w:rPr>
              <w:t>4939</w:t>
            </w:r>
            <w:r>
              <w:rPr>
                <w:rFonts w:hint="eastAsia" w:ascii="Times New Roman" w:hAnsi="Times New Roman" w:eastAsia="宋体" w:cs="Times New Roman"/>
                <w:color w:val="auto"/>
                <w:kern w:val="2"/>
                <w:sz w:val="24"/>
                <w:szCs w:val="24"/>
                <w:highlight w:val="none"/>
                <w:lang w:val="en-US" w:eastAsia="zh-CN" w:bidi="ar-SA"/>
              </w:rPr>
              <w:t>kg/d的余量，现有危废暂存间可以满足栅渣</w:t>
            </w:r>
            <w:r>
              <w:rPr>
                <w:rFonts w:hint="eastAsia" w:cs="Times New Roman"/>
                <w:color w:val="auto"/>
                <w:kern w:val="2"/>
                <w:sz w:val="24"/>
                <w:szCs w:val="24"/>
                <w:highlight w:val="none"/>
                <w:lang w:val="en-US" w:eastAsia="zh-CN" w:bidi="ar-SA"/>
              </w:rPr>
              <w:t>等</w:t>
            </w:r>
            <w:r>
              <w:rPr>
                <w:rFonts w:hint="eastAsia" w:ascii="Times New Roman" w:hAnsi="Times New Roman" w:eastAsia="宋体" w:cs="Times New Roman"/>
                <w:color w:val="auto"/>
                <w:kern w:val="2"/>
                <w:sz w:val="24"/>
                <w:szCs w:val="24"/>
                <w:highlight w:val="none"/>
                <w:lang w:val="en-US" w:eastAsia="zh-CN" w:bidi="ar-SA"/>
              </w:rPr>
              <w:t>危险废物处置需求，依托可行。</w:t>
            </w:r>
          </w:p>
          <w:p>
            <w:pPr>
              <w:adjustRightInd w:val="0"/>
              <w:snapToGrid w:val="0"/>
              <w:spacing w:line="360" w:lineRule="auto"/>
              <w:ind w:firstLine="482" w:firstLineChars="200"/>
              <w:jc w:val="left"/>
              <w:rPr>
                <w:rFonts w:hint="eastAsia" w:ascii="Times New Roman" w:hAnsi="Times New Roman" w:eastAsia="宋体" w:cs="Times New Roman"/>
                <w:b/>
                <w:bCs/>
                <w:color w:val="auto"/>
                <w:kern w:val="0"/>
                <w:sz w:val="24"/>
                <w:szCs w:val="20"/>
                <w:highlight w:val="none"/>
                <w:lang w:val="en-US" w:eastAsia="zh-CN" w:bidi="ar-SA"/>
              </w:rPr>
            </w:pPr>
            <w:r>
              <w:rPr>
                <w:rFonts w:hint="default" w:ascii="Times New Roman" w:hAnsi="Times New Roman" w:eastAsia="宋体" w:cs="Times New Roman"/>
                <w:b/>
                <w:bCs/>
                <w:color w:val="auto"/>
                <w:kern w:val="0"/>
                <w:sz w:val="24"/>
                <w:szCs w:val="20"/>
                <w:highlight w:val="none"/>
                <w:lang w:val="en-US" w:eastAsia="zh-CN" w:bidi="ar-SA"/>
              </w:rPr>
              <w:t>4.</w:t>
            </w:r>
            <w:r>
              <w:rPr>
                <w:rFonts w:hint="eastAsia" w:cs="Times New Roman"/>
                <w:b/>
                <w:bCs/>
                <w:color w:val="auto"/>
                <w:kern w:val="0"/>
                <w:sz w:val="24"/>
                <w:szCs w:val="20"/>
                <w:highlight w:val="none"/>
                <w:lang w:val="en-US" w:eastAsia="zh-CN" w:bidi="ar-SA"/>
              </w:rPr>
              <w:t>3</w:t>
            </w:r>
            <w:r>
              <w:rPr>
                <w:rFonts w:hint="eastAsia" w:ascii="Times New Roman" w:hAnsi="Times New Roman" w:eastAsia="宋体" w:cs="Times New Roman"/>
                <w:b/>
                <w:bCs/>
                <w:color w:val="auto"/>
                <w:kern w:val="0"/>
                <w:sz w:val="24"/>
                <w:szCs w:val="20"/>
                <w:highlight w:val="none"/>
                <w:lang w:val="en-US" w:eastAsia="zh-CN" w:bidi="ar-SA"/>
              </w:rPr>
              <w:t>固体废物环境影响分析</w:t>
            </w:r>
          </w:p>
          <w:p>
            <w:pPr>
              <w:adjustRightInd w:val="0"/>
              <w:snapToGrid w:val="0"/>
              <w:spacing w:line="360" w:lineRule="auto"/>
              <w:ind w:firstLine="480" w:firstLineChars="200"/>
              <w:jc w:val="left"/>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本项目建成后员工总人数不增加，无新增生活垃圾，运营期间产生的废包装物、废药渣和除尘器收集的中药粉尘属于一般固体废物，根据《一般固体废物分类与代码》（</w:t>
            </w:r>
            <w:r>
              <w:rPr>
                <w:rFonts w:hint="default" w:ascii="Times New Roman" w:hAnsi="Times New Roman" w:eastAsia="宋体" w:cs="Times New Roman"/>
                <w:color w:val="auto"/>
                <w:sz w:val="24"/>
                <w:highlight w:val="none"/>
              </w:rPr>
              <w:t>GB/T39198-2020</w:t>
            </w:r>
            <w:r>
              <w:rPr>
                <w:rFonts w:hint="eastAsia" w:ascii="Times New Roman" w:hAnsi="Times New Roman" w:eastAsia="宋体" w:cs="Times New Roman"/>
                <w:color w:val="auto"/>
                <w:sz w:val="24"/>
                <w:highlight w:val="none"/>
              </w:rPr>
              <w:t>）查询可知属于一般固废（代码017-001-45）。经垃圾桶收集后，交由环卫部门处置。因项目煮提工艺为水提，不使用醇提工艺，无乙醇排放，废活性炭不属于VOCs治理废物，不属于危险废物，属于一般固体废弃物，根据《一般固体废物分类与代码》（GB/T39198-2020）查询可知属于一般固废（代码900-999-99），由活性炭厂家来更换，更换下的废活性炭交由活性炭厂家回收处置。</w:t>
            </w:r>
          </w:p>
          <w:p>
            <w:pPr>
              <w:spacing w:line="360" w:lineRule="auto"/>
              <w:ind w:firstLine="480" w:firstLineChars="200"/>
              <w:rPr>
                <w:rFonts w:hint="default" w:ascii="Times New Roman" w:hAnsi="Times New Roman" w:cs="Times New Roman"/>
                <w:b/>
                <w:bCs/>
                <w:color w:val="auto"/>
                <w:highlight w:val="none"/>
              </w:rPr>
            </w:pPr>
            <w:r>
              <w:rPr>
                <w:rFonts w:hint="eastAsia" w:ascii="Times New Roman" w:hAnsi="Times New Roman" w:eastAsia="宋体" w:cs="Times New Roman"/>
                <w:color w:val="auto"/>
                <w:sz w:val="24"/>
                <w:highlight w:val="none"/>
              </w:rPr>
              <w:t>综上所述，本项目固废都得到合理的处置，不会对外环境造成影响。</w:t>
            </w:r>
          </w:p>
          <w:p>
            <w:pPr>
              <w:pStyle w:val="3"/>
              <w:spacing w:after="0" w:line="360" w:lineRule="auto"/>
              <w:ind w:left="0" w:leftChars="0" w:firstLine="482" w:firstLineChars="200"/>
              <w:contextualSpacing/>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w:t>
            </w:r>
            <w:r>
              <w:rPr>
                <w:rFonts w:hint="eastAsia" w:cs="Times New Roman"/>
                <w:b/>
                <w:bCs/>
                <w:color w:val="auto"/>
                <w:highlight w:val="none"/>
                <w:lang w:val="en-US" w:eastAsia="zh-CN"/>
              </w:rPr>
              <w:t>4</w:t>
            </w:r>
            <w:r>
              <w:rPr>
                <w:rFonts w:hint="default" w:ascii="Times New Roman" w:hAnsi="Times New Roman" w:cs="Times New Roman"/>
                <w:b/>
                <w:bCs/>
                <w:color w:val="auto"/>
                <w:highlight w:val="none"/>
              </w:rPr>
              <w:t>固废防治措施</w:t>
            </w:r>
          </w:p>
          <w:p>
            <w:pPr>
              <w:spacing w:line="360" w:lineRule="auto"/>
              <w:ind w:firstLine="482" w:firstLineChars="200"/>
              <w:rPr>
                <w:rFonts w:hint="default" w:ascii="Times New Roman" w:hAnsi="Times New Roman" w:cs="Times New Roman"/>
                <w:color w:val="auto"/>
                <w:sz w:val="24"/>
                <w:highlight w:val="none"/>
              </w:rPr>
            </w:pPr>
            <w:r>
              <w:rPr>
                <w:rFonts w:hint="default" w:ascii="Times New Roman" w:hAnsi="Times New Roman" w:cs="Times New Roman"/>
                <w:b/>
                <w:color w:val="auto"/>
                <w:kern w:val="0"/>
                <w:sz w:val="24"/>
                <w:szCs w:val="20"/>
                <w:highlight w:val="none"/>
              </w:rPr>
              <w:t>生活垃圾</w:t>
            </w:r>
            <w:r>
              <w:rPr>
                <w:rFonts w:hint="default" w:ascii="Times New Roman" w:hAnsi="Times New Roman" w:cs="Times New Roman"/>
                <w:color w:val="auto"/>
                <w:kern w:val="0"/>
                <w:sz w:val="24"/>
                <w:szCs w:val="20"/>
                <w:highlight w:val="none"/>
              </w:rPr>
              <w:t>：</w:t>
            </w:r>
            <w:r>
              <w:rPr>
                <w:rFonts w:hint="default" w:ascii="Times New Roman" w:hAnsi="Times New Roman" w:cs="Times New Roman"/>
                <w:color w:val="auto"/>
                <w:sz w:val="24"/>
                <w:highlight w:val="none"/>
              </w:rPr>
              <w:t>医院内设垃圾收集桶，垃圾收集箱，生活垃圾收集后，</w:t>
            </w:r>
            <w:r>
              <w:rPr>
                <w:rFonts w:hint="default" w:ascii="Times New Roman" w:hAnsi="Times New Roman" w:cs="Times New Roman"/>
                <w:color w:val="auto"/>
                <w:sz w:val="24"/>
                <w:highlight w:val="none"/>
                <w:lang w:eastAsia="zh-CN"/>
              </w:rPr>
              <w:t>定时运至垃圾场由</w:t>
            </w:r>
            <w:r>
              <w:rPr>
                <w:rFonts w:hint="default" w:ascii="Times New Roman" w:hAnsi="Times New Roman" w:cs="Times New Roman"/>
                <w:color w:val="auto"/>
                <w:sz w:val="24"/>
                <w:highlight w:val="none"/>
              </w:rPr>
              <w:t>市政环卫部门定期清运。</w:t>
            </w:r>
          </w:p>
          <w:p>
            <w:pPr>
              <w:adjustRightInd w:val="0"/>
              <w:snapToGrid w:val="0"/>
              <w:spacing w:line="360" w:lineRule="auto"/>
              <w:ind w:firstLine="482" w:firstLineChars="200"/>
              <w:rPr>
                <w:rFonts w:hint="default" w:ascii="Times New Roman" w:hAnsi="Times New Roman" w:cs="Times New Roman"/>
                <w:color w:val="auto"/>
                <w:kern w:val="0"/>
                <w:sz w:val="24"/>
                <w:szCs w:val="20"/>
                <w:highlight w:val="none"/>
              </w:rPr>
            </w:pPr>
            <w:r>
              <w:rPr>
                <w:rFonts w:hint="default" w:ascii="Times New Roman" w:hAnsi="Times New Roman" w:cs="Times New Roman"/>
                <w:b/>
                <w:bCs/>
                <w:color w:val="auto"/>
                <w:kern w:val="0"/>
                <w:sz w:val="24"/>
                <w:szCs w:val="20"/>
                <w:highlight w:val="none"/>
              </w:rPr>
              <w:t>危险废物：</w:t>
            </w:r>
            <w:r>
              <w:rPr>
                <w:rFonts w:hint="default" w:ascii="Times New Roman" w:hAnsi="Times New Roman" w:cs="Times New Roman"/>
                <w:color w:val="auto"/>
                <w:kern w:val="0"/>
                <w:sz w:val="24"/>
                <w:szCs w:val="20"/>
                <w:highlight w:val="none"/>
              </w:rPr>
              <w:t>项目医院内设置面积约</w:t>
            </w:r>
            <w:r>
              <w:rPr>
                <w:rFonts w:hint="default" w:ascii="Times New Roman" w:hAnsi="Times New Roman" w:cs="Times New Roman"/>
                <w:color w:val="auto"/>
                <w:kern w:val="0"/>
                <w:sz w:val="24"/>
                <w:szCs w:val="20"/>
                <w:highlight w:val="none"/>
                <w:lang w:val="en-US" w:eastAsia="zh-CN"/>
              </w:rPr>
              <w:t>127.13</w:t>
            </w:r>
            <w:r>
              <w:rPr>
                <w:rFonts w:hint="eastAsia" w:ascii="Times New Roman" w:hAnsi="Times New Roman" w:cs="Times New Roman"/>
                <w:color w:val="auto"/>
                <w:kern w:val="0"/>
                <w:sz w:val="24"/>
                <w:szCs w:val="20"/>
                <w:highlight w:val="none"/>
                <w:lang w:val="en-US" w:eastAsia="zh-CN"/>
              </w:rPr>
              <w:t>m</w:t>
            </w:r>
            <w:r>
              <w:rPr>
                <w:rFonts w:hint="eastAsia" w:ascii="Times New Roman" w:hAnsi="Times New Roman" w:cs="Times New Roman"/>
                <w:color w:val="auto"/>
                <w:kern w:val="0"/>
                <w:sz w:val="24"/>
                <w:szCs w:val="20"/>
                <w:highlight w:val="none"/>
                <w:vertAlign w:val="superscript"/>
                <w:lang w:val="en-US" w:eastAsia="zh-CN"/>
              </w:rPr>
              <w:t>2</w:t>
            </w:r>
            <w:r>
              <w:rPr>
                <w:rFonts w:hint="default" w:ascii="Times New Roman" w:hAnsi="Times New Roman" w:cs="Times New Roman"/>
                <w:color w:val="auto"/>
                <w:kern w:val="0"/>
                <w:sz w:val="24"/>
                <w:szCs w:val="20"/>
                <w:highlight w:val="none"/>
              </w:rPr>
              <w:t>的</w:t>
            </w:r>
            <w:r>
              <w:rPr>
                <w:rFonts w:hint="eastAsia" w:cs="Times New Roman"/>
                <w:color w:val="auto"/>
                <w:kern w:val="0"/>
                <w:sz w:val="24"/>
                <w:szCs w:val="20"/>
                <w:highlight w:val="none"/>
                <w:lang w:val="en-US" w:eastAsia="zh-CN"/>
              </w:rPr>
              <w:t>危险</w:t>
            </w:r>
            <w:r>
              <w:rPr>
                <w:rFonts w:hint="default" w:ascii="Times New Roman" w:hAnsi="Times New Roman" w:cs="Times New Roman"/>
                <w:color w:val="auto"/>
                <w:kern w:val="0"/>
                <w:sz w:val="24"/>
                <w:szCs w:val="20"/>
                <w:highlight w:val="none"/>
              </w:rPr>
              <w:t>废物暂存场所，由专人负责管理，为防止</w:t>
            </w:r>
            <w:r>
              <w:rPr>
                <w:rFonts w:hint="eastAsia" w:cs="Times New Roman"/>
                <w:color w:val="auto"/>
                <w:kern w:val="0"/>
                <w:sz w:val="24"/>
                <w:szCs w:val="20"/>
                <w:highlight w:val="none"/>
                <w:lang w:val="en-US" w:eastAsia="zh-CN"/>
              </w:rPr>
              <w:t>危险</w:t>
            </w:r>
            <w:r>
              <w:rPr>
                <w:rFonts w:hint="default" w:ascii="Times New Roman" w:hAnsi="Times New Roman" w:cs="Times New Roman"/>
                <w:color w:val="auto"/>
                <w:kern w:val="0"/>
                <w:sz w:val="24"/>
                <w:szCs w:val="20"/>
                <w:highlight w:val="none"/>
              </w:rPr>
              <w:t>废物暂存场所储存期间对环境产生不利影响，贮存室内应有隔离设施、防风、防晒、防雨、防渗、防火设施。</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被病人血液沾染过的棉球、棉签、纱布等各种辅料、一次性使用的卫生用品（口罩、手术衣、手术帽、手套等）、一次性医疗用品（无菌注射器、输液器、输液袋、抽血器材等）</w:t>
            </w:r>
            <w:r>
              <w:rPr>
                <w:rFonts w:hint="eastAsia" w:ascii="Times New Roman" w:hAnsi="Times New Roman" w:eastAsia="宋体" w:cs="Times New Roman"/>
                <w:color w:val="auto"/>
                <w:kern w:val="2"/>
                <w:sz w:val="24"/>
                <w:szCs w:val="24"/>
                <w:highlight w:val="none"/>
                <w:lang w:val="en-US" w:eastAsia="zh-CN" w:bidi="ar-SA"/>
              </w:rPr>
              <w:t>医用针头、缝合针、</w:t>
            </w:r>
            <w:r>
              <w:rPr>
                <w:rFonts w:hint="default" w:ascii="Times New Roman" w:hAnsi="Times New Roman" w:eastAsia="宋体" w:cs="Times New Roman"/>
                <w:color w:val="auto"/>
                <w:kern w:val="2"/>
                <w:sz w:val="24"/>
                <w:szCs w:val="24"/>
                <w:highlight w:val="none"/>
                <w:lang w:val="en-US" w:eastAsia="zh-CN" w:bidi="ar-SA"/>
              </w:rPr>
              <w:t>废弃的汞血压计、汞温度计</w:t>
            </w:r>
            <w:r>
              <w:rPr>
                <w:rFonts w:hint="eastAsia" w:ascii="Times New Roman" w:hAnsi="Times New Roman" w:eastAsia="宋体" w:cs="Times New Roman"/>
                <w:color w:val="auto"/>
                <w:kern w:val="2"/>
                <w:sz w:val="24"/>
                <w:szCs w:val="24"/>
                <w:highlight w:val="none"/>
                <w:lang w:val="en-US" w:eastAsia="zh-CN" w:bidi="ar-SA"/>
              </w:rPr>
              <w:t>等</w:t>
            </w:r>
            <w:r>
              <w:rPr>
                <w:rFonts w:hint="eastAsia" w:ascii="Times New Roman" w:hAnsi="Times New Roman" w:eastAsia="宋体" w:cs="Times New Roman"/>
                <w:color w:val="auto"/>
                <w:kern w:val="2"/>
                <w:sz w:val="24"/>
                <w:szCs w:val="24"/>
                <w:highlight w:val="none"/>
                <w:lang w:val="zh-CN" w:eastAsia="zh-CN" w:bidi="ar-SA"/>
              </w:rPr>
              <w:t>分类收集，密封分区分类暂存于</w:t>
            </w:r>
            <w:r>
              <w:rPr>
                <w:rFonts w:hint="eastAsia" w:ascii="Times New Roman" w:hAnsi="Times New Roman" w:eastAsia="宋体" w:cs="Times New Roman"/>
                <w:color w:val="auto"/>
                <w:kern w:val="2"/>
                <w:sz w:val="24"/>
                <w:szCs w:val="24"/>
                <w:highlight w:val="none"/>
                <w:lang w:val="en-US" w:eastAsia="zh-CN" w:bidi="ar-SA"/>
              </w:rPr>
              <w:t>危险</w:t>
            </w:r>
            <w:r>
              <w:rPr>
                <w:rFonts w:hint="default" w:ascii="Times New Roman" w:hAnsi="Times New Roman" w:eastAsia="宋体" w:cs="Times New Roman"/>
                <w:color w:val="auto"/>
                <w:kern w:val="2"/>
                <w:sz w:val="24"/>
                <w:szCs w:val="24"/>
                <w:highlight w:val="none"/>
                <w:lang w:val="en-US" w:eastAsia="zh-CN" w:bidi="ar-SA"/>
              </w:rPr>
              <w:t>废物暂存间</w:t>
            </w:r>
            <w:r>
              <w:rPr>
                <w:rFonts w:hint="eastAsia"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en-US" w:eastAsia="zh-CN" w:bidi="ar-SA"/>
              </w:rPr>
              <w:t>过</w:t>
            </w:r>
            <w:r>
              <w:rPr>
                <w:rFonts w:hint="eastAsia" w:ascii="Times New Roman" w:hAnsi="Times New Roman" w:eastAsia="宋体" w:cs="Times New Roman"/>
                <w:color w:val="auto"/>
                <w:kern w:val="2"/>
                <w:sz w:val="24"/>
                <w:szCs w:val="24"/>
                <w:highlight w:val="none"/>
                <w:lang w:val="zh-CN" w:eastAsia="zh-CN" w:bidi="ar-SA"/>
              </w:rPr>
              <w:t>期药品、试剂</w:t>
            </w:r>
            <w:r>
              <w:rPr>
                <w:rFonts w:hint="eastAsia" w:ascii="Times New Roman" w:hAnsi="Times New Roman" w:eastAsia="宋体" w:cs="Times New Roman"/>
                <w:color w:val="auto"/>
                <w:kern w:val="2"/>
                <w:sz w:val="24"/>
                <w:szCs w:val="24"/>
                <w:highlight w:val="none"/>
                <w:lang w:val="en-US" w:eastAsia="zh-CN" w:bidi="ar-SA"/>
              </w:rPr>
              <w:t>以及污水站污泥分类收集</w:t>
            </w:r>
            <w:r>
              <w:rPr>
                <w:rFonts w:hint="eastAsia" w:ascii="Times New Roman" w:hAnsi="Times New Roman" w:eastAsia="宋体" w:cs="Times New Roman"/>
                <w:color w:val="auto"/>
                <w:kern w:val="2"/>
                <w:sz w:val="24"/>
                <w:szCs w:val="24"/>
                <w:highlight w:val="none"/>
                <w:lang w:val="zh-CN" w:eastAsia="zh-CN" w:bidi="ar-SA"/>
              </w:rPr>
              <w:t>后暂存于</w:t>
            </w:r>
            <w:r>
              <w:rPr>
                <w:rFonts w:hint="eastAsia" w:cs="Times New Roman"/>
                <w:color w:val="auto"/>
                <w:kern w:val="2"/>
                <w:sz w:val="24"/>
                <w:szCs w:val="24"/>
                <w:highlight w:val="none"/>
                <w:lang w:val="en-US" w:eastAsia="zh-CN" w:bidi="ar-SA"/>
              </w:rPr>
              <w:t>危险</w:t>
            </w:r>
            <w:r>
              <w:rPr>
                <w:rFonts w:hint="eastAsia" w:ascii="Times New Roman" w:hAnsi="Times New Roman" w:eastAsia="宋体" w:cs="Times New Roman"/>
                <w:color w:val="auto"/>
                <w:kern w:val="2"/>
                <w:sz w:val="24"/>
                <w:szCs w:val="24"/>
                <w:highlight w:val="none"/>
                <w:lang w:val="en-US" w:eastAsia="zh-CN" w:bidi="ar-SA"/>
              </w:rPr>
              <w:t>废物暂存间</w:t>
            </w:r>
            <w:r>
              <w:rPr>
                <w:rFonts w:hint="eastAsia" w:ascii="Times New Roman" w:hAnsi="Times New Roman" w:eastAsia="宋体" w:cs="Times New Roman"/>
                <w:color w:val="auto"/>
                <w:kern w:val="2"/>
                <w:sz w:val="24"/>
                <w:szCs w:val="24"/>
                <w:highlight w:val="none"/>
                <w:lang w:val="zh-CN" w:eastAsia="zh-CN" w:bidi="ar-SA"/>
              </w:rPr>
              <w:t>，</w:t>
            </w:r>
            <w:r>
              <w:rPr>
                <w:rFonts w:hint="eastAsia" w:ascii="Times New Roman" w:hAnsi="Times New Roman" w:eastAsia="宋体" w:cs="Times New Roman"/>
                <w:color w:val="auto"/>
                <w:kern w:val="2"/>
                <w:sz w:val="24"/>
                <w:szCs w:val="24"/>
                <w:highlight w:val="none"/>
                <w:lang w:val="en-US" w:eastAsia="zh-CN" w:bidi="ar-SA"/>
              </w:rPr>
              <w:t>均</w:t>
            </w:r>
            <w:r>
              <w:rPr>
                <w:rFonts w:hint="eastAsia" w:ascii="Times New Roman" w:hAnsi="Times New Roman" w:eastAsia="宋体" w:cs="Times New Roman"/>
                <w:color w:val="auto"/>
                <w:kern w:val="2"/>
                <w:sz w:val="24"/>
                <w:szCs w:val="24"/>
                <w:highlight w:val="none"/>
                <w:lang w:val="zh-CN" w:eastAsia="zh-CN" w:bidi="ar-SA"/>
              </w:rPr>
              <w:t>定期委托有处置资质的单位进行处置。</w:t>
            </w:r>
          </w:p>
          <w:p>
            <w:pPr>
              <w:adjustRightInd w:val="0"/>
              <w:snapToGrid w:val="0"/>
              <w:spacing w:line="360" w:lineRule="auto"/>
              <w:ind w:firstLine="482" w:firstLineChars="200"/>
              <w:rPr>
                <w:rFonts w:hint="default" w:ascii="Times New Roman" w:hAnsi="Times New Roman" w:cs="Times New Roman"/>
                <w:b/>
                <w:bCs/>
                <w:color w:val="auto"/>
                <w:kern w:val="0"/>
                <w:sz w:val="24"/>
                <w:szCs w:val="20"/>
                <w:highlight w:val="none"/>
              </w:rPr>
            </w:pPr>
            <w:r>
              <w:rPr>
                <w:rFonts w:hint="default" w:ascii="Times New Roman" w:hAnsi="Times New Roman" w:cs="Times New Roman"/>
                <w:b/>
                <w:bCs/>
                <w:color w:val="auto"/>
                <w:kern w:val="0"/>
                <w:sz w:val="24"/>
                <w:szCs w:val="20"/>
                <w:highlight w:val="none"/>
              </w:rPr>
              <w:t>污泥：</w:t>
            </w:r>
            <w:r>
              <w:rPr>
                <w:rFonts w:hint="default" w:ascii="Times New Roman" w:hAnsi="Times New Roman" w:cs="Times New Roman"/>
                <w:color w:val="auto"/>
                <w:kern w:val="0"/>
                <w:sz w:val="24"/>
                <w:szCs w:val="20"/>
                <w:highlight w:val="none"/>
              </w:rPr>
              <w:t>污泥浓缩</w:t>
            </w:r>
            <w:r>
              <w:rPr>
                <w:rFonts w:hint="default" w:ascii="Times New Roman" w:hAnsi="Times New Roman" w:cs="Times New Roman"/>
                <w:color w:val="auto"/>
                <w:kern w:val="0"/>
                <w:sz w:val="24"/>
                <w:szCs w:val="20"/>
                <w:highlight w:val="none"/>
                <w:lang w:eastAsia="zh-CN"/>
              </w:rPr>
              <w:t>后定期</w:t>
            </w:r>
            <w:r>
              <w:rPr>
                <w:rFonts w:hint="default" w:ascii="Times New Roman" w:hAnsi="Times New Roman" w:cs="Times New Roman"/>
                <w:color w:val="auto"/>
                <w:kern w:val="0"/>
                <w:sz w:val="24"/>
                <w:szCs w:val="20"/>
                <w:highlight w:val="none"/>
              </w:rPr>
              <w:t>委托有资质单位处理。</w:t>
            </w:r>
          </w:p>
          <w:p>
            <w:pPr>
              <w:pStyle w:val="3"/>
              <w:spacing w:after="0" w:line="360" w:lineRule="auto"/>
              <w:ind w:left="0" w:leftChars="0" w:firstLine="482" w:firstLineChars="200"/>
              <w:contextualSpacing/>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4.</w:t>
            </w:r>
            <w:r>
              <w:rPr>
                <w:rFonts w:hint="eastAsia" w:cs="Times New Roman"/>
                <w:b/>
                <w:bCs/>
                <w:color w:val="auto"/>
                <w:highlight w:val="none"/>
                <w:lang w:val="en-US" w:eastAsia="zh-CN"/>
              </w:rPr>
              <w:t>5</w:t>
            </w:r>
            <w:r>
              <w:rPr>
                <w:rFonts w:hint="default" w:ascii="Times New Roman" w:hAnsi="Times New Roman" w:cs="Times New Roman"/>
                <w:b/>
                <w:bCs/>
                <w:color w:val="auto"/>
                <w:highlight w:val="none"/>
              </w:rPr>
              <w:t>医疗废物要求</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项目医疗废物来源广泛，成分复杂，概括起来主要是一次性医疗用品、敷料传染性废物、玻璃器皿、过期药品、废水处理污泥等。主要分为感染性废物、病理性废物、损伤性废物、药物性废物、化学性废物。</w:t>
            </w:r>
          </w:p>
          <w:p>
            <w:pPr>
              <w:spacing w:line="360" w:lineRule="auto"/>
              <w:ind w:firstLine="480" w:firstLineChars="200"/>
              <w:rPr>
                <w:rFonts w:hint="default" w:ascii="Times New Roman" w:hAnsi="Times New Roman" w:cs="Times New Roman"/>
                <w:color w:val="auto"/>
                <w:sz w:val="24"/>
                <w:highlight w:val="none"/>
              </w:rPr>
            </w:pPr>
            <w:r>
              <w:rPr>
                <w:rFonts w:hint="eastAsia"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1</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分类</w:t>
            </w:r>
          </w:p>
          <w:p>
            <w:pPr>
              <w:adjustRightInd w:val="0"/>
              <w:snapToGrid w:val="0"/>
              <w:spacing w:line="360" w:lineRule="auto"/>
              <w:ind w:firstLine="480" w:firstLineChars="200"/>
              <w:rPr>
                <w:rFonts w:hint="default" w:ascii="Times New Roman" w:hAnsi="Times New Roman" w:cs="Times New Roman"/>
                <w:color w:val="auto"/>
                <w:kern w:val="0"/>
                <w:sz w:val="24"/>
                <w:szCs w:val="20"/>
                <w:highlight w:val="none"/>
              </w:rPr>
            </w:pPr>
            <w:r>
              <w:rPr>
                <w:rFonts w:hint="default" w:ascii="Times New Roman" w:hAnsi="Times New Roman" w:cs="Times New Roman"/>
                <w:color w:val="auto"/>
                <w:kern w:val="0"/>
                <w:sz w:val="24"/>
                <w:szCs w:val="20"/>
                <w:highlight w:val="none"/>
              </w:rPr>
              <w:t>医院需设置医疗废物收集容器和塑料袋，并在收集点提供垃圾收集的指导或警示信息。所有工作人员按《医疗废物管理条例(2011  修订)》的要求及时分类收集各科室产生的医疗废物，并按照类别分别置于防渗漏、防锐器穿透的专用包装物或者密闭的容器内。所采用的分类收集医疗废物的塑料袋或容器的材质、规格均应符合国家有关规定的要求。</w:t>
            </w:r>
          </w:p>
          <w:p>
            <w:pPr>
              <w:spacing w:line="360" w:lineRule="auto"/>
              <w:ind w:firstLine="480" w:firstLineChars="200"/>
              <w:rPr>
                <w:rFonts w:hint="default" w:ascii="Times New Roman" w:hAnsi="Times New Roman" w:eastAsia="宋体" w:cs="Times New Roman"/>
                <w:b/>
                <w:color w:val="auto"/>
                <w:sz w:val="24"/>
                <w:szCs w:val="24"/>
                <w:highlight w:val="none"/>
              </w:rPr>
            </w:pPr>
            <w:r>
              <w:rPr>
                <w:rFonts w:hint="default" w:ascii="Times New Roman" w:hAnsi="Times New Roman" w:cs="Times New Roman"/>
                <w:color w:val="auto"/>
                <w:sz w:val="24"/>
                <w:highlight w:val="none"/>
              </w:rPr>
              <w:t>医疗废物包装物、容器的要求见下表。</w:t>
            </w:r>
          </w:p>
          <w:p>
            <w:pPr>
              <w:adjustRightInd w:val="0"/>
              <w:snapToGrid w:val="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表4-1</w:t>
            </w:r>
            <w:r>
              <w:rPr>
                <w:rFonts w:hint="eastAsia" w:cs="Times New Roman"/>
                <w:b/>
                <w:color w:val="auto"/>
                <w:sz w:val="24"/>
                <w:szCs w:val="24"/>
                <w:highlight w:val="none"/>
                <w:lang w:val="en-US" w:eastAsia="zh-CN"/>
              </w:rPr>
              <w:t>5</w:t>
            </w:r>
            <w:r>
              <w:rPr>
                <w:rFonts w:hint="eastAsia"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医疗废物包装物、容器的要求</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3"/>
              <w:gridCol w:w="2820"/>
              <w:gridCol w:w="4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7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医疗废物种类</w:t>
                  </w:r>
                </w:p>
              </w:tc>
              <w:tc>
                <w:tcPr>
                  <w:tcW w:w="282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容器标记及颜色</w:t>
                  </w:r>
                </w:p>
              </w:tc>
              <w:tc>
                <w:tcPr>
                  <w:tcW w:w="402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容器种类和要求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感染性废物</w:t>
                  </w:r>
                </w:p>
              </w:tc>
              <w:tc>
                <w:tcPr>
                  <w:tcW w:w="282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注明“感染性废物”，黄色</w:t>
                  </w:r>
                </w:p>
              </w:tc>
              <w:tc>
                <w:tcPr>
                  <w:tcW w:w="402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防渗漏、可封闭的塑料袋或容器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病理性废物</w:t>
                  </w:r>
                </w:p>
              </w:tc>
              <w:tc>
                <w:tcPr>
                  <w:tcW w:w="282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注明“病理性废物”，黄色</w:t>
                  </w:r>
                </w:p>
              </w:tc>
              <w:tc>
                <w:tcPr>
                  <w:tcW w:w="402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防渗漏、可封闭的塑料袋或容器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损伤性废物</w:t>
                  </w:r>
                </w:p>
              </w:tc>
              <w:tc>
                <w:tcPr>
                  <w:tcW w:w="282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注明“损伤性废物”，黄色</w:t>
                  </w:r>
                </w:p>
              </w:tc>
              <w:tc>
                <w:tcPr>
                  <w:tcW w:w="402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不易刺破、防渗漏、可封闭的器（锐器盒）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药物性废物</w:t>
                  </w:r>
                </w:p>
              </w:tc>
              <w:tc>
                <w:tcPr>
                  <w:tcW w:w="282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注明“药物性废物”，褐色</w:t>
                  </w:r>
                </w:p>
              </w:tc>
              <w:tc>
                <w:tcPr>
                  <w:tcW w:w="402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塑料袋或容器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3"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化学性废物</w:t>
                  </w:r>
                </w:p>
              </w:tc>
              <w:tc>
                <w:tcPr>
                  <w:tcW w:w="2820"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注明“化学性废物”，黄色</w:t>
                  </w:r>
                </w:p>
              </w:tc>
              <w:tc>
                <w:tcPr>
                  <w:tcW w:w="402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容器</w:t>
                  </w:r>
                </w:p>
              </w:tc>
            </w:tr>
          </w:tbl>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（2）收集、转运、存放</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医疗废物转移过程中应执行《医疗废物集中处置技术规范（试行）》的规定，废药物、药品转移处置</w:t>
            </w:r>
            <w:r>
              <w:rPr>
                <w:rFonts w:hint="eastAsia" w:ascii="Times New Roman" w:hAnsi="Times New Roman" w:eastAsia="宋体" w:cs="Times New Roman"/>
                <w:color w:val="auto"/>
                <w:sz w:val="24"/>
                <w:highlight w:val="none"/>
                <w:lang w:val="en-US" w:eastAsia="zh-CN"/>
              </w:rPr>
              <w:t>危险</w:t>
            </w:r>
            <w:r>
              <w:rPr>
                <w:rFonts w:hint="default" w:ascii="Times New Roman" w:hAnsi="Times New Roman" w:eastAsia="宋体" w:cs="Times New Roman"/>
                <w:color w:val="auto"/>
                <w:sz w:val="24"/>
                <w:highlight w:val="none"/>
                <w:lang w:val="en-US" w:eastAsia="zh-CN"/>
              </w:rPr>
              <w:t>废物暂存间</w:t>
            </w:r>
            <w:r>
              <w:rPr>
                <w:rFonts w:hint="default" w:ascii="Times New Roman" w:hAnsi="Times New Roman" w:eastAsia="宋体" w:cs="Times New Roman"/>
                <w:color w:val="auto"/>
                <w:sz w:val="24"/>
                <w:highlight w:val="none"/>
              </w:rPr>
              <w:t>过</w:t>
            </w:r>
            <w:r>
              <w:rPr>
                <w:rFonts w:hint="default" w:ascii="Times New Roman" w:hAnsi="Times New Roman" w:cs="Times New Roman"/>
                <w:color w:val="auto"/>
                <w:sz w:val="24"/>
                <w:highlight w:val="none"/>
              </w:rPr>
              <w:t>程中执行《危险废物转移管理办法》。</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医院产生的医疗废物</w:t>
            </w:r>
            <w:r>
              <w:rPr>
                <w:rFonts w:hint="eastAsia" w:cs="Times New Roman"/>
                <w:color w:val="auto"/>
                <w:sz w:val="24"/>
                <w:highlight w:val="none"/>
                <w:lang w:val="en-US" w:eastAsia="zh-CN"/>
              </w:rPr>
              <w:t>应当遵循就近原则</w:t>
            </w:r>
            <w:r>
              <w:rPr>
                <w:rFonts w:hint="default" w:ascii="Times New Roman" w:hAnsi="Times New Roman" w:cs="Times New Roman"/>
                <w:color w:val="auto"/>
                <w:sz w:val="24"/>
                <w:highlight w:val="none"/>
              </w:rPr>
              <w:t>交由有资质单位集中处理</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日产日清，各类医疗废物分类收集，再用大型医疗废物袋将每层垃圾汇总，经专用的垃圾通道将医疗废物转运到。</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一）对承运人或者接受人的主体资格和技术能力进行核实，依法签订书面合同，并在合同中约定运输、贮存、利用、处置危险废物的污染防治要求及相关责任；</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二）制定危险废物管理计划，明确拟转移危险废物的种类、重量（数量）和流向等信息；</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三）建立危险废物管理台账，对转移的危险废物进行计量称重，如实记录、妥善保管转移危险废物的种类、重量（数量）和接受人等相关信息；</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四）填写、运行危险废物转移联单，在危险废物转移联单中如实填写移出人、承运人、接受人信息，转移危险废物的种类、重量（数量）、危险特性等信息，以及突发环境事件的防范措施等；</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五）及时核实接受人贮存、利用或者处置相关危险废物情况；</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六）法律法规规定的其他义务。</w:t>
            </w:r>
          </w:p>
          <w:p>
            <w:pPr>
              <w:pStyle w:val="12"/>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移出人应当按照国家有关要求开展危险废物鉴别。禁止将危险废物以副产品等名义提供或者委托给无危险废物经营许可证的单位或者其他生产经营者从事收集、贮存、利用、处置活动。</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依据《医疗废物分类目录(2021  年版)》</w:t>
            </w:r>
            <w:r>
              <w:rPr>
                <w:rFonts w:hint="eastAsia" w:cs="Times New Roman"/>
                <w:color w:val="auto"/>
                <w:sz w:val="24"/>
                <w:highlight w:val="none"/>
                <w:lang w:eastAsia="zh-CN"/>
              </w:rPr>
              <w:t>和</w:t>
            </w:r>
            <w:r>
              <w:rPr>
                <w:rFonts w:hint="default" w:ascii="Times New Roman" w:hAnsi="Times New Roman" w:cs="Times New Roman"/>
                <w:color w:val="auto"/>
                <w:sz w:val="24"/>
                <w:highlight w:val="none"/>
              </w:rPr>
              <w:t>《医疗废物管理条例(2011  修订)》，医疗废物的暂时贮存设施、设备，应当远离医疗区、食品加工区和人员活动区以及生活垃圾存放场所，并设置明显的警示标识和防渗漏、防鼠、防蚊蝇、防蟑螂、防盗以及预防儿童接触等安全措施。医疗废物的暂时贮存设施、设备应当定期消毒和清洁。项目</w:t>
            </w:r>
            <w:r>
              <w:rPr>
                <w:rFonts w:hint="eastAsia" w:ascii="Times New Roman" w:hAnsi="Times New Roman" w:eastAsia="宋体" w:cs="Times New Roman"/>
                <w:color w:val="auto"/>
                <w:sz w:val="24"/>
                <w:highlight w:val="none"/>
                <w:lang w:val="en-US" w:eastAsia="zh-CN"/>
              </w:rPr>
              <w:t>危险</w:t>
            </w:r>
            <w:r>
              <w:rPr>
                <w:rFonts w:hint="default" w:ascii="Times New Roman" w:hAnsi="Times New Roman" w:eastAsia="宋体" w:cs="Times New Roman"/>
                <w:color w:val="auto"/>
                <w:sz w:val="24"/>
                <w:highlight w:val="none"/>
                <w:lang w:val="en-US" w:eastAsia="zh-CN"/>
              </w:rPr>
              <w:t>废物暂存间</w:t>
            </w:r>
            <w:r>
              <w:rPr>
                <w:rFonts w:hint="default" w:ascii="Times New Roman" w:hAnsi="Times New Roman" w:cs="Times New Roman"/>
                <w:color w:val="auto"/>
                <w:sz w:val="24"/>
                <w:highlight w:val="none"/>
              </w:rPr>
              <w:t>位于医院医技楼东侧，与医技楼有一定距离间隔，紧邻医院污物出口，便于转运医疗废物。</w:t>
            </w:r>
          </w:p>
          <w:p>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（3）污水站污泥</w:t>
            </w:r>
          </w:p>
          <w:p>
            <w:pPr>
              <w:widowControl/>
              <w:spacing w:line="360" w:lineRule="auto"/>
              <w:ind w:firstLine="480" w:firstLineChars="200"/>
              <w:jc w:val="both"/>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医院污水处理站污泥（841-001-01）属于《国家危险废物名录》(2021年版）中编号为</w:t>
            </w:r>
            <w:r>
              <w:rPr>
                <w:rFonts w:hint="default" w:ascii="Times New Roman" w:hAnsi="Times New Roman" w:cs="Times New Roman"/>
                <w:color w:val="auto"/>
                <w:kern w:val="0"/>
                <w:sz w:val="24"/>
                <w:highlight w:val="none"/>
                <w:lang w:bidi="en-US"/>
              </w:rPr>
              <w:t>HW01的危险废物。</w:t>
            </w:r>
            <w:r>
              <w:rPr>
                <w:rFonts w:hint="default" w:ascii="Times New Roman" w:hAnsi="Times New Roman" w:cs="Times New Roman"/>
                <w:color w:val="auto"/>
                <w:sz w:val="24"/>
                <w:highlight w:val="none"/>
              </w:rPr>
              <w:t>根据现行的《医疗机构水污染物排放标准》（GB18466-2005），医院污水处理站污泥属于危险废物，应按危险废物进行处理和处置；根据《排污许可证申请与核发技术规范—医疗机构》（HJ1105-2020），污水处理站污泥属于危险废物，医院污水站产生的医疗污泥暂存于浓缩池，污泥清掏前需按照《医疗机构水污染物排放标准》（GB18466-2005）要求进行监测，再经消毒处理后，交由有资质单位进行收运处置，保证污泥达到《医疗机构水污染物排放标准》（GB18466-2005）中医疗机构污泥控制要求，污泥转移处置过程中执行《危险废物转移管理办法》。</w:t>
            </w:r>
          </w:p>
          <w:p>
            <w:pPr>
              <w:adjustRightInd w:val="0"/>
              <w:snapToGrid w:val="0"/>
              <w:spacing w:line="360" w:lineRule="auto"/>
              <w:ind w:firstLine="480" w:firstLineChars="200"/>
              <w:rPr>
                <w:rFonts w:hint="default" w:ascii="Times New Roman" w:hAnsi="Times New Roman" w:cs="Times New Roman"/>
                <w:color w:val="auto"/>
                <w:kern w:val="0"/>
                <w:sz w:val="24"/>
                <w:szCs w:val="20"/>
                <w:highlight w:val="none"/>
              </w:rPr>
            </w:pPr>
            <w:r>
              <w:rPr>
                <w:rFonts w:hint="default" w:ascii="Times New Roman" w:hAnsi="Times New Roman" w:cs="Times New Roman"/>
                <w:color w:val="auto"/>
                <w:kern w:val="0"/>
                <w:sz w:val="24"/>
                <w:szCs w:val="20"/>
                <w:highlight w:val="none"/>
              </w:rPr>
              <w:t>本项目固废经采取以上处置措施后，实现无害化，对周围环境影响较小。</w:t>
            </w:r>
          </w:p>
          <w:p>
            <w:pPr>
              <w:adjustRightInd w:val="0"/>
              <w:snapToGrid w:val="0"/>
              <w:spacing w:line="360" w:lineRule="auto"/>
              <w:rPr>
                <w:rFonts w:hint="eastAsia" w:ascii="Times New Roman" w:hAnsi="Times New Roman" w:eastAsia="宋体" w:cs="Times New Roman"/>
                <w:b/>
                <w:color w:val="auto"/>
                <w:sz w:val="24"/>
                <w:highlight w:val="none"/>
                <w:lang w:eastAsia="zh-CN"/>
              </w:rPr>
            </w:pPr>
            <w:bookmarkStart w:id="14" w:name="_Hlk71894409"/>
            <w:r>
              <w:rPr>
                <w:rFonts w:hint="default" w:ascii="Times New Roman" w:hAnsi="Times New Roman" w:cs="Times New Roman"/>
                <w:b/>
                <w:color w:val="auto"/>
                <w:sz w:val="24"/>
                <w:highlight w:val="none"/>
              </w:rPr>
              <w:t>5、地下水、土壤</w:t>
            </w:r>
            <w:r>
              <w:rPr>
                <w:rFonts w:hint="eastAsia" w:ascii="Times New Roman" w:hAnsi="Times New Roman" w:eastAsia="宋体" w:cs="Times New Roman"/>
                <w:b/>
                <w:color w:val="auto"/>
                <w:sz w:val="24"/>
                <w:highlight w:val="none"/>
                <w:lang w:eastAsia="zh-CN"/>
              </w:rPr>
              <w:t>环境影响分析</w:t>
            </w:r>
          </w:p>
          <w:p>
            <w:pPr>
              <w:widowControl/>
              <w:spacing w:line="360" w:lineRule="auto"/>
              <w:ind w:firstLine="480" w:firstLineChars="200"/>
              <w:jc w:val="left"/>
              <w:rPr>
                <w:rFonts w:hint="eastAsia"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根据《环境影响评价技术导则地下水环境》（HJ610-2016），本项目为Ⅳ项目，根据《环境影响评价技术导则土壤环境》（HJ964-2018），本项目属于社会事业与服务业-其他，为Ⅳ项目，本项目不存在地下水与土壤环境影响，因此不开展地下水、土壤环境影响评价。仅对地下水防渗措施提出要求。根据《危险废物贮存污染控制标准》（GB18597-2001）中的要求，危险废物暂存间防渗要求为渗透系数＜10</w:t>
            </w:r>
            <w:r>
              <w:rPr>
                <w:rFonts w:hint="eastAsia" w:ascii="Times New Roman" w:hAnsi="Times New Roman" w:eastAsia="宋体" w:cs="Times New Roman"/>
                <w:color w:val="auto"/>
                <w:sz w:val="24"/>
                <w:highlight w:val="none"/>
                <w:vertAlign w:val="superscript"/>
                <w:lang w:val="en-US" w:eastAsia="zh-CN"/>
              </w:rPr>
              <w:t>-10</w:t>
            </w:r>
            <w:r>
              <w:rPr>
                <w:rFonts w:hint="eastAsia" w:ascii="Times New Roman" w:hAnsi="Times New Roman" w:eastAsia="宋体" w:cs="Times New Roman"/>
                <w:color w:val="auto"/>
                <w:sz w:val="24"/>
                <w:highlight w:val="none"/>
                <w:lang w:val="en-US" w:eastAsia="zh-CN"/>
              </w:rPr>
              <w:t>cm/s。</w:t>
            </w:r>
          </w:p>
          <w:p>
            <w:pPr>
              <w:widowControl/>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针对本项目可能对地下水和土壤造成的污染情况，依据《环境影响评价技术导则地下水环境》（HJ610-2016）及相关要求，本报告建议建设单位拟采取防止地下水及土壤污染的保护措施如下：</w:t>
            </w:r>
          </w:p>
          <w:p>
            <w:pPr>
              <w:widowControl/>
              <w:spacing w:line="360" w:lineRule="auto"/>
              <w:ind w:firstLine="480" w:firstLineChars="200"/>
              <w:jc w:val="both"/>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重点防渗区：</w:t>
            </w:r>
            <w:r>
              <w:rPr>
                <w:rFonts w:hint="eastAsia" w:ascii="Times New Roman" w:hAnsi="Times New Roman" w:eastAsia="宋体" w:cs="Times New Roman"/>
                <w:color w:val="auto"/>
                <w:sz w:val="24"/>
                <w:highlight w:val="none"/>
                <w:lang w:val="en-US" w:eastAsia="zh-CN"/>
              </w:rPr>
              <w:t>危险</w:t>
            </w:r>
            <w:r>
              <w:rPr>
                <w:rFonts w:hint="default" w:ascii="Times New Roman" w:hAnsi="Times New Roman" w:eastAsia="宋体" w:cs="Times New Roman"/>
                <w:color w:val="auto"/>
                <w:sz w:val="24"/>
                <w:highlight w:val="none"/>
                <w:lang w:val="en-US" w:eastAsia="zh-CN"/>
              </w:rPr>
              <w:t>废物暂存间</w:t>
            </w:r>
            <w:r>
              <w:rPr>
                <w:rFonts w:hint="eastAsia" w:ascii="Times New Roman" w:hAnsi="Times New Roman" w:eastAsia="宋体" w:cs="Times New Roman"/>
                <w:color w:val="auto"/>
                <w:sz w:val="24"/>
                <w:highlight w:val="none"/>
                <w:lang w:val="en-US" w:eastAsia="zh-CN"/>
              </w:rPr>
              <w:t>、柴油发电机房、污水处理站、污水管网房</w:t>
            </w:r>
            <w:r>
              <w:rPr>
                <w:rFonts w:hint="eastAsia" w:cs="Times New Roman"/>
                <w:color w:val="auto"/>
                <w:sz w:val="24"/>
                <w:highlight w:val="none"/>
                <w:lang w:val="en-US" w:eastAsia="zh-CN"/>
              </w:rPr>
              <w:t>、液氧</w:t>
            </w:r>
            <w:r>
              <w:rPr>
                <w:rFonts w:hint="eastAsia" w:ascii="Times New Roman" w:hAnsi="Times New Roman" w:eastAsia="宋体" w:cs="Times New Roman"/>
                <w:color w:val="auto"/>
                <w:sz w:val="24"/>
                <w:highlight w:val="none"/>
                <w:lang w:val="en-US" w:eastAsia="zh-CN"/>
              </w:rPr>
              <w:t>储罐泵房</w:t>
            </w:r>
            <w:r>
              <w:rPr>
                <w:rFonts w:hint="default" w:ascii="Times New Roman" w:hAnsi="Times New Roman" w:eastAsia="宋体" w:cs="Times New Roman"/>
                <w:color w:val="auto"/>
                <w:sz w:val="24"/>
                <w:highlight w:val="none"/>
                <w:lang w:eastAsia="zh-CN"/>
              </w:rPr>
              <w:t>采用2mmHDPE或至少2mm厚</w:t>
            </w:r>
            <w:r>
              <w:rPr>
                <w:rFonts w:hint="eastAsia" w:cs="Times New Roman"/>
                <w:color w:val="auto"/>
                <w:sz w:val="24"/>
                <w:highlight w:val="none"/>
                <w:lang w:eastAsia="zh-CN"/>
              </w:rPr>
              <w:t>的其他</w:t>
            </w:r>
            <w:r>
              <w:rPr>
                <w:rFonts w:hint="default" w:ascii="Times New Roman" w:hAnsi="Times New Roman" w:eastAsia="宋体" w:cs="Times New Roman"/>
                <w:color w:val="auto"/>
                <w:sz w:val="24"/>
                <w:highlight w:val="none"/>
                <w:lang w:eastAsia="zh-CN"/>
              </w:rPr>
              <w:t>人工材料，等效黏土防渗层Mb≥6m</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eastAsia="zh-CN"/>
              </w:rPr>
              <w:t>K≤1×10</w:t>
            </w:r>
            <w:r>
              <w:rPr>
                <w:rFonts w:hint="default" w:ascii="Times New Roman" w:hAnsi="Times New Roman" w:eastAsia="宋体" w:cs="Times New Roman"/>
                <w:color w:val="auto"/>
                <w:sz w:val="24"/>
                <w:highlight w:val="none"/>
                <w:vertAlign w:val="superscript"/>
                <w:lang w:eastAsia="zh-CN"/>
              </w:rPr>
              <w:t>-</w:t>
            </w:r>
            <w:r>
              <w:rPr>
                <w:rFonts w:hint="default" w:ascii="Times New Roman" w:hAnsi="Times New Roman" w:eastAsia="宋体" w:cs="Times New Roman"/>
                <w:color w:val="auto"/>
                <w:sz w:val="24"/>
                <w:highlight w:val="none"/>
                <w:vertAlign w:val="superscript"/>
                <w:lang w:val="en-US" w:eastAsia="zh-CN"/>
              </w:rPr>
              <w:t>7</w:t>
            </w:r>
            <w:r>
              <w:rPr>
                <w:rFonts w:hint="default" w:ascii="Times New Roman" w:hAnsi="Times New Roman" w:eastAsia="宋体" w:cs="Times New Roman"/>
                <w:color w:val="auto"/>
                <w:sz w:val="24"/>
                <w:highlight w:val="none"/>
                <w:lang w:eastAsia="zh-CN"/>
              </w:rPr>
              <w:t>cm/s；</w:t>
            </w:r>
          </w:p>
          <w:p>
            <w:pPr>
              <w:widowControl/>
              <w:spacing w:line="360" w:lineRule="auto"/>
              <w:ind w:firstLine="480" w:firstLineChars="200"/>
              <w:jc w:val="both"/>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一般防渗区：</w:t>
            </w:r>
            <w:r>
              <w:rPr>
                <w:rFonts w:hint="default" w:ascii="Times New Roman" w:hAnsi="Times New Roman" w:eastAsia="宋体" w:cs="Times New Roman"/>
                <w:color w:val="auto"/>
                <w:sz w:val="24"/>
                <w:highlight w:val="none"/>
                <w:lang w:val="en-US" w:eastAsia="zh-CN"/>
              </w:rPr>
              <w:t>门诊、中医名医实践馆、诊疗室、医技楼</w:t>
            </w:r>
            <w:r>
              <w:rPr>
                <w:rFonts w:hint="eastAsia" w:ascii="Times New Roman" w:hAnsi="Times New Roman" w:eastAsia="宋体" w:cs="Times New Roman"/>
                <w:color w:val="auto"/>
                <w:sz w:val="24"/>
                <w:highlight w:val="none"/>
                <w:lang w:val="en-US" w:eastAsia="zh-CN"/>
              </w:rPr>
              <w:t>、住院楼、</w:t>
            </w:r>
            <w:r>
              <w:rPr>
                <w:rFonts w:hint="default" w:ascii="Times New Roman" w:hAnsi="Times New Roman" w:eastAsia="宋体" w:cs="Times New Roman"/>
                <w:color w:val="auto"/>
                <w:sz w:val="24"/>
                <w:highlight w:val="none"/>
                <w:lang w:val="en-US" w:eastAsia="zh-CN"/>
              </w:rPr>
              <w:t>中药制剂中心、康复中心</w:t>
            </w:r>
            <w:r>
              <w:rPr>
                <w:rFonts w:hint="default" w:ascii="Times New Roman" w:hAnsi="Times New Roman" w:eastAsia="宋体" w:cs="Times New Roman"/>
                <w:color w:val="auto"/>
                <w:sz w:val="24"/>
                <w:highlight w:val="none"/>
                <w:lang w:eastAsia="zh-CN"/>
              </w:rPr>
              <w:t>采用防渗混凝土防渗，等效黏土防渗层Mb≥1.5m，K≤1×10</w:t>
            </w:r>
            <w:r>
              <w:rPr>
                <w:rFonts w:hint="default" w:ascii="Times New Roman" w:hAnsi="Times New Roman" w:eastAsia="宋体" w:cs="Times New Roman"/>
                <w:color w:val="auto"/>
                <w:sz w:val="24"/>
                <w:highlight w:val="none"/>
                <w:vertAlign w:val="superscript"/>
                <w:lang w:eastAsia="zh-CN"/>
              </w:rPr>
              <w:t>-7</w:t>
            </w:r>
            <w:r>
              <w:rPr>
                <w:rFonts w:hint="default" w:ascii="Times New Roman" w:hAnsi="Times New Roman" w:eastAsia="宋体" w:cs="Times New Roman"/>
                <w:color w:val="auto"/>
                <w:sz w:val="24"/>
                <w:highlight w:val="none"/>
                <w:lang w:eastAsia="zh-CN"/>
              </w:rPr>
              <w:t>cm/s；</w:t>
            </w:r>
          </w:p>
          <w:p>
            <w:pPr>
              <w:widowControl/>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简单防渗区：道路等除重点防渗及一般防渗区外的区域，采用铺砌地坪或一般混凝土地面；</w:t>
            </w:r>
          </w:p>
          <w:p>
            <w:pPr>
              <w:widowControl/>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非污染防治区：绿化区。</w:t>
            </w:r>
          </w:p>
          <w:p>
            <w:pPr>
              <w:widowControl/>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采取分区防渗措施后能够有效预防地下水和土壤的污染。</w:t>
            </w:r>
          </w:p>
          <w:p>
            <w:pPr>
              <w:widowControl/>
              <w:spacing w:line="360" w:lineRule="auto"/>
              <w:ind w:firstLine="480" w:firstLineChars="200"/>
              <w:jc w:val="left"/>
              <w:rPr>
                <w:rFonts w:hint="default" w:ascii="Times New Roman" w:hAnsi="Times New Roman" w:eastAsia="宋体" w:cs="Times New Roman"/>
                <w:color w:val="auto"/>
                <w:sz w:val="24"/>
                <w:highlight w:val="none"/>
                <w:lang w:eastAsia="zh-CN"/>
              </w:rPr>
            </w:pPr>
            <w:r>
              <w:rPr>
                <w:rFonts w:hint="eastAsia" w:cs="Times New Roman"/>
                <w:color w:val="auto"/>
                <w:sz w:val="24"/>
                <w:highlight w:val="none"/>
                <w:lang w:eastAsia="zh-CN"/>
              </w:rPr>
              <w:t>地下水分区防渗示意图见附图。</w:t>
            </w:r>
          </w:p>
          <w:p>
            <w:pPr>
              <w:pStyle w:val="153"/>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
                <w:color w:val="auto"/>
                <w:kern w:val="2"/>
                <w:sz w:val="24"/>
                <w:szCs w:val="24"/>
                <w:highlight w:val="none"/>
                <w:lang w:val="en-US" w:eastAsia="zh-CN" w:bidi="ar-SA"/>
              </w:rPr>
              <w:t>表4-</w:t>
            </w:r>
            <w:r>
              <w:rPr>
                <w:rFonts w:hint="eastAsia" w:ascii="Times New Roman" w:cs="Times New Roman"/>
                <w:b/>
                <w:color w:val="auto"/>
                <w:kern w:val="2"/>
                <w:sz w:val="24"/>
                <w:szCs w:val="24"/>
                <w:highlight w:val="none"/>
                <w:lang w:val="en-US" w:eastAsia="zh-CN" w:bidi="ar-SA"/>
              </w:rPr>
              <w:t>16</w:t>
            </w:r>
            <w:r>
              <w:rPr>
                <w:rFonts w:hint="eastAsia" w:ascii="Times New Roman" w:hAnsi="Times New Roman" w:cs="Times New Roman"/>
                <w:b/>
                <w:color w:val="auto"/>
                <w:kern w:val="2"/>
                <w:sz w:val="24"/>
                <w:szCs w:val="24"/>
                <w:highlight w:val="none"/>
                <w:lang w:val="en-US" w:eastAsia="zh-CN" w:bidi="ar-SA"/>
              </w:rPr>
              <w:t xml:space="preserve">  </w:t>
            </w:r>
            <w:r>
              <w:rPr>
                <w:rFonts w:hint="eastAsia" w:ascii="Times New Roman" w:cs="Times New Roman"/>
                <w:b/>
                <w:color w:val="auto"/>
                <w:kern w:val="2"/>
                <w:sz w:val="24"/>
                <w:szCs w:val="24"/>
                <w:highlight w:val="none"/>
                <w:lang w:val="en-US" w:eastAsia="zh-CN" w:bidi="ar-SA"/>
              </w:rPr>
              <w:t>项目分区防渗</w:t>
            </w:r>
            <w:r>
              <w:rPr>
                <w:rFonts w:hint="default" w:ascii="Times New Roman" w:hAnsi="Times New Roman" w:eastAsia="宋体" w:cs="Times New Roman"/>
                <w:b/>
                <w:color w:val="auto"/>
                <w:kern w:val="2"/>
                <w:sz w:val="24"/>
                <w:szCs w:val="24"/>
                <w:highlight w:val="none"/>
                <w:lang w:val="en-US" w:eastAsia="zh-CN" w:bidi="ar-SA"/>
              </w:rPr>
              <w:t>一览表</w:t>
            </w:r>
          </w:p>
          <w:tbl>
            <w:tblPr>
              <w:tblStyle w:val="28"/>
              <w:tblW w:w="84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3"/>
              <w:gridCol w:w="2824"/>
              <w:gridCol w:w="2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3" w:type="dxa"/>
                  <w:vAlign w:val="center"/>
                </w:tcPr>
                <w:p>
                  <w:pPr>
                    <w:pStyle w:val="158"/>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装置、单元名称</w:t>
                  </w:r>
                </w:p>
              </w:tc>
              <w:tc>
                <w:tcPr>
                  <w:tcW w:w="2824" w:type="dxa"/>
                  <w:vAlign w:val="center"/>
                </w:tcPr>
                <w:p>
                  <w:pPr>
                    <w:pStyle w:val="158"/>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防渗技术要求</w:t>
                  </w:r>
                </w:p>
              </w:tc>
              <w:tc>
                <w:tcPr>
                  <w:tcW w:w="2824" w:type="dxa"/>
                  <w:vAlign w:val="center"/>
                </w:tcPr>
                <w:p>
                  <w:pPr>
                    <w:pStyle w:val="158"/>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污染防治区类别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2823" w:type="dxa"/>
                  <w:vAlign w:val="center"/>
                </w:tcPr>
                <w:p>
                  <w:pPr>
                    <w:pStyle w:val="158"/>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道路等其他区域</w:t>
                  </w:r>
                </w:p>
              </w:tc>
              <w:tc>
                <w:tcPr>
                  <w:tcW w:w="2824" w:type="dxa"/>
                  <w:vAlign w:val="center"/>
                </w:tcPr>
                <w:p>
                  <w:pPr>
                    <w:pStyle w:val="158"/>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一般地面硬化</w:t>
                  </w:r>
                </w:p>
              </w:tc>
              <w:tc>
                <w:tcPr>
                  <w:tcW w:w="2824" w:type="dxa"/>
                  <w:vAlign w:val="center"/>
                </w:tcPr>
                <w:p>
                  <w:pPr>
                    <w:pStyle w:val="158"/>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简单防渗区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3" w:type="dxa"/>
                  <w:vAlign w:val="center"/>
                </w:tcPr>
                <w:p>
                  <w:pPr>
                    <w:pStyle w:val="3"/>
                    <w:keepNext w:val="0"/>
                    <w:keepLines w:val="0"/>
                    <w:pageBreakBefore w:val="0"/>
                    <w:widowControl w:val="0"/>
                    <w:kinsoku/>
                    <w:wordWrap/>
                    <w:overflowPunct/>
                    <w:topLinePunct w:val="0"/>
                    <w:autoSpaceDE/>
                    <w:autoSpaceDN/>
                    <w:bidi w:val="0"/>
                    <w:adjustRightInd/>
                    <w:snapToGrid/>
                    <w:spacing w:after="0" w:line="300" w:lineRule="auto"/>
                    <w:ind w:left="0" w:lef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门诊、中医名医实践馆、诊疗室、医技楼</w:t>
                  </w:r>
                  <w:r>
                    <w:rPr>
                      <w:rFonts w:hint="eastAsia" w:ascii="Times New Roman" w:hAnsi="Times New Roman" w:cs="Times New Roman"/>
                      <w:color w:val="auto"/>
                      <w:sz w:val="21"/>
                      <w:szCs w:val="21"/>
                      <w:lang w:val="en-US" w:eastAsia="zh-CN"/>
                    </w:rPr>
                    <w:t>、住院楼、</w:t>
                  </w:r>
                  <w:r>
                    <w:rPr>
                      <w:rFonts w:hint="default" w:ascii="Times New Roman" w:hAnsi="Times New Roman" w:eastAsia="宋体" w:cs="Times New Roman"/>
                      <w:color w:val="auto"/>
                      <w:sz w:val="21"/>
                      <w:szCs w:val="21"/>
                      <w:vertAlign w:val="baseline"/>
                      <w:lang w:val="en-US" w:eastAsia="zh-CN"/>
                    </w:rPr>
                    <w:t>中药制剂中心、康复中心</w:t>
                  </w:r>
                </w:p>
              </w:tc>
              <w:tc>
                <w:tcPr>
                  <w:tcW w:w="2824" w:type="dxa"/>
                  <w:vAlign w:val="center"/>
                </w:tcPr>
                <w:p>
                  <w:pPr>
                    <w:pStyle w:val="158"/>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等效黏土防渗层</w:t>
                  </w:r>
                </w:p>
                <w:p>
                  <w:pPr>
                    <w:pStyle w:val="158"/>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Mb≥1.5m</w:t>
                  </w:r>
                  <w:r>
                    <w:rPr>
                      <w:rFonts w:hint="eastAsia" w:ascii="Times New Roman" w:hAnsi="Times New Roman" w:cs="Times New Roman"/>
                      <w:color w:val="auto"/>
                      <w:sz w:val="21"/>
                      <w:szCs w:val="21"/>
                      <w:lang w:val="en-US" w:eastAsia="zh-CN"/>
                    </w:rPr>
                    <w:t>，渗透系数</w:t>
                  </w:r>
                  <w:r>
                    <w:rPr>
                      <w:rFonts w:hint="default" w:ascii="Times New Roman" w:hAnsi="Times New Roman" w:cs="Times New Roman"/>
                      <w:color w:val="auto"/>
                      <w:sz w:val="21"/>
                      <w:szCs w:val="21"/>
                      <w:lang w:val="en-US" w:eastAsia="zh-CN"/>
                    </w:rPr>
                    <w:t xml:space="preserve">K≤1×10 </w:t>
                  </w:r>
                  <w:r>
                    <w:rPr>
                      <w:rFonts w:hint="default" w:ascii="Times New Roman" w:hAnsi="Times New Roman" w:cs="Times New Roman"/>
                      <w:color w:val="auto"/>
                      <w:sz w:val="21"/>
                      <w:szCs w:val="21"/>
                      <w:vertAlign w:val="superscript"/>
                      <w:lang w:val="en-US" w:eastAsia="zh-CN"/>
                    </w:rPr>
                    <w:t>-7</w:t>
                  </w:r>
                  <w:r>
                    <w:rPr>
                      <w:rFonts w:hint="default" w:ascii="Times New Roman" w:hAnsi="Times New Roman" w:cs="Times New Roman"/>
                      <w:color w:val="auto"/>
                      <w:sz w:val="21"/>
                      <w:szCs w:val="21"/>
                      <w:lang w:val="en-US" w:eastAsia="zh-CN"/>
                    </w:rPr>
                    <w:t xml:space="preserve"> cm/s</w:t>
                  </w:r>
                </w:p>
              </w:tc>
              <w:tc>
                <w:tcPr>
                  <w:tcW w:w="2824" w:type="dxa"/>
                  <w:vAlign w:val="center"/>
                </w:tcPr>
                <w:p>
                  <w:pPr>
                    <w:pStyle w:val="158"/>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一般防渗区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23" w:type="dxa"/>
                  <w:vAlign w:val="center"/>
                </w:tcPr>
                <w:p>
                  <w:pPr>
                    <w:pStyle w:val="158"/>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危险废物暂存间、柴油发电机房、污水处理站、污水管网、液氧储罐泵房</w:t>
                  </w:r>
                </w:p>
              </w:tc>
              <w:tc>
                <w:tcPr>
                  <w:tcW w:w="2824" w:type="dxa"/>
                  <w:vAlign w:val="center"/>
                </w:tcPr>
                <w:p>
                  <w:pPr>
                    <w:pStyle w:val="158"/>
                    <w:keepNext w:val="0"/>
                    <w:keepLines w:val="0"/>
                    <w:suppressLineNumbers w:val="0"/>
                    <w:spacing w:before="0" w:beforeAutospacing="0" w:after="0" w:afterAutospacing="0"/>
                    <w:ind w:left="0"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等效黏土防渗层</w:t>
                  </w:r>
                </w:p>
                <w:p>
                  <w:pPr>
                    <w:pStyle w:val="158"/>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Mb≥6.0m</w:t>
                  </w:r>
                  <w:r>
                    <w:rPr>
                      <w:rFonts w:hint="eastAsia" w:ascii="Times New Roman" w:hAnsi="Times New Roman" w:cs="Times New Roman"/>
                      <w:color w:val="auto"/>
                      <w:sz w:val="21"/>
                      <w:szCs w:val="21"/>
                      <w:lang w:val="en-US" w:eastAsia="zh-CN"/>
                    </w:rPr>
                    <w:t>，渗透系数</w:t>
                  </w:r>
                  <w:r>
                    <w:rPr>
                      <w:rFonts w:hint="default" w:ascii="Times New Roman" w:hAnsi="Times New Roman" w:cs="Times New Roman"/>
                      <w:color w:val="auto"/>
                      <w:sz w:val="21"/>
                      <w:szCs w:val="21"/>
                      <w:lang w:val="en-US" w:eastAsia="zh-CN"/>
                    </w:rPr>
                    <w:t>K≤1×10</w:t>
                  </w:r>
                  <w:r>
                    <w:rPr>
                      <w:rFonts w:hint="default" w:ascii="Times New Roman" w:hAnsi="Times New Roman" w:cs="Times New Roman"/>
                      <w:color w:val="auto"/>
                      <w:sz w:val="21"/>
                      <w:szCs w:val="21"/>
                      <w:vertAlign w:val="superscript"/>
                      <w:lang w:val="en-US" w:eastAsia="zh-CN"/>
                    </w:rPr>
                    <w:t xml:space="preserve"> -7</w:t>
                  </w:r>
                  <w:r>
                    <w:rPr>
                      <w:rFonts w:hint="default" w:ascii="Times New Roman" w:hAnsi="Times New Roman" w:cs="Times New Roman"/>
                      <w:color w:val="auto"/>
                      <w:sz w:val="21"/>
                      <w:szCs w:val="21"/>
                      <w:lang w:val="en-US" w:eastAsia="zh-CN"/>
                    </w:rPr>
                    <w:t xml:space="preserve"> cm/s</w:t>
                  </w:r>
                </w:p>
              </w:tc>
              <w:tc>
                <w:tcPr>
                  <w:tcW w:w="2824" w:type="dxa"/>
                  <w:vAlign w:val="center"/>
                </w:tcPr>
                <w:p>
                  <w:pPr>
                    <w:pStyle w:val="158"/>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重点防渗区</w:t>
                  </w:r>
                </w:p>
              </w:tc>
            </w:tr>
          </w:tbl>
          <w:p>
            <w:pPr>
              <w:rPr>
                <w:rFonts w:hint="default"/>
                <w:lang w:eastAsia="zh-CN"/>
              </w:rPr>
            </w:pPr>
          </w:p>
          <w:p>
            <w:pPr>
              <w:adjustRightInd w:val="0"/>
              <w:snapToGrid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6、辐射</w:t>
            </w:r>
          </w:p>
          <w:p>
            <w:pPr>
              <w:pStyle w:val="132"/>
              <w:adjustRightInd/>
              <w:snapToGrid/>
              <w:spacing w:line="384" w:lineRule="auto"/>
              <w:ind w:firstLine="480"/>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eastAsia="zh-CN"/>
              </w:rPr>
              <w:t>本项目涉及辐射和放射性设备的环评由建设单位委托有资质的单位另作评价，不在本次评价范围内。</w:t>
            </w:r>
          </w:p>
          <w:bookmarkEnd w:id="14"/>
          <w:p>
            <w:pPr>
              <w:adjustRightInd w:val="0"/>
              <w:snapToGrid w:val="0"/>
              <w:spacing w:line="360" w:lineRule="auto"/>
            </w:pPr>
            <w:r>
              <w:rPr>
                <w:rFonts w:hint="default" w:ascii="Times New Roman" w:hAnsi="Times New Roman" w:eastAsia="宋体" w:cs="Times New Roman"/>
                <w:b/>
                <w:color w:val="auto"/>
                <w:sz w:val="24"/>
                <w:highlight w:val="none"/>
              </w:rPr>
              <w:t>7、环境风险</w:t>
            </w:r>
          </w:p>
          <w:p>
            <w:pPr>
              <w:pStyle w:val="26"/>
              <w:keepNext w:val="0"/>
              <w:keepLines w:val="0"/>
              <w:pageBreakBefore w:val="0"/>
              <w:kinsoku/>
              <w:wordWrap/>
              <w:overflowPunct/>
              <w:topLinePunct w:val="0"/>
              <w:autoSpaceDE/>
              <w:autoSpaceDN/>
              <w:bidi w:val="0"/>
              <w:snapToGrid w:val="0"/>
              <w:spacing w:before="0" w:after="0" w:line="360" w:lineRule="auto"/>
              <w:ind w:left="0" w:leftChars="0" w:right="0" w:firstLine="482" w:firstLineChars="200"/>
              <w:textAlignment w:val="auto"/>
              <w:rPr>
                <w:rFonts w:hint="eastAsia"/>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1</w:t>
            </w:r>
            <w:r>
              <w:rPr>
                <w:rFonts w:hint="eastAsia"/>
                <w:b/>
                <w:bCs/>
                <w:color w:val="auto"/>
                <w:sz w:val="24"/>
                <w:szCs w:val="24"/>
                <w:lang w:val="en-US" w:eastAsia="zh-CN"/>
              </w:rPr>
              <w:t>建设项目风险源调查</w:t>
            </w:r>
          </w:p>
          <w:p>
            <w:pPr>
              <w:spacing w:line="360" w:lineRule="auto"/>
              <w:ind w:firstLine="480" w:firstLineChars="200"/>
              <w:rPr>
                <w:rFonts w:hint="eastAsia" w:ascii="Times New Roman" w:hAnsi="Times New Roman" w:eastAsia="宋体" w:cs="Times New Roman"/>
                <w:caps w:val="0"/>
                <w:smallCaps w:val="0"/>
                <w:color w:val="auto"/>
                <w:spacing w:val="0"/>
                <w:w w:val="100"/>
                <w:sz w:val="24"/>
                <w:szCs w:val="24"/>
                <w:lang w:val="en-US" w:eastAsia="zh-CN"/>
              </w:rPr>
            </w:pPr>
            <w:r>
              <w:rPr>
                <w:rFonts w:hint="default" w:ascii="Times New Roman" w:hAnsi="Times New Roman" w:eastAsia="宋体" w:cs="Times New Roman"/>
                <w:caps w:val="0"/>
                <w:smallCaps w:val="0"/>
                <w:color w:val="auto"/>
                <w:spacing w:val="0"/>
                <w:w w:val="100"/>
                <w:sz w:val="24"/>
                <w:szCs w:val="24"/>
                <w:lang w:val="en-US" w:eastAsia="zh-CN"/>
              </w:rPr>
              <w:t>根据《建设项目环境风险评价技术导则》（HJ169-2018）附录B，本项目涉及的危险物质主要为</w:t>
            </w:r>
            <w:r>
              <w:rPr>
                <w:rFonts w:hint="eastAsia" w:ascii="Times New Roman" w:hAnsi="Times New Roman" w:eastAsia="宋体" w:cs="Times New Roman"/>
                <w:caps w:val="0"/>
                <w:smallCaps w:val="0"/>
                <w:color w:val="auto"/>
                <w:spacing w:val="0"/>
                <w:w w:val="100"/>
                <w:sz w:val="24"/>
                <w:szCs w:val="24"/>
                <w:lang w:val="en-US" w:eastAsia="zh-CN"/>
              </w:rPr>
              <w:t>84消毒液（次氯酸钠）</w:t>
            </w:r>
            <w:r>
              <w:rPr>
                <w:rFonts w:hint="eastAsia" w:cs="Times New Roman"/>
                <w:caps w:val="0"/>
                <w:smallCaps w:val="0"/>
                <w:color w:val="auto"/>
                <w:spacing w:val="0"/>
                <w:w w:val="100"/>
                <w:sz w:val="24"/>
                <w:szCs w:val="24"/>
                <w:lang w:val="en-US" w:eastAsia="zh-CN"/>
              </w:rPr>
              <w:t>、柴油、液氧和乙醇</w:t>
            </w:r>
            <w:r>
              <w:rPr>
                <w:rFonts w:hint="eastAsia" w:ascii="Times New Roman" w:hAnsi="Times New Roman" w:eastAsia="宋体" w:cs="Times New Roman"/>
                <w:caps w:val="0"/>
                <w:smallCaps w:val="0"/>
                <w:color w:val="auto"/>
                <w:spacing w:val="0"/>
                <w:w w:val="100"/>
                <w:sz w:val="24"/>
                <w:szCs w:val="24"/>
                <w:lang w:val="en-US" w:eastAsia="zh-CN"/>
              </w:rPr>
              <w:t>。</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2" w:firstLineChars="200"/>
              <w:textAlignment w:val="auto"/>
              <w:rPr>
                <w:rFonts w:hint="default"/>
                <w:b/>
                <w:bCs/>
                <w:color w:val="auto"/>
                <w:sz w:val="24"/>
                <w:szCs w:val="24"/>
                <w:lang w:val="en-US" w:eastAsia="zh-CN"/>
              </w:rPr>
            </w:pPr>
            <w:r>
              <w:rPr>
                <w:rFonts w:hint="eastAsia"/>
                <w:b/>
                <w:bCs/>
                <w:color w:val="auto"/>
                <w:sz w:val="24"/>
                <w:szCs w:val="24"/>
                <w:lang w:val="en-US" w:eastAsia="zh-CN"/>
              </w:rPr>
              <w:t>7.2环境风险识别</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eastAsia" w:ascii="Times New Roman" w:hAnsi="Times New Roman" w:eastAsia="宋体" w:cs="Times New Roman"/>
                <w:caps w:val="0"/>
                <w:smallCaps w:val="0"/>
                <w:color w:val="auto"/>
                <w:spacing w:val="0"/>
                <w:w w:val="100"/>
                <w:kern w:val="2"/>
                <w:sz w:val="24"/>
                <w:szCs w:val="24"/>
                <w:lang w:val="en-US" w:eastAsia="zh-CN" w:bidi="ar-SA"/>
              </w:rPr>
            </w:pPr>
            <w:r>
              <w:rPr>
                <w:rFonts w:hint="eastAsia" w:ascii="Times New Roman" w:hAnsi="Times New Roman" w:eastAsia="宋体" w:cs="Times New Roman"/>
                <w:caps w:val="0"/>
                <w:smallCaps w:val="0"/>
                <w:color w:val="auto"/>
                <w:spacing w:val="0"/>
                <w:w w:val="100"/>
                <w:kern w:val="2"/>
                <w:sz w:val="24"/>
                <w:szCs w:val="24"/>
                <w:lang w:val="en-US" w:eastAsia="zh-CN" w:bidi="ar-SA"/>
              </w:rPr>
              <w:t>环境风险识别主要包括物质危险性识别、生产系统危险性识别和危险物质向环境转移的途径识别。</w:t>
            </w:r>
            <w:r>
              <w:rPr>
                <w:rFonts w:hint="eastAsia" w:ascii="Times New Roman" w:hAnsi="Times New Roman" w:eastAsia="宋体" w:cs="Times New Roman"/>
                <w:caps w:val="0"/>
                <w:smallCaps w:val="0"/>
                <w:color w:val="auto"/>
                <w:spacing w:val="0"/>
                <w:w w:val="100"/>
                <w:kern w:val="2"/>
                <w:sz w:val="24"/>
                <w:szCs w:val="24"/>
                <w:lang w:val="en-US" w:eastAsia="zh-CN" w:bidi="ar-SA"/>
              </w:rPr>
              <w:tab/>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（1）物质危险性识别</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caps w:val="0"/>
                <w:smallCaps w:val="0"/>
                <w:color w:val="auto"/>
                <w:spacing w:val="0"/>
                <w:w w:val="100"/>
                <w:sz w:val="24"/>
                <w:szCs w:val="24"/>
                <w:lang w:val="en-US" w:eastAsia="zh-CN"/>
              </w:rPr>
              <w:t>根据《建设项目环境风险评价技术导则》（HJ169-2018）附录B，本项目涉及的危险物质主要为</w:t>
            </w:r>
            <w:r>
              <w:rPr>
                <w:rFonts w:hint="eastAsia" w:cs="Times New Roman"/>
                <w:caps w:val="0"/>
                <w:smallCaps w:val="0"/>
                <w:color w:val="auto"/>
                <w:spacing w:val="0"/>
                <w:w w:val="100"/>
                <w:sz w:val="24"/>
                <w:szCs w:val="24"/>
                <w:lang w:val="en-US" w:eastAsia="zh-CN"/>
              </w:rPr>
              <w:t>次氯酸钠、柴油、液氧和</w:t>
            </w:r>
            <w:r>
              <w:rPr>
                <w:rFonts w:hint="eastAsia" w:eastAsia="宋体" w:cs="Times New Roman"/>
                <w:caps w:val="0"/>
                <w:smallCaps w:val="0"/>
                <w:color w:val="auto"/>
                <w:spacing w:val="0"/>
                <w:w w:val="100"/>
                <w:sz w:val="24"/>
                <w:szCs w:val="24"/>
                <w:lang w:val="en-US" w:eastAsia="zh-CN"/>
              </w:rPr>
              <w:t>乙醇</w:t>
            </w:r>
            <w:r>
              <w:rPr>
                <w:rFonts w:hint="eastAsia" w:ascii="Times New Roman" w:hAnsi="Times New Roman" w:eastAsia="宋体" w:cs="Times New Roman"/>
                <w:caps w:val="0"/>
                <w:smallCaps w:val="0"/>
                <w:color w:val="auto"/>
                <w:spacing w:val="0"/>
                <w:w w:val="100"/>
                <w:sz w:val="24"/>
                <w:szCs w:val="24"/>
                <w:lang w:val="en-US" w:eastAsia="zh-CN"/>
              </w:rPr>
              <w:t>。</w:t>
            </w:r>
            <w:r>
              <w:rPr>
                <w:rFonts w:hint="default" w:ascii="Times New Roman" w:hAnsi="Times New Roman" w:cs="Times New Roman"/>
                <w:color w:val="auto"/>
                <w:sz w:val="24"/>
                <w:szCs w:val="24"/>
                <w:highlight w:val="none"/>
                <w:lang w:eastAsia="zh-CN"/>
              </w:rPr>
              <w:t>具体见表</w:t>
            </w:r>
            <w:r>
              <w:rPr>
                <w:rFonts w:hint="eastAsia" w:cs="Times New Roman"/>
                <w:color w:val="auto"/>
                <w:sz w:val="24"/>
                <w:szCs w:val="24"/>
                <w:highlight w:val="none"/>
                <w:lang w:val="en-US" w:eastAsia="zh-CN"/>
              </w:rPr>
              <w:t>4-17</w:t>
            </w:r>
            <w:r>
              <w:rPr>
                <w:rFonts w:hint="eastAsia" w:ascii="Times New Roman" w:hAnsi="Times New Roman" w:cs="Times New Roman"/>
                <w:color w:val="auto"/>
                <w:sz w:val="24"/>
                <w:szCs w:val="24"/>
                <w:highlight w:val="none"/>
                <w:lang w:val="en-US" w:eastAsia="zh-CN"/>
              </w:rPr>
              <w:t>。</w:t>
            </w:r>
          </w:p>
          <w:p>
            <w:pPr>
              <w:pStyle w:val="153"/>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auto"/>
              <w:rPr>
                <w:rFonts w:hint="default" w:ascii="Times New Roman" w:hAnsi="Times New Roman" w:eastAsia="宋体" w:cs="Times New Roman"/>
                <w:b/>
                <w:color w:val="auto"/>
                <w:kern w:val="2"/>
                <w:sz w:val="24"/>
                <w:szCs w:val="24"/>
                <w:highlight w:val="none"/>
                <w:lang w:val="en-US" w:eastAsia="zh-CN" w:bidi="ar-SA"/>
              </w:rPr>
            </w:pPr>
            <w:r>
              <w:rPr>
                <w:rFonts w:hint="default" w:ascii="Times New Roman" w:hAnsi="Times New Roman" w:eastAsia="宋体" w:cs="Times New Roman"/>
                <w:b/>
                <w:color w:val="auto"/>
                <w:kern w:val="2"/>
                <w:sz w:val="24"/>
                <w:szCs w:val="24"/>
                <w:highlight w:val="none"/>
                <w:lang w:val="en-US" w:eastAsia="zh-CN" w:bidi="ar-SA"/>
              </w:rPr>
              <w:t>表4-</w:t>
            </w:r>
            <w:r>
              <w:rPr>
                <w:rFonts w:hint="eastAsia" w:ascii="Times New Roman" w:cs="Times New Roman"/>
                <w:b/>
                <w:color w:val="auto"/>
                <w:kern w:val="2"/>
                <w:sz w:val="24"/>
                <w:szCs w:val="24"/>
                <w:highlight w:val="none"/>
                <w:lang w:val="en-US" w:eastAsia="zh-CN" w:bidi="ar-SA"/>
              </w:rPr>
              <w:t>17</w:t>
            </w:r>
            <w:r>
              <w:rPr>
                <w:rFonts w:hint="eastAsia" w:ascii="Times New Roman" w:hAnsi="Times New Roman" w:cs="Times New Roman"/>
                <w:b/>
                <w:color w:val="auto"/>
                <w:kern w:val="2"/>
                <w:sz w:val="24"/>
                <w:szCs w:val="24"/>
                <w:highlight w:val="none"/>
                <w:lang w:val="en-US" w:eastAsia="zh-CN" w:bidi="ar-SA"/>
              </w:rPr>
              <w:t xml:space="preserve">  </w:t>
            </w:r>
            <w:r>
              <w:rPr>
                <w:rFonts w:hint="default" w:ascii="Times New Roman" w:hAnsi="Times New Roman" w:eastAsia="宋体" w:cs="Times New Roman"/>
                <w:b/>
                <w:color w:val="auto"/>
                <w:kern w:val="2"/>
                <w:sz w:val="24"/>
                <w:szCs w:val="24"/>
                <w:highlight w:val="none"/>
                <w:lang w:val="en-US" w:eastAsia="zh-CN" w:bidi="ar-SA"/>
              </w:rPr>
              <w:t>主要危险废物储存量一览表</w:t>
            </w:r>
          </w:p>
          <w:tbl>
            <w:tblPr>
              <w:tblStyle w:val="27"/>
              <w:tblW w:w="851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95"/>
              <w:gridCol w:w="1594"/>
              <w:gridCol w:w="1695"/>
              <w:gridCol w:w="1302"/>
              <w:gridCol w:w="22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994"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危险物质名称</w:t>
                  </w:r>
                </w:p>
              </w:tc>
              <w:tc>
                <w:tcPr>
                  <w:tcW w:w="935"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储存位置</w:t>
                  </w:r>
                </w:p>
              </w:tc>
              <w:tc>
                <w:tcPr>
                  <w:tcW w:w="994"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最大储存量</w:t>
                  </w:r>
                </w:p>
                <w:p>
                  <w:pPr>
                    <w:pStyle w:val="15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qn/t</w:t>
                  </w:r>
                  <w:r>
                    <w:rPr>
                      <w:rFonts w:hint="eastAsia" w:ascii="Times New Roman" w:hAnsi="Times New Roman" w:eastAsia="宋体" w:cs="Times New Roman"/>
                      <w:color w:val="auto"/>
                      <w:sz w:val="21"/>
                      <w:szCs w:val="21"/>
                      <w:lang w:val="en-US" w:eastAsia="zh-CN"/>
                    </w:rPr>
                    <w:t>）</w:t>
                  </w:r>
                </w:p>
              </w:tc>
              <w:tc>
                <w:tcPr>
                  <w:tcW w:w="764"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临界量</w:t>
                  </w:r>
                </w:p>
                <w:p>
                  <w:pPr>
                    <w:pStyle w:val="15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qn/t</w:t>
                  </w:r>
                  <w:r>
                    <w:rPr>
                      <w:rFonts w:hint="eastAsia" w:ascii="Times New Roman" w:hAnsi="Times New Roman" w:eastAsia="宋体" w:cs="Times New Roman"/>
                      <w:color w:val="auto"/>
                      <w:sz w:val="21"/>
                      <w:szCs w:val="21"/>
                      <w:lang w:val="en-US" w:eastAsia="zh-CN"/>
                    </w:rPr>
                    <w:t>）</w:t>
                  </w:r>
                </w:p>
              </w:tc>
              <w:tc>
                <w:tcPr>
                  <w:tcW w:w="1310"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危险物质</w:t>
                  </w:r>
                  <w:r>
                    <w:rPr>
                      <w:rFonts w:hint="default" w:ascii="Times New Roman" w:hAnsi="Times New Roman" w:eastAsia="宋体" w:cs="Times New Roman"/>
                      <w:color w:val="auto"/>
                      <w:sz w:val="21"/>
                      <w:szCs w:val="21"/>
                      <w:lang w:val="en-US" w:eastAsia="zh-CN"/>
                    </w:rPr>
                    <w:t>Q</w:t>
                  </w:r>
                  <w:r>
                    <w:rPr>
                      <w:rFonts w:hint="eastAsia" w:ascii="Times New Roman" w:hAnsi="Times New Roman" w:eastAsia="宋体" w:cs="Times New Roman"/>
                      <w:color w:val="auto"/>
                      <w:sz w:val="21"/>
                      <w:szCs w:val="21"/>
                      <w:lang w:val="en-US" w:eastAsia="zh-CN"/>
                    </w:rPr>
                    <w:t>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0" w:hRule="atLeast"/>
                <w:jc w:val="center"/>
              </w:trPr>
              <w:tc>
                <w:tcPr>
                  <w:tcW w:w="994"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次氯酸钠</w:t>
                  </w:r>
                  <w:r>
                    <w:rPr>
                      <w:rFonts w:hint="eastAsia" w:ascii="Times New Roman" w:hAnsi="Times New Roman" w:eastAsia="宋体" w:cs="Times New Roman"/>
                      <w:color w:val="auto"/>
                      <w:sz w:val="21"/>
                      <w:szCs w:val="21"/>
                      <w:lang w:val="en-US" w:eastAsia="zh-CN"/>
                    </w:rPr>
                    <w:t>（3%）</w:t>
                  </w:r>
                </w:p>
              </w:tc>
              <w:tc>
                <w:tcPr>
                  <w:tcW w:w="935"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库房</w:t>
                  </w:r>
                </w:p>
              </w:tc>
              <w:tc>
                <w:tcPr>
                  <w:tcW w:w="994"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w:t>
                  </w:r>
                </w:p>
              </w:tc>
              <w:tc>
                <w:tcPr>
                  <w:tcW w:w="764"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1310"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0" w:hRule="atLeast"/>
                <w:jc w:val="center"/>
              </w:trPr>
              <w:tc>
                <w:tcPr>
                  <w:tcW w:w="994"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柴油</w:t>
                  </w:r>
                </w:p>
              </w:tc>
              <w:tc>
                <w:tcPr>
                  <w:tcW w:w="935"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专用库房</w:t>
                  </w:r>
                </w:p>
              </w:tc>
              <w:tc>
                <w:tcPr>
                  <w:tcW w:w="994"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0.2</w:t>
                  </w:r>
                </w:p>
              </w:tc>
              <w:tc>
                <w:tcPr>
                  <w:tcW w:w="764"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2500</w:t>
                  </w:r>
                </w:p>
              </w:tc>
              <w:tc>
                <w:tcPr>
                  <w:tcW w:w="1310"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0" w:hRule="atLeast"/>
                <w:jc w:val="center"/>
              </w:trPr>
              <w:tc>
                <w:tcPr>
                  <w:tcW w:w="994"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液氧</w:t>
                  </w:r>
                </w:p>
              </w:tc>
              <w:tc>
                <w:tcPr>
                  <w:tcW w:w="935"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液氧泵房</w:t>
                  </w:r>
                </w:p>
              </w:tc>
              <w:tc>
                <w:tcPr>
                  <w:tcW w:w="994"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0.35</w:t>
                  </w:r>
                </w:p>
              </w:tc>
              <w:tc>
                <w:tcPr>
                  <w:tcW w:w="764"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200</w:t>
                  </w:r>
                </w:p>
              </w:tc>
              <w:tc>
                <w:tcPr>
                  <w:tcW w:w="1310"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0.00175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0" w:hRule="atLeast"/>
                <w:jc w:val="center"/>
              </w:trPr>
              <w:tc>
                <w:tcPr>
                  <w:tcW w:w="994"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乙醇</w:t>
                  </w:r>
                </w:p>
              </w:tc>
              <w:tc>
                <w:tcPr>
                  <w:tcW w:w="935"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药房、科室储柜</w:t>
                  </w:r>
                </w:p>
              </w:tc>
              <w:tc>
                <w:tcPr>
                  <w:tcW w:w="994"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0.015</w:t>
                  </w:r>
                </w:p>
              </w:tc>
              <w:tc>
                <w:tcPr>
                  <w:tcW w:w="764"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1310" w:type="pct"/>
                  <w:tcBorders>
                    <w:tl2br w:val="nil"/>
                    <w:tr2bl w:val="nil"/>
                  </w:tcBorders>
                  <w:noWrap w:val="0"/>
                  <w:vAlign w:val="center"/>
                </w:tcPr>
                <w:p>
                  <w:pPr>
                    <w:pStyle w:val="158"/>
                    <w:keepNext w:val="0"/>
                    <w:keepLines w:val="0"/>
                    <w:suppressLineNumbers w:val="0"/>
                    <w:spacing w:before="0" w:beforeAutospacing="0" w:after="0" w:afterAutospacing="0"/>
                    <w:ind w:left="0" w:right="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0.0003</w:t>
                  </w:r>
                </w:p>
              </w:tc>
            </w:tr>
          </w:tbl>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 xml:space="preserve">根据上表计算可知，本项目 Q＜1。 </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（2）生产系统危险性识别</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eastAsia" w:ascii="Times New Roman" w:hAnsi="Times New Roman" w:eastAsia="宋体" w:cs="Times New Roman"/>
                <w:caps w:val="0"/>
                <w:smallCaps w:val="0"/>
                <w:color w:val="auto"/>
                <w:spacing w:val="0"/>
                <w:w w:val="100"/>
                <w:kern w:val="2"/>
                <w:sz w:val="24"/>
                <w:szCs w:val="24"/>
                <w:lang w:val="en-US" w:eastAsia="zh-CN" w:bidi="ar-SA"/>
              </w:rPr>
            </w:pPr>
            <w:r>
              <w:rPr>
                <w:rFonts w:hint="eastAsia" w:ascii="Times New Roman" w:hAnsi="Times New Roman" w:eastAsia="宋体" w:cs="Times New Roman"/>
                <w:caps w:val="0"/>
                <w:smallCaps w:val="0"/>
                <w:color w:val="auto"/>
                <w:spacing w:val="0"/>
                <w:w w:val="100"/>
                <w:kern w:val="2"/>
                <w:sz w:val="24"/>
                <w:szCs w:val="24"/>
                <w:lang w:val="en-US" w:eastAsia="zh-CN" w:bidi="ar-SA"/>
              </w:rPr>
              <w:t>生产系统危险性识别，包括主要生产装置、储运设施、公用工程和辅助生产设施，以及环境保护设施等。本项目生产系统危险性识别主要考虑库房（次氯酸钠存放）、</w:t>
            </w:r>
            <w:r>
              <w:rPr>
                <w:rFonts w:hint="eastAsia" w:eastAsia="宋体" w:cs="Times New Roman"/>
                <w:caps w:val="0"/>
                <w:smallCaps w:val="0"/>
                <w:color w:val="auto"/>
                <w:spacing w:val="0"/>
                <w:w w:val="100"/>
                <w:kern w:val="2"/>
                <w:sz w:val="24"/>
                <w:szCs w:val="24"/>
                <w:lang w:val="en-US" w:eastAsia="zh-CN" w:bidi="ar-SA"/>
              </w:rPr>
              <w:t>乙醇</w:t>
            </w:r>
            <w:r>
              <w:rPr>
                <w:rFonts w:hint="eastAsia" w:cs="Times New Roman"/>
                <w:caps w:val="0"/>
                <w:smallCaps w:val="0"/>
                <w:color w:val="auto"/>
                <w:spacing w:val="0"/>
                <w:w w:val="100"/>
                <w:kern w:val="2"/>
                <w:sz w:val="24"/>
                <w:szCs w:val="24"/>
                <w:lang w:val="en-US" w:eastAsia="zh-CN" w:bidi="ar-SA"/>
              </w:rPr>
              <w:t>、</w:t>
            </w:r>
            <w:r>
              <w:rPr>
                <w:rFonts w:hint="eastAsia" w:ascii="Times New Roman" w:hAnsi="Times New Roman" w:eastAsia="宋体" w:cs="Times New Roman"/>
                <w:caps w:val="0"/>
                <w:smallCaps w:val="0"/>
                <w:color w:val="auto"/>
                <w:spacing w:val="0"/>
                <w:w w:val="100"/>
                <w:kern w:val="2"/>
                <w:sz w:val="24"/>
                <w:szCs w:val="24"/>
                <w:lang w:val="en-US" w:eastAsia="zh-CN" w:bidi="ar-SA"/>
              </w:rPr>
              <w:t>污水处理站</w:t>
            </w:r>
            <w:r>
              <w:rPr>
                <w:rFonts w:hint="eastAsia" w:cs="Times New Roman"/>
                <w:caps w:val="0"/>
                <w:smallCaps w:val="0"/>
                <w:color w:val="auto"/>
                <w:spacing w:val="0"/>
                <w:w w:val="100"/>
                <w:kern w:val="2"/>
                <w:sz w:val="24"/>
                <w:szCs w:val="24"/>
                <w:lang w:val="en-US" w:eastAsia="zh-CN" w:bidi="ar-SA"/>
              </w:rPr>
              <w:t>、</w:t>
            </w:r>
            <w:r>
              <w:rPr>
                <w:rFonts w:hint="eastAsia" w:ascii="Times New Roman" w:hAnsi="Times New Roman" w:eastAsia="宋体" w:cs="Times New Roman"/>
                <w:caps w:val="0"/>
                <w:smallCaps w:val="0"/>
                <w:color w:val="auto"/>
                <w:spacing w:val="0"/>
                <w:w w:val="100"/>
                <w:kern w:val="2"/>
                <w:sz w:val="24"/>
                <w:szCs w:val="24"/>
                <w:lang w:val="en-US" w:eastAsia="zh-CN" w:bidi="ar-SA"/>
              </w:rPr>
              <w:t>危废暂存间</w:t>
            </w:r>
            <w:r>
              <w:rPr>
                <w:rFonts w:hint="eastAsia" w:cs="Times New Roman"/>
                <w:caps w:val="0"/>
                <w:smallCaps w:val="0"/>
                <w:color w:val="auto"/>
                <w:spacing w:val="0"/>
                <w:w w:val="100"/>
                <w:kern w:val="2"/>
                <w:sz w:val="24"/>
                <w:szCs w:val="24"/>
                <w:lang w:val="en-US" w:eastAsia="zh-CN" w:bidi="ar-SA"/>
              </w:rPr>
              <w:t>、柴油发电机和液氧泵房</w:t>
            </w:r>
            <w:r>
              <w:rPr>
                <w:rFonts w:hint="eastAsia" w:ascii="Times New Roman" w:hAnsi="Times New Roman" w:eastAsia="宋体" w:cs="Times New Roman"/>
                <w:caps w:val="0"/>
                <w:smallCaps w:val="0"/>
                <w:color w:val="auto"/>
                <w:spacing w:val="0"/>
                <w:w w:val="100"/>
                <w:kern w:val="2"/>
                <w:sz w:val="24"/>
                <w:szCs w:val="24"/>
                <w:lang w:val="en-US" w:eastAsia="zh-CN" w:bidi="ar-SA"/>
              </w:rPr>
              <w:t>，主要环境风险为泄漏风险。</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eastAsia" w:ascii="Times New Roman" w:hAnsi="Times New Roman" w:eastAsia="宋体" w:cs="Times New Roman"/>
                <w:caps w:val="0"/>
                <w:smallCaps w:val="0"/>
                <w:color w:val="auto"/>
                <w:spacing w:val="0"/>
                <w:w w:val="100"/>
                <w:kern w:val="2"/>
                <w:sz w:val="24"/>
                <w:szCs w:val="24"/>
                <w:lang w:val="en-US" w:eastAsia="zh-CN" w:bidi="ar-SA"/>
              </w:rPr>
            </w:pPr>
            <w:r>
              <w:rPr>
                <w:rFonts w:hint="eastAsia" w:ascii="Times New Roman" w:hAnsi="Times New Roman" w:eastAsia="宋体" w:cs="Times New Roman"/>
                <w:caps w:val="0"/>
                <w:smallCaps w:val="0"/>
                <w:color w:val="auto"/>
                <w:spacing w:val="0"/>
                <w:w w:val="100"/>
                <w:kern w:val="2"/>
                <w:sz w:val="24"/>
                <w:szCs w:val="24"/>
                <w:lang w:val="en-US" w:eastAsia="zh-CN" w:bidi="ar-SA"/>
              </w:rPr>
              <w:t>（3）风险物质向环境转移的途径识别</w:t>
            </w:r>
          </w:p>
          <w:p>
            <w:pPr>
              <w:pStyle w:val="153"/>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aps w:val="0"/>
                <w:smallCaps w:val="0"/>
                <w:color w:val="auto"/>
                <w:spacing w:val="0"/>
                <w:w w:val="100"/>
                <w:kern w:val="2"/>
                <w:sz w:val="24"/>
                <w:szCs w:val="24"/>
                <w:lang w:val="en-US" w:eastAsia="zh-CN" w:bidi="ar-SA"/>
              </w:rPr>
            </w:pPr>
            <w:r>
              <w:rPr>
                <w:rFonts w:hint="eastAsia" w:ascii="Times New Roman" w:hAnsi="Times New Roman" w:eastAsia="宋体" w:cs="Times New Roman"/>
                <w:caps w:val="0"/>
                <w:smallCaps w:val="0"/>
                <w:color w:val="auto"/>
                <w:spacing w:val="0"/>
                <w:w w:val="100"/>
                <w:kern w:val="2"/>
                <w:sz w:val="24"/>
                <w:szCs w:val="24"/>
                <w:lang w:val="en-US" w:eastAsia="zh-CN" w:bidi="ar-SA"/>
              </w:rPr>
              <w:t>风险向环境转移的途径识别，包括分析危险物质特性及可能的环境风险类型，识别危险物质影响环境的途径，分析可能影响的环境敏感目标。</w:t>
            </w:r>
          </w:p>
          <w:p>
            <w:pPr>
              <w:pStyle w:val="153"/>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aps w:val="0"/>
                <w:smallCaps w:val="0"/>
                <w:color w:val="auto"/>
                <w:spacing w:val="0"/>
                <w:w w:val="100"/>
                <w:kern w:val="2"/>
                <w:sz w:val="24"/>
                <w:szCs w:val="24"/>
                <w:lang w:val="en-US" w:eastAsia="zh-CN" w:bidi="ar-SA"/>
              </w:rPr>
              <w:t>根据上述物质及生产系统危险性识别结果，综合分析，主要考虑本项目环境风险类型为</w:t>
            </w:r>
            <w:r>
              <w:rPr>
                <w:rFonts w:hint="eastAsia" w:ascii="Times New Roman" w:hAnsi="Times New Roman" w:eastAsia="宋体" w:cs="Times New Roman"/>
                <w:caps w:val="0"/>
                <w:smallCaps w:val="0"/>
                <w:color w:val="auto"/>
                <w:spacing w:val="0"/>
                <w:w w:val="100"/>
                <w:kern w:val="2"/>
                <w:sz w:val="24"/>
                <w:szCs w:val="24"/>
                <w:lang w:val="en-US" w:eastAsia="zh-CN" w:bidi="ar-SA"/>
              </w:rPr>
              <w:t>风险</w:t>
            </w:r>
            <w:r>
              <w:rPr>
                <w:rFonts w:hint="default" w:ascii="Times New Roman" w:hAnsi="Times New Roman" w:eastAsia="宋体" w:cs="Times New Roman"/>
                <w:caps w:val="0"/>
                <w:smallCaps w:val="0"/>
                <w:color w:val="auto"/>
                <w:spacing w:val="0"/>
                <w:w w:val="100"/>
                <w:kern w:val="2"/>
                <w:sz w:val="24"/>
                <w:szCs w:val="24"/>
                <w:lang w:val="en-US" w:eastAsia="zh-CN" w:bidi="ar-SA"/>
              </w:rPr>
              <w:t>物质泄漏、废水泄露，对项目周围地下水及土壤环境的影响</w:t>
            </w:r>
            <w:r>
              <w:rPr>
                <w:rFonts w:hint="eastAsia" w:ascii="Times New Roman" w:hAnsi="Times New Roman" w:cs="Times New Roman"/>
                <w:caps w:val="0"/>
                <w:smallCaps w:val="0"/>
                <w:color w:val="auto"/>
                <w:spacing w:val="0"/>
                <w:w w:val="100"/>
                <w:kern w:val="2"/>
                <w:sz w:val="24"/>
                <w:szCs w:val="24"/>
                <w:lang w:val="en-US" w:eastAsia="zh-CN" w:bidi="ar-SA"/>
              </w:rPr>
              <w:t>。</w:t>
            </w:r>
          </w:p>
          <w:p>
            <w:pPr>
              <w:pStyle w:val="26"/>
              <w:keepNext w:val="0"/>
              <w:keepLines w:val="0"/>
              <w:pageBreakBefore w:val="0"/>
              <w:kinsoku/>
              <w:wordWrap/>
              <w:overflowPunct/>
              <w:topLinePunct w:val="0"/>
              <w:autoSpaceDE/>
              <w:autoSpaceDN/>
              <w:bidi w:val="0"/>
              <w:snapToGrid w:val="0"/>
              <w:spacing w:before="0" w:after="0" w:line="360" w:lineRule="auto"/>
              <w:ind w:left="0" w:leftChars="0" w:right="0" w:firstLine="482" w:firstLineChars="200"/>
              <w:textAlignment w:val="auto"/>
              <w:rPr>
                <w:rFonts w:hint="eastAsia" w:cs="Times New Roman"/>
                <w:color w:val="auto"/>
                <w:kern w:val="2"/>
                <w:sz w:val="24"/>
                <w:szCs w:val="24"/>
                <w:lang w:val="en-US" w:eastAsia="zh-CN" w:bidi="ar-SA"/>
              </w:rPr>
            </w:pPr>
            <w:r>
              <w:rPr>
                <w:rFonts w:hint="eastAsia"/>
                <w:b/>
                <w:bCs/>
                <w:color w:val="auto"/>
                <w:sz w:val="24"/>
                <w:szCs w:val="24"/>
                <w:lang w:val="en-US" w:eastAsia="zh-CN"/>
              </w:rPr>
              <w:t>7.3环境风险防范措施</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eastAsia" w:ascii="Times New Roman" w:hAnsi="Times New Roman" w:eastAsia="宋体" w:cs="Times New Roman"/>
                <w:caps w:val="0"/>
                <w:smallCaps w:val="0"/>
                <w:color w:val="auto"/>
                <w:spacing w:val="0"/>
                <w:w w:val="100"/>
                <w:kern w:val="2"/>
                <w:sz w:val="24"/>
                <w:szCs w:val="24"/>
                <w:lang w:val="en-US" w:eastAsia="zh-CN" w:bidi="ar-SA"/>
              </w:rPr>
              <w:t>（1）次氯酸钠泄漏环境风险防范措施</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default" w:ascii="Times New Roman" w:hAnsi="Times New Roman" w:eastAsia="宋体" w:cs="Times New Roman"/>
                <w:caps w:val="0"/>
                <w:smallCaps w:val="0"/>
                <w:color w:val="auto"/>
                <w:spacing w:val="0"/>
                <w:w w:val="100"/>
                <w:kern w:val="2"/>
                <w:sz w:val="24"/>
                <w:szCs w:val="24"/>
                <w:lang w:val="en-US" w:eastAsia="zh-CN" w:bidi="ar-SA"/>
              </w:rPr>
              <w:t>储存：储运于阴暗、通风的库房。远离火种、热源。库温不宜超过30℃。应与酸、食品和不兼容性物料分开存放，切记混储，注意密封，储备区应备有泄漏应急处理设备和合适的收容材料。</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default" w:ascii="Times New Roman" w:hAnsi="Times New Roman" w:eastAsia="宋体" w:cs="Times New Roman"/>
                <w:caps w:val="0"/>
                <w:smallCaps w:val="0"/>
                <w:color w:val="auto"/>
                <w:spacing w:val="0"/>
                <w:w w:val="100"/>
                <w:kern w:val="2"/>
                <w:sz w:val="24"/>
                <w:szCs w:val="24"/>
                <w:lang w:val="en-US" w:eastAsia="zh-CN" w:bidi="ar-SA"/>
              </w:rPr>
              <w:t>使用：消毒过程中应注意防护：①避免吸入、食入，要求戴口罩和护目镜，戴橡皮胶手套，穿防护衣；②消毒所用衣物单独清洗；③工作中禁止吸烟、进食、饮水。消毒完成后注意通风或局部排风，工作完毕用肥皂清水洗手。</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eastAsia" w:ascii="Times New Roman" w:hAnsi="Times New Roman" w:eastAsia="宋体" w:cs="Times New Roman"/>
                <w:caps w:val="0"/>
                <w:smallCaps w:val="0"/>
                <w:color w:val="auto"/>
                <w:spacing w:val="0"/>
                <w:w w:val="100"/>
                <w:kern w:val="2"/>
                <w:sz w:val="24"/>
                <w:szCs w:val="24"/>
                <w:lang w:val="en-US" w:eastAsia="zh-CN" w:bidi="ar-SA"/>
              </w:rPr>
            </w:pPr>
            <w:r>
              <w:rPr>
                <w:rFonts w:hint="eastAsia" w:ascii="Times New Roman" w:hAnsi="Times New Roman" w:eastAsia="宋体" w:cs="Times New Roman"/>
                <w:caps w:val="0"/>
                <w:smallCaps w:val="0"/>
                <w:color w:val="auto"/>
                <w:spacing w:val="0"/>
                <w:w w:val="100"/>
                <w:kern w:val="2"/>
                <w:sz w:val="24"/>
                <w:szCs w:val="24"/>
                <w:lang w:val="en-US" w:eastAsia="zh-CN" w:bidi="ar-SA"/>
              </w:rPr>
              <w:t>（2）废水事故排放环境风险防范措施</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default" w:ascii="Times New Roman" w:hAnsi="Times New Roman" w:eastAsia="宋体" w:cs="Times New Roman"/>
                <w:caps w:val="0"/>
                <w:smallCaps w:val="0"/>
                <w:color w:val="auto"/>
                <w:spacing w:val="0"/>
                <w:w w:val="100"/>
                <w:kern w:val="2"/>
                <w:sz w:val="24"/>
                <w:szCs w:val="24"/>
                <w:lang w:val="en-US" w:eastAsia="zh-CN" w:bidi="ar-SA"/>
              </w:rPr>
              <w:t>1）对于污水处理站装置，应该配置监测、报警装置，一旦发生事故立即启动应急预案。</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default" w:ascii="Times New Roman" w:hAnsi="Times New Roman" w:eastAsia="宋体" w:cs="Times New Roman"/>
                <w:caps w:val="0"/>
                <w:smallCaps w:val="0"/>
                <w:color w:val="auto"/>
                <w:spacing w:val="0"/>
                <w:w w:val="100"/>
                <w:kern w:val="2"/>
                <w:sz w:val="24"/>
                <w:szCs w:val="24"/>
                <w:lang w:val="en-US" w:eastAsia="zh-CN" w:bidi="ar-SA"/>
              </w:rPr>
              <w:t>2）污水处理站装置纳入备用发电机组服务范围，发生停电自动启动供电。</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default" w:ascii="Times New Roman" w:hAnsi="Times New Roman" w:eastAsia="宋体" w:cs="Times New Roman"/>
                <w:caps w:val="0"/>
                <w:smallCaps w:val="0"/>
                <w:color w:val="auto"/>
                <w:spacing w:val="0"/>
                <w:w w:val="100"/>
                <w:kern w:val="2"/>
                <w:sz w:val="24"/>
                <w:szCs w:val="24"/>
                <w:lang w:val="en-US" w:eastAsia="zh-CN" w:bidi="ar-SA"/>
              </w:rPr>
              <w:t>3）及时</w:t>
            </w:r>
            <w:r>
              <w:rPr>
                <w:rFonts w:hint="eastAsia" w:cs="Times New Roman"/>
                <w:caps w:val="0"/>
                <w:smallCaps w:val="0"/>
                <w:color w:val="auto"/>
                <w:spacing w:val="0"/>
                <w:w w:val="100"/>
                <w:kern w:val="2"/>
                <w:sz w:val="24"/>
                <w:szCs w:val="24"/>
                <w:lang w:val="en-US" w:eastAsia="zh-CN" w:bidi="ar-SA"/>
              </w:rPr>
              <w:t>合理地调节</w:t>
            </w:r>
            <w:r>
              <w:rPr>
                <w:rFonts w:hint="default" w:ascii="Times New Roman" w:hAnsi="Times New Roman" w:eastAsia="宋体" w:cs="Times New Roman"/>
                <w:caps w:val="0"/>
                <w:smallCaps w:val="0"/>
                <w:color w:val="auto"/>
                <w:spacing w:val="0"/>
                <w:w w:val="100"/>
                <w:kern w:val="2"/>
                <w:sz w:val="24"/>
                <w:szCs w:val="24"/>
                <w:lang w:val="en-US" w:eastAsia="zh-CN" w:bidi="ar-SA"/>
              </w:rPr>
              <w:t>运行工况，严禁超负荷运行。</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default" w:ascii="Times New Roman" w:hAnsi="Times New Roman" w:eastAsia="宋体" w:cs="Times New Roman"/>
                <w:caps w:val="0"/>
                <w:smallCaps w:val="0"/>
                <w:color w:val="auto"/>
                <w:spacing w:val="0"/>
                <w:w w:val="100"/>
                <w:kern w:val="2"/>
                <w:sz w:val="24"/>
                <w:szCs w:val="24"/>
                <w:lang w:val="en-US" w:eastAsia="zh-CN" w:bidi="ar-SA"/>
              </w:rPr>
              <w:t>4）加强设备管理，认真做好设备、管道、阀门的检查工作，并对存在安全隐患的设备及时进行修理或更换。</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eastAsia" w:ascii="Times New Roman" w:hAnsi="Times New Roman" w:eastAsia="宋体" w:cs="Times New Roman"/>
                <w:caps w:val="0"/>
                <w:smallCaps w:val="0"/>
                <w:color w:val="auto"/>
                <w:spacing w:val="0"/>
                <w:w w:val="100"/>
                <w:kern w:val="2"/>
                <w:sz w:val="24"/>
                <w:szCs w:val="24"/>
                <w:lang w:val="en-US" w:eastAsia="zh-CN" w:bidi="ar-SA"/>
              </w:rPr>
              <w:t>（3）火灾风险防范措施</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default" w:ascii="Times New Roman" w:hAnsi="Times New Roman" w:eastAsia="宋体" w:cs="Times New Roman"/>
                <w:caps w:val="0"/>
                <w:smallCaps w:val="0"/>
                <w:color w:val="auto"/>
                <w:spacing w:val="0"/>
                <w:w w:val="100"/>
                <w:kern w:val="2"/>
                <w:sz w:val="24"/>
                <w:szCs w:val="24"/>
                <w:lang w:val="en-US" w:eastAsia="zh-CN" w:bidi="ar-SA"/>
              </w:rPr>
              <w:t>1）总平面布置布置严格执行《建筑设计防火规范》（GB50016-2014），厂房和建筑物按规定划分等级，保证各建筑物之间留有足够的安全距离。</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default" w:ascii="Times New Roman" w:hAnsi="Times New Roman" w:eastAsia="宋体" w:cs="Times New Roman"/>
                <w:caps w:val="0"/>
                <w:smallCaps w:val="0"/>
                <w:color w:val="auto"/>
                <w:spacing w:val="0"/>
                <w:w w:val="100"/>
                <w:kern w:val="2"/>
                <w:sz w:val="24"/>
                <w:szCs w:val="24"/>
                <w:lang w:val="en-US" w:eastAsia="zh-CN" w:bidi="ar-SA"/>
              </w:rPr>
              <w:t>2）电气、照明设备均采用防爆型产品，并做防雷接地设施。</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default" w:ascii="Times New Roman" w:hAnsi="Times New Roman" w:eastAsia="宋体" w:cs="Times New Roman"/>
                <w:caps w:val="0"/>
                <w:smallCaps w:val="0"/>
                <w:color w:val="auto"/>
                <w:spacing w:val="0"/>
                <w:w w:val="100"/>
                <w:kern w:val="2"/>
                <w:sz w:val="24"/>
                <w:szCs w:val="24"/>
                <w:lang w:val="en-US" w:eastAsia="zh-CN" w:bidi="ar-SA"/>
              </w:rPr>
              <w:t>3）厂区内合理配备消防器材，设计合理的逃生方案，并对工作人员进行消防、逃生培训</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default" w:ascii="Times New Roman" w:hAnsi="Times New Roman" w:eastAsia="宋体" w:cs="Times New Roman"/>
                <w:caps w:val="0"/>
                <w:smallCaps w:val="0"/>
                <w:color w:val="auto"/>
                <w:spacing w:val="0"/>
                <w:w w:val="100"/>
                <w:kern w:val="2"/>
                <w:sz w:val="24"/>
                <w:szCs w:val="24"/>
                <w:lang w:val="en-US" w:eastAsia="zh-CN" w:bidi="ar-SA"/>
              </w:rPr>
              <w:t>4）设立火灾自动监控及警报装置，制定事故应急预案，在事故发生时应及时向当地安监、生态等相关部门报告情况，并按照应急</w:t>
            </w:r>
            <w:r>
              <w:rPr>
                <w:rFonts w:hint="eastAsia" w:ascii="Times New Roman" w:hAnsi="Times New Roman" w:eastAsia="宋体" w:cs="Times New Roman"/>
                <w:caps w:val="0"/>
                <w:smallCaps w:val="0"/>
                <w:color w:val="auto"/>
                <w:spacing w:val="0"/>
                <w:w w:val="100"/>
                <w:kern w:val="2"/>
                <w:sz w:val="24"/>
                <w:szCs w:val="24"/>
                <w:lang w:val="en-US" w:eastAsia="zh-CN" w:bidi="ar-SA"/>
              </w:rPr>
              <w:t>预案</w:t>
            </w:r>
            <w:r>
              <w:rPr>
                <w:rFonts w:hint="default" w:ascii="Times New Roman" w:hAnsi="Times New Roman" w:eastAsia="宋体" w:cs="Times New Roman"/>
                <w:caps w:val="0"/>
                <w:smallCaps w:val="0"/>
                <w:color w:val="auto"/>
                <w:spacing w:val="0"/>
                <w:w w:val="100"/>
                <w:kern w:val="2"/>
                <w:sz w:val="24"/>
                <w:szCs w:val="24"/>
                <w:lang w:val="en-US" w:eastAsia="zh-CN" w:bidi="ar-SA"/>
              </w:rPr>
              <w:t>采取相应的应急处理措施。</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eastAsia" w:ascii="Times New Roman" w:hAnsi="Times New Roman" w:eastAsia="宋体" w:cs="Times New Roman"/>
                <w:caps w:val="0"/>
                <w:smallCaps w:val="0"/>
                <w:color w:val="auto"/>
                <w:spacing w:val="0"/>
                <w:w w:val="100"/>
                <w:kern w:val="2"/>
                <w:sz w:val="24"/>
                <w:szCs w:val="24"/>
                <w:lang w:val="en-US" w:eastAsia="zh-CN" w:bidi="ar-SA"/>
              </w:rPr>
              <w:t>（4）柴油泄露风险防范措施</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eastAsia" w:ascii="Times New Roman" w:hAnsi="Times New Roman" w:eastAsia="宋体" w:cs="Times New Roman"/>
                <w:caps w:val="0"/>
                <w:smallCaps w:val="0"/>
                <w:color w:val="auto"/>
                <w:spacing w:val="0"/>
                <w:w w:val="100"/>
                <w:kern w:val="2"/>
                <w:sz w:val="24"/>
                <w:szCs w:val="24"/>
                <w:lang w:val="en-US" w:eastAsia="zh-CN" w:bidi="ar-SA"/>
              </w:rPr>
            </w:pPr>
            <w:r>
              <w:rPr>
                <w:rFonts w:hint="eastAsia" w:ascii="Times New Roman" w:hAnsi="Times New Roman" w:eastAsia="宋体" w:cs="Times New Roman"/>
                <w:caps w:val="0"/>
                <w:smallCaps w:val="0"/>
                <w:color w:val="auto"/>
                <w:spacing w:val="0"/>
                <w:w w:val="100"/>
                <w:kern w:val="2"/>
                <w:sz w:val="24"/>
                <w:szCs w:val="24"/>
                <w:lang w:val="en-US" w:eastAsia="zh-CN" w:bidi="ar-SA"/>
              </w:rPr>
              <w:t>1）柴油采用专用容器应定点储存，应避免受到雨淋、暴晒、受潮和污染，并保持通风良好；</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eastAsia" w:ascii="Times New Roman" w:hAnsi="Times New Roman" w:eastAsia="宋体" w:cs="Times New Roman"/>
                <w:caps w:val="0"/>
                <w:smallCaps w:val="0"/>
                <w:color w:val="auto"/>
                <w:spacing w:val="0"/>
                <w:w w:val="100"/>
                <w:kern w:val="2"/>
                <w:sz w:val="24"/>
                <w:szCs w:val="24"/>
                <w:lang w:val="en-US" w:eastAsia="zh-CN" w:bidi="ar-SA"/>
              </w:rPr>
            </w:pPr>
            <w:r>
              <w:rPr>
                <w:rFonts w:hint="eastAsia" w:ascii="Times New Roman" w:hAnsi="Times New Roman" w:eastAsia="宋体" w:cs="Times New Roman"/>
                <w:caps w:val="0"/>
                <w:smallCaps w:val="0"/>
                <w:color w:val="auto"/>
                <w:spacing w:val="0"/>
                <w:w w:val="100"/>
                <w:kern w:val="2"/>
                <w:sz w:val="24"/>
                <w:szCs w:val="24"/>
                <w:lang w:val="en-US" w:eastAsia="zh-CN" w:bidi="ar-SA"/>
              </w:rPr>
              <w:t>2）柴油存放区周围设置</w:t>
            </w:r>
            <w:r>
              <w:rPr>
                <w:rFonts w:hint="default" w:ascii="Times New Roman" w:hAnsi="Times New Roman" w:eastAsia="宋体" w:cs="Times New Roman"/>
                <w:color w:val="auto"/>
                <w:kern w:val="0"/>
                <w:sz w:val="24"/>
                <w:szCs w:val="20"/>
                <w:highlight w:val="none"/>
                <w:lang w:val="en-US" w:eastAsia="zh-CN" w:bidi="ar-SA"/>
              </w:rPr>
              <w:t>高0.</w:t>
            </w:r>
            <w:r>
              <w:rPr>
                <w:rFonts w:hint="eastAsia" w:cs="Times New Roman"/>
                <w:color w:val="auto"/>
                <w:kern w:val="0"/>
                <w:sz w:val="24"/>
                <w:szCs w:val="20"/>
                <w:highlight w:val="none"/>
                <w:lang w:val="en-US" w:eastAsia="zh-CN" w:bidi="ar-SA"/>
              </w:rPr>
              <w:t>5</w:t>
            </w:r>
            <w:r>
              <w:rPr>
                <w:rFonts w:hint="default" w:ascii="Times New Roman" w:hAnsi="Times New Roman" w:eastAsia="宋体" w:cs="Times New Roman"/>
                <w:color w:val="auto"/>
                <w:kern w:val="0"/>
                <w:sz w:val="24"/>
                <w:szCs w:val="20"/>
                <w:highlight w:val="none"/>
                <w:lang w:val="en-US" w:eastAsia="zh-CN" w:bidi="ar-SA"/>
              </w:rPr>
              <w:t>m</w:t>
            </w:r>
            <w:r>
              <w:rPr>
                <w:rFonts w:hint="eastAsia" w:cs="Times New Roman"/>
                <w:color w:val="auto"/>
                <w:kern w:val="0"/>
                <w:sz w:val="24"/>
                <w:szCs w:val="20"/>
                <w:highlight w:val="none"/>
                <w:lang w:val="en-US" w:eastAsia="zh-CN" w:bidi="ar-SA"/>
              </w:rPr>
              <w:t>的</w:t>
            </w:r>
            <w:r>
              <w:rPr>
                <w:rFonts w:hint="eastAsia" w:ascii="Times New Roman" w:hAnsi="Times New Roman" w:eastAsia="宋体" w:cs="Times New Roman"/>
                <w:color w:val="auto"/>
                <w:kern w:val="0"/>
                <w:sz w:val="24"/>
                <w:szCs w:val="20"/>
                <w:highlight w:val="none"/>
                <w:lang w:val="en-US" w:eastAsia="zh-CN" w:bidi="ar-SA"/>
              </w:rPr>
              <w:t>围堰</w:t>
            </w:r>
            <w:r>
              <w:rPr>
                <w:rFonts w:hint="eastAsia" w:ascii="Times New Roman" w:hAnsi="Times New Roman" w:eastAsia="宋体" w:cs="Times New Roman"/>
                <w:caps w:val="0"/>
                <w:smallCaps w:val="0"/>
                <w:color w:val="auto"/>
                <w:spacing w:val="0"/>
                <w:w w:val="100"/>
                <w:kern w:val="2"/>
                <w:sz w:val="24"/>
                <w:szCs w:val="24"/>
                <w:lang w:val="en-US" w:eastAsia="zh-CN" w:bidi="ar-SA"/>
              </w:rPr>
              <w:t>、防渗托盘或地槽，液体物料发生泄漏时，将被阻挡其中，便于及时回收处理；</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eastAsia" w:ascii="Times New Roman" w:hAnsi="Times New Roman" w:eastAsia="宋体" w:cs="Times New Roman"/>
                <w:caps w:val="0"/>
                <w:smallCaps w:val="0"/>
                <w:color w:val="auto"/>
                <w:spacing w:val="0"/>
                <w:w w:val="100"/>
                <w:kern w:val="2"/>
                <w:sz w:val="24"/>
                <w:szCs w:val="24"/>
                <w:lang w:val="en-US" w:eastAsia="zh-CN" w:bidi="ar-SA"/>
              </w:rPr>
            </w:pPr>
            <w:r>
              <w:rPr>
                <w:rFonts w:hint="eastAsia" w:ascii="Times New Roman" w:hAnsi="Times New Roman" w:eastAsia="宋体" w:cs="Times New Roman"/>
                <w:caps w:val="0"/>
                <w:smallCaps w:val="0"/>
                <w:color w:val="auto"/>
                <w:spacing w:val="0"/>
                <w:w w:val="100"/>
                <w:kern w:val="2"/>
                <w:sz w:val="24"/>
                <w:szCs w:val="24"/>
                <w:lang w:val="en-US" w:eastAsia="zh-CN" w:bidi="ar-SA"/>
              </w:rPr>
              <w:t>3）火灾时，柴油燃烧会产生大量有毒有害物质，厂区内合理配备消防器材，设计合理的逃生方案，并对工作人员进行消防、逃生培训；</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eastAsia" w:ascii="Times New Roman" w:hAnsi="Times New Roman" w:eastAsia="宋体" w:cs="Times New Roman"/>
                <w:caps w:val="0"/>
                <w:smallCaps w:val="0"/>
                <w:color w:val="auto"/>
                <w:spacing w:val="0"/>
                <w:w w:val="100"/>
                <w:kern w:val="2"/>
                <w:sz w:val="24"/>
                <w:szCs w:val="24"/>
                <w:lang w:val="en-US" w:eastAsia="zh-CN" w:bidi="ar-SA"/>
              </w:rPr>
              <w:t>4）设立火灾自动监控及警报装置，制定事故应急预案，在事故发生时应及时向当地安监、环保等相关部门报告情况，并按照应急预案采取相应的应急处理措施。</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（5）液</w:t>
            </w:r>
            <w:r>
              <w:rPr>
                <w:rFonts w:hint="eastAsia" w:cs="Times New Roman"/>
                <w:color w:val="auto"/>
                <w:kern w:val="0"/>
                <w:sz w:val="24"/>
                <w:szCs w:val="20"/>
                <w:highlight w:val="none"/>
                <w:lang w:val="en-US" w:eastAsia="zh-CN" w:bidi="ar-SA"/>
              </w:rPr>
              <w:t>氧</w:t>
            </w:r>
            <w:r>
              <w:rPr>
                <w:rFonts w:hint="eastAsia" w:ascii="Times New Roman" w:hAnsi="Times New Roman" w:eastAsia="宋体" w:cs="Times New Roman"/>
                <w:color w:val="auto"/>
                <w:kern w:val="0"/>
                <w:sz w:val="24"/>
                <w:szCs w:val="20"/>
                <w:highlight w:val="none"/>
                <w:lang w:val="en-US" w:eastAsia="zh-CN" w:bidi="ar-SA"/>
              </w:rPr>
              <w:t>泄露风险防范措施</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1）液</w:t>
            </w:r>
            <w:r>
              <w:rPr>
                <w:rFonts w:hint="eastAsia" w:cs="Times New Roman"/>
                <w:color w:val="auto"/>
                <w:kern w:val="0"/>
                <w:sz w:val="24"/>
                <w:szCs w:val="20"/>
                <w:highlight w:val="none"/>
                <w:lang w:val="en-US" w:eastAsia="zh-CN" w:bidi="ar-SA"/>
              </w:rPr>
              <w:t>氧</w:t>
            </w:r>
            <w:r>
              <w:rPr>
                <w:rFonts w:hint="eastAsia" w:ascii="Times New Roman" w:hAnsi="Times New Roman" w:eastAsia="宋体" w:cs="Times New Roman"/>
                <w:color w:val="auto"/>
                <w:kern w:val="0"/>
                <w:sz w:val="24"/>
                <w:szCs w:val="20"/>
                <w:highlight w:val="none"/>
                <w:lang w:val="en-US" w:eastAsia="zh-CN" w:bidi="ar-SA"/>
              </w:rPr>
              <w:t>采用专用容器应定点储存，储存于阴凉、通风的库房。远离火种、热源；应与氧化剂、酸类、卤素、食用化学品分开存放，切忌混储；</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2）液</w:t>
            </w:r>
            <w:r>
              <w:rPr>
                <w:rFonts w:hint="eastAsia" w:cs="Times New Roman"/>
                <w:color w:val="auto"/>
                <w:kern w:val="0"/>
                <w:sz w:val="24"/>
                <w:szCs w:val="20"/>
                <w:highlight w:val="none"/>
                <w:lang w:val="en-US" w:eastAsia="zh-CN" w:bidi="ar-SA"/>
              </w:rPr>
              <w:t>氧</w:t>
            </w:r>
            <w:r>
              <w:rPr>
                <w:rFonts w:hint="eastAsia" w:ascii="Times New Roman" w:hAnsi="Times New Roman" w:eastAsia="宋体" w:cs="Times New Roman"/>
                <w:color w:val="auto"/>
                <w:kern w:val="0"/>
                <w:sz w:val="24"/>
                <w:szCs w:val="20"/>
                <w:highlight w:val="none"/>
                <w:lang w:val="en-US" w:eastAsia="zh-CN" w:bidi="ar-SA"/>
              </w:rPr>
              <w:t>存放区周围设置</w:t>
            </w:r>
            <w:r>
              <w:rPr>
                <w:rFonts w:hint="default" w:ascii="Times New Roman" w:hAnsi="Times New Roman" w:eastAsia="宋体" w:cs="Times New Roman"/>
                <w:color w:val="auto"/>
                <w:kern w:val="0"/>
                <w:sz w:val="24"/>
                <w:szCs w:val="20"/>
                <w:highlight w:val="none"/>
                <w:lang w:val="en-US" w:eastAsia="zh-CN" w:bidi="ar-SA"/>
              </w:rPr>
              <w:t>高0.</w:t>
            </w:r>
            <w:r>
              <w:rPr>
                <w:rFonts w:hint="eastAsia" w:ascii="Times New Roman" w:hAnsi="Times New Roman" w:eastAsia="宋体" w:cs="Times New Roman"/>
                <w:color w:val="auto"/>
                <w:kern w:val="0"/>
                <w:sz w:val="24"/>
                <w:szCs w:val="20"/>
                <w:highlight w:val="none"/>
                <w:lang w:val="en-US" w:eastAsia="zh-CN" w:bidi="ar-SA"/>
              </w:rPr>
              <w:t>5</w:t>
            </w:r>
            <w:r>
              <w:rPr>
                <w:rFonts w:hint="default" w:ascii="Times New Roman" w:hAnsi="Times New Roman" w:eastAsia="宋体" w:cs="Times New Roman"/>
                <w:color w:val="auto"/>
                <w:kern w:val="0"/>
                <w:sz w:val="24"/>
                <w:szCs w:val="20"/>
                <w:highlight w:val="none"/>
                <w:lang w:val="en-US" w:eastAsia="zh-CN" w:bidi="ar-SA"/>
              </w:rPr>
              <w:t>m</w:t>
            </w:r>
            <w:r>
              <w:rPr>
                <w:rFonts w:hint="eastAsia" w:ascii="Times New Roman" w:hAnsi="Times New Roman" w:eastAsia="宋体" w:cs="Times New Roman"/>
                <w:color w:val="auto"/>
                <w:kern w:val="0"/>
                <w:sz w:val="24"/>
                <w:szCs w:val="20"/>
                <w:highlight w:val="none"/>
                <w:lang w:val="en-US" w:eastAsia="zh-CN" w:bidi="ar-SA"/>
              </w:rPr>
              <w:t>的围堰、防渗托盘或地槽，液体物料发生泄漏时，将被阻挡其中，便于及时回收处理；</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eastAsia"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3）遇明火、高热能引起燃烧爆炸。厂区内合理配备消防器材，按要求设置防雷、防静电设施，并注意设置安全报警装置；设计合理的逃生方案，并对工作人员进行消防、逃生培训；</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eastAsia"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4）</w:t>
            </w:r>
            <w:r>
              <w:rPr>
                <w:rFonts w:hint="eastAsia" w:cs="Times New Roman"/>
                <w:color w:val="auto"/>
                <w:kern w:val="0"/>
                <w:sz w:val="24"/>
                <w:szCs w:val="20"/>
                <w:highlight w:val="none"/>
                <w:lang w:val="en-US" w:eastAsia="zh-CN" w:bidi="ar-SA"/>
              </w:rPr>
              <w:t>强化检修保养，</w:t>
            </w:r>
            <w:r>
              <w:rPr>
                <w:rFonts w:hint="eastAsia" w:ascii="Times New Roman" w:hAnsi="Times New Roman" w:eastAsia="宋体" w:cs="Times New Roman"/>
                <w:color w:val="auto"/>
                <w:kern w:val="0"/>
                <w:sz w:val="24"/>
                <w:szCs w:val="20"/>
                <w:highlight w:val="none"/>
                <w:lang w:val="en-US" w:eastAsia="zh-CN" w:bidi="ar-SA"/>
              </w:rPr>
              <w:t>有损坏，失效应及时更换</w:t>
            </w:r>
            <w:r>
              <w:rPr>
                <w:rFonts w:hint="eastAsia" w:cs="Times New Roman"/>
                <w:color w:val="auto"/>
                <w:kern w:val="0"/>
                <w:sz w:val="24"/>
                <w:szCs w:val="20"/>
                <w:highlight w:val="none"/>
                <w:lang w:val="en-US" w:eastAsia="zh-CN" w:bidi="ar-SA"/>
              </w:rPr>
              <w:t>。</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eastAsia" w:cs="Times New Roman"/>
                <w:color w:val="auto"/>
                <w:kern w:val="0"/>
                <w:sz w:val="24"/>
                <w:szCs w:val="20"/>
                <w:highlight w:val="none"/>
                <w:lang w:val="en-US" w:eastAsia="zh-CN" w:bidi="ar-SA"/>
              </w:rPr>
            </w:pPr>
            <w:r>
              <w:rPr>
                <w:rFonts w:hint="eastAsia" w:cs="Times New Roman"/>
                <w:color w:val="auto"/>
                <w:kern w:val="0"/>
                <w:sz w:val="24"/>
                <w:szCs w:val="20"/>
                <w:highlight w:val="none"/>
                <w:lang w:val="en-US" w:eastAsia="zh-CN" w:bidi="ar-SA"/>
              </w:rPr>
              <w:t>（6）乙醇泄露风险防范措施</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1）应严格检验物品质量、数量、包装情况、有无泄漏。化学危险品入库后应采取适当的养护措施，在贮存期内，定期检查，发现其品质变化、包装破损、渗漏、稳定剂短缺等，应及时处理。</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cs="Times New Roman"/>
                <w:color w:val="auto"/>
                <w:kern w:val="0"/>
                <w:sz w:val="24"/>
                <w:szCs w:val="20"/>
                <w:highlight w:val="none"/>
                <w:lang w:val="en-US" w:eastAsia="zh-CN" w:bidi="ar-SA"/>
              </w:rPr>
            </w:pPr>
            <w:r>
              <w:rPr>
                <w:rFonts w:hint="eastAsia" w:ascii="Times New Roman" w:hAnsi="Times New Roman" w:eastAsia="宋体" w:cs="Times New Roman"/>
                <w:color w:val="auto"/>
                <w:kern w:val="0"/>
                <w:sz w:val="24"/>
                <w:szCs w:val="20"/>
                <w:highlight w:val="none"/>
                <w:lang w:val="en-US" w:eastAsia="zh-CN" w:bidi="ar-SA"/>
              </w:rPr>
              <w:t>2）)乙醇贮存于科室储柜内，加强储柜通风，落实相关安全管理措施，设立报警系统，配备必要的面罩、化学防护服。对生产设备、原料容器及管道阀门等定期进行检查和维修，及时发现问题及时解决，同时制定严格的规章制度和操作规范，对操作人民进行上岗培训和事故应急措施培训，尽量杜绝危险事故的发生。</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7.4突发环境事件应急预案</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default" w:ascii="Times New Roman" w:hAnsi="Times New Roman" w:eastAsia="宋体" w:cs="Times New Roman"/>
                <w:caps w:val="0"/>
                <w:smallCaps w:val="0"/>
                <w:color w:val="auto"/>
                <w:spacing w:val="0"/>
                <w:w w:val="100"/>
                <w:kern w:val="2"/>
                <w:sz w:val="24"/>
                <w:szCs w:val="24"/>
                <w:lang w:val="en-US" w:eastAsia="zh-CN" w:bidi="ar-SA"/>
              </w:rPr>
              <w:t>项目投产前应按照《企事业单位突发环境事件应急预案备案管理办法（试行）》（环发[2015]4号）、《企业突发环境事件风险评估指南》（环办[2014]34号）、《企业突发环境事件风险分级方法》(HJ941-2018)等相关要求，</w:t>
            </w:r>
            <w:r>
              <w:rPr>
                <w:rFonts w:hint="eastAsia" w:ascii="Times New Roman" w:hAnsi="Times New Roman" w:eastAsia="宋体" w:cs="Times New Roman"/>
                <w:caps w:val="0"/>
                <w:smallCaps w:val="0"/>
                <w:color w:val="auto"/>
                <w:spacing w:val="0"/>
                <w:w w:val="100"/>
                <w:kern w:val="2"/>
                <w:sz w:val="24"/>
                <w:szCs w:val="24"/>
                <w:lang w:val="en-US" w:eastAsia="zh-CN" w:bidi="ar-SA"/>
              </w:rPr>
              <w:t>编制</w:t>
            </w:r>
            <w:r>
              <w:rPr>
                <w:rFonts w:hint="default" w:ascii="Times New Roman" w:hAnsi="Times New Roman" w:eastAsia="宋体" w:cs="Times New Roman"/>
                <w:caps w:val="0"/>
                <w:smallCaps w:val="0"/>
                <w:color w:val="auto"/>
                <w:spacing w:val="0"/>
                <w:w w:val="100"/>
                <w:kern w:val="2"/>
                <w:sz w:val="24"/>
                <w:szCs w:val="24"/>
                <w:lang w:val="en-US" w:eastAsia="zh-CN" w:bidi="ar-SA"/>
              </w:rPr>
              <w:t>《突发环境事件应急预案》、《突发环境事件风险评估报告》和《突发环境事件应急资源调查报告》等文本，并组织专家进行评审后，到当地</w:t>
            </w:r>
            <w:r>
              <w:rPr>
                <w:rFonts w:hint="eastAsia" w:ascii="Times New Roman" w:hAnsi="Times New Roman" w:eastAsia="宋体" w:cs="Times New Roman"/>
                <w:caps w:val="0"/>
                <w:smallCaps w:val="0"/>
                <w:color w:val="auto"/>
                <w:spacing w:val="0"/>
                <w:w w:val="100"/>
                <w:kern w:val="2"/>
                <w:sz w:val="24"/>
                <w:szCs w:val="24"/>
                <w:lang w:val="en-US" w:eastAsia="zh-CN" w:bidi="ar-SA"/>
              </w:rPr>
              <w:t>生态环境部门</w:t>
            </w:r>
            <w:r>
              <w:rPr>
                <w:rFonts w:hint="default" w:ascii="Times New Roman" w:hAnsi="Times New Roman" w:eastAsia="宋体" w:cs="Times New Roman"/>
                <w:caps w:val="0"/>
                <w:smallCaps w:val="0"/>
                <w:color w:val="auto"/>
                <w:spacing w:val="0"/>
                <w:w w:val="100"/>
                <w:kern w:val="2"/>
                <w:sz w:val="24"/>
                <w:szCs w:val="24"/>
                <w:lang w:val="en-US" w:eastAsia="zh-CN" w:bidi="ar-SA"/>
              </w:rPr>
              <w:t>进行备案。企业突发环境事件应急预案应体现分级响应、区域联动的原则，与当地政府突发环境事件应急预案相衔接，明确分级响应程序。</w:t>
            </w:r>
          </w:p>
          <w:p>
            <w:pPr>
              <w:pStyle w:val="26"/>
              <w:keepNext w:val="0"/>
              <w:keepLines w:val="0"/>
              <w:pageBreakBefore w:val="0"/>
              <w:widowControl/>
              <w:kinsoku/>
              <w:wordWrap/>
              <w:overflowPunct/>
              <w:topLinePunct w:val="0"/>
              <w:autoSpaceDE/>
              <w:autoSpaceDN/>
              <w:bidi w:val="0"/>
              <w:adjustRightInd/>
              <w:snapToGrid w:val="0"/>
              <w:spacing w:before="0" w:after="0" w:line="360" w:lineRule="auto"/>
              <w:ind w:left="0" w:leftChars="0" w:right="0" w:firstLine="480" w:firstLineChars="200"/>
              <w:textAlignment w:val="auto"/>
              <w:rPr>
                <w:rFonts w:hint="default" w:ascii="Times New Roman" w:hAnsi="Times New Roman" w:eastAsia="宋体" w:cs="Times New Roman"/>
                <w:caps w:val="0"/>
                <w:smallCaps w:val="0"/>
                <w:color w:val="auto"/>
                <w:spacing w:val="0"/>
                <w:w w:val="100"/>
                <w:kern w:val="2"/>
                <w:sz w:val="24"/>
                <w:szCs w:val="24"/>
                <w:lang w:val="en-US" w:eastAsia="zh-CN" w:bidi="ar-SA"/>
              </w:rPr>
            </w:pPr>
            <w:r>
              <w:rPr>
                <w:rFonts w:hint="default" w:ascii="Times New Roman" w:hAnsi="Times New Roman" w:eastAsia="宋体" w:cs="Times New Roman"/>
                <w:caps w:val="0"/>
                <w:smallCaps w:val="0"/>
                <w:color w:val="auto"/>
                <w:spacing w:val="0"/>
                <w:w w:val="100"/>
                <w:kern w:val="2"/>
                <w:sz w:val="24"/>
                <w:szCs w:val="24"/>
                <w:lang w:val="en-US" w:eastAsia="zh-CN" w:bidi="ar-SA"/>
              </w:rPr>
              <w:t>在严格落实本报告的提出各项事故防范和应急措施，加强管理，可最大限度地减少可能发生的环境风险。且一旦发生事故，也可将影响范围控制在较小程度之内，减小损失。企业在运营期间应不断完善企业事故防范和应急体系，实现企业联防联动，减少项目环境风险事故发生的概率，其影响危害可控制在厂区内，其风险在可接受范围内。</w:t>
            </w:r>
          </w:p>
          <w:p>
            <w:pPr>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8、环保投资估算</w:t>
            </w:r>
          </w:p>
          <w:p>
            <w:pPr>
              <w:spacing w:line="360" w:lineRule="auto"/>
              <w:ind w:firstLine="480" w:firstLineChars="200"/>
              <w:rPr>
                <w:rFonts w:hint="default" w:ascii="Times New Roman" w:hAnsi="Times New Roman" w:cs="Times New Roman"/>
                <w:b/>
                <w:color w:val="auto"/>
                <w:spacing w:val="6"/>
                <w:sz w:val="24"/>
                <w:highlight w:val="none"/>
              </w:rPr>
            </w:pPr>
            <w:r>
              <w:rPr>
                <w:rFonts w:hint="default" w:ascii="Times New Roman" w:hAnsi="Times New Roman" w:cs="Times New Roman"/>
                <w:bCs/>
                <w:color w:val="auto"/>
                <w:sz w:val="24"/>
                <w:highlight w:val="none"/>
              </w:rPr>
              <w:t>建设项目总投资</w:t>
            </w:r>
            <w:r>
              <w:rPr>
                <w:rFonts w:hint="default" w:ascii="Times New Roman" w:hAnsi="Times New Roman" w:cs="Times New Roman"/>
                <w:bCs/>
                <w:color w:val="auto"/>
                <w:sz w:val="24"/>
                <w:highlight w:val="none"/>
                <w:lang w:val="en-US" w:eastAsia="zh-CN"/>
              </w:rPr>
              <w:t>12500</w:t>
            </w:r>
            <w:r>
              <w:rPr>
                <w:rFonts w:hint="default" w:ascii="Times New Roman" w:hAnsi="Times New Roman" w:cs="Times New Roman"/>
                <w:bCs/>
                <w:color w:val="auto"/>
                <w:sz w:val="24"/>
                <w:highlight w:val="none"/>
              </w:rPr>
              <w:t>万元，其中环保投资</w:t>
            </w:r>
            <w:r>
              <w:rPr>
                <w:rFonts w:hint="eastAsia" w:cs="Times New Roman"/>
                <w:bCs/>
                <w:color w:val="auto"/>
                <w:sz w:val="24"/>
                <w:highlight w:val="none"/>
                <w:lang w:val="en-US" w:eastAsia="zh-CN"/>
              </w:rPr>
              <w:t>88</w:t>
            </w:r>
            <w:r>
              <w:rPr>
                <w:rFonts w:hint="default" w:ascii="Times New Roman" w:hAnsi="Times New Roman" w:cs="Times New Roman"/>
                <w:bCs/>
                <w:color w:val="auto"/>
                <w:sz w:val="24"/>
                <w:highlight w:val="none"/>
              </w:rPr>
              <w:t>万元，占总投资比例为</w:t>
            </w:r>
            <w:r>
              <w:rPr>
                <w:rFonts w:hint="eastAsia" w:cs="Times New Roman"/>
                <w:bCs/>
                <w:color w:val="auto"/>
                <w:sz w:val="24"/>
                <w:highlight w:val="none"/>
                <w:lang w:val="en-US" w:eastAsia="zh-CN"/>
              </w:rPr>
              <w:t>0.07</w:t>
            </w:r>
            <w:r>
              <w:rPr>
                <w:rFonts w:hint="default" w:ascii="Times New Roman" w:hAnsi="Times New Roman" w:cs="Times New Roman"/>
                <w:bCs/>
                <w:color w:val="auto"/>
                <w:sz w:val="24"/>
                <w:highlight w:val="none"/>
              </w:rPr>
              <w:t>%。</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pacing w:val="6"/>
                <w:sz w:val="24"/>
                <w:highlight w:val="none"/>
              </w:rPr>
            </w:pPr>
            <w:r>
              <w:rPr>
                <w:rFonts w:hint="default" w:ascii="Times New Roman" w:hAnsi="Times New Roman" w:cs="Times New Roman"/>
                <w:b/>
                <w:color w:val="auto"/>
                <w:spacing w:val="6"/>
                <w:sz w:val="24"/>
                <w:highlight w:val="none"/>
              </w:rPr>
              <w:t>表4-</w:t>
            </w:r>
            <w:r>
              <w:rPr>
                <w:rFonts w:hint="eastAsia" w:cs="Times New Roman"/>
                <w:b/>
                <w:color w:val="auto"/>
                <w:spacing w:val="6"/>
                <w:sz w:val="24"/>
                <w:highlight w:val="none"/>
                <w:lang w:val="en-US" w:eastAsia="zh-CN"/>
              </w:rPr>
              <w:t xml:space="preserve">18  </w:t>
            </w:r>
            <w:r>
              <w:rPr>
                <w:rFonts w:hint="default" w:ascii="Times New Roman" w:hAnsi="Times New Roman" w:cs="Times New Roman"/>
                <w:b/>
                <w:color w:val="auto"/>
                <w:spacing w:val="6"/>
                <w:sz w:val="24"/>
                <w:highlight w:val="none"/>
              </w:rPr>
              <w:t>环保投资一览表</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0"/>
              <w:gridCol w:w="1200"/>
              <w:gridCol w:w="4364"/>
              <w:gridCol w:w="20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dxa"/>
                  <w:tcBorders>
                    <w:top w:val="single" w:color="auto" w:sz="12" w:space="0"/>
                    <w:bottom w:val="single" w:color="auto" w:sz="12" w:space="0"/>
                    <w:right w:val="single" w:color="auto" w:sz="4" w:space="0"/>
                  </w:tcBorders>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200" w:type="dxa"/>
                  <w:tcBorders>
                    <w:top w:val="single" w:color="auto" w:sz="12"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项目</w:t>
                  </w:r>
                </w:p>
              </w:tc>
              <w:tc>
                <w:tcPr>
                  <w:tcW w:w="4364" w:type="dxa"/>
                  <w:tcBorders>
                    <w:top w:val="single" w:color="auto" w:sz="12"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环保设施</w:t>
                  </w:r>
                </w:p>
              </w:tc>
              <w:tc>
                <w:tcPr>
                  <w:tcW w:w="2098" w:type="dxa"/>
                  <w:tcBorders>
                    <w:top w:val="single" w:color="auto" w:sz="12" w:space="0"/>
                    <w:left w:val="single" w:color="auto" w:sz="4" w:space="0"/>
                    <w:bottom w:val="single" w:color="auto" w:sz="12" w:space="0"/>
                  </w:tcBorders>
                  <w:noWrap w:val="0"/>
                  <w:vAlign w:val="center"/>
                </w:tcPr>
                <w:p>
                  <w:pPr>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投资额（万元）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30" w:type="dxa"/>
                  <w:tcBorders>
                    <w:top w:val="single" w:color="auto" w:sz="12" w:space="0"/>
                    <w:right w:val="single" w:color="auto" w:sz="4" w:space="0"/>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200" w:type="dxa"/>
                  <w:tcBorders>
                    <w:top w:val="single" w:color="auto" w:sz="12"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w:t>
                  </w:r>
                </w:p>
              </w:tc>
              <w:tc>
                <w:tcPr>
                  <w:tcW w:w="4364" w:type="dxa"/>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隔油沉淀池+污水处理站</w:t>
                  </w:r>
                </w:p>
              </w:tc>
              <w:tc>
                <w:tcPr>
                  <w:tcW w:w="2098" w:type="dxa"/>
                  <w:tcBorders>
                    <w:top w:val="single" w:color="auto" w:sz="12" w:space="0"/>
                    <w:left w:val="single" w:color="auto" w:sz="4" w:space="0"/>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30" w:type="dxa"/>
                  <w:vMerge w:val="restart"/>
                  <w:tcBorders>
                    <w:right w:val="single" w:color="auto" w:sz="4" w:space="0"/>
                  </w:tcBorders>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p>
              </w:tc>
              <w:tc>
                <w:tcPr>
                  <w:tcW w:w="1200" w:type="dxa"/>
                  <w:vMerge w:val="restart"/>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w:t>
                  </w:r>
                </w:p>
              </w:tc>
              <w:tc>
                <w:tcPr>
                  <w:tcW w:w="436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污水处理站加盖，喷洒除臭剂，周边绿化</w:t>
                  </w:r>
                </w:p>
              </w:tc>
              <w:tc>
                <w:tcPr>
                  <w:tcW w:w="2098" w:type="dxa"/>
                  <w:tcBorders>
                    <w:top w:val="single" w:color="auto" w:sz="4" w:space="0"/>
                    <w:left w:val="single" w:color="auto" w:sz="4" w:space="0"/>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30" w:type="dxa"/>
                  <w:vMerge w:val="continue"/>
                  <w:tcBorders>
                    <w:right w:val="single" w:color="auto" w:sz="4" w:space="0"/>
                  </w:tcBorders>
                  <w:noWrap w:val="0"/>
                  <w:vAlign w:val="center"/>
                </w:tcPr>
                <w:p>
                  <w:pPr>
                    <w:jc w:val="center"/>
                    <w:rPr>
                      <w:rFonts w:hint="default" w:ascii="Times New Roman" w:hAnsi="Times New Roman" w:cs="Times New Roman"/>
                      <w:color w:val="auto"/>
                      <w:szCs w:val="21"/>
                      <w:highlight w:val="none"/>
                    </w:rPr>
                  </w:pPr>
                </w:p>
              </w:tc>
              <w:tc>
                <w:tcPr>
                  <w:tcW w:w="1200"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p>
              </w:tc>
              <w:tc>
                <w:tcPr>
                  <w:tcW w:w="436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油烟净化器</w:t>
                  </w:r>
                </w:p>
              </w:tc>
              <w:tc>
                <w:tcPr>
                  <w:tcW w:w="2098" w:type="dxa"/>
                  <w:tcBorders>
                    <w:top w:val="single" w:color="auto" w:sz="4" w:space="0"/>
                    <w:left w:val="single" w:color="auto" w:sz="4" w:space="0"/>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730" w:type="dxa"/>
                  <w:vMerge w:val="continue"/>
                  <w:tcBorders>
                    <w:right w:val="single" w:color="auto" w:sz="4" w:space="0"/>
                  </w:tcBorders>
                  <w:noWrap w:val="0"/>
                  <w:vAlign w:val="center"/>
                </w:tcPr>
                <w:p>
                  <w:pPr>
                    <w:jc w:val="center"/>
                    <w:rPr>
                      <w:rFonts w:hint="default" w:ascii="Times New Roman" w:hAnsi="Times New Roman" w:cs="Times New Roman"/>
                      <w:color w:val="auto"/>
                      <w:szCs w:val="21"/>
                      <w:highlight w:val="none"/>
                    </w:rPr>
                  </w:pPr>
                </w:p>
              </w:tc>
              <w:tc>
                <w:tcPr>
                  <w:tcW w:w="1200" w:type="dxa"/>
                  <w:vMerge w:val="continue"/>
                  <w:tcBorders>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p>
              </w:tc>
              <w:tc>
                <w:tcPr>
                  <w:tcW w:w="436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集气罩</w:t>
                  </w:r>
                </w:p>
              </w:tc>
              <w:tc>
                <w:tcPr>
                  <w:tcW w:w="2098" w:type="dxa"/>
                  <w:tcBorders>
                    <w:top w:val="single" w:color="auto" w:sz="4" w:space="0"/>
                    <w:left w:val="single" w:color="auto" w:sz="4" w:space="0"/>
                  </w:tcBorders>
                  <w:noWrap w:val="0"/>
                  <w:vAlign w:val="center"/>
                </w:tcPr>
                <w:p>
                  <w:pPr>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0"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20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436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选用低噪声设备，采取减振、密闭、隔声、消声等措施，限速禁鸣标识、禁止喧哗标识</w:t>
                  </w:r>
                </w:p>
              </w:tc>
              <w:tc>
                <w:tcPr>
                  <w:tcW w:w="2098"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0" w:type="dxa"/>
                  <w:vMerge w:val="restart"/>
                  <w:tcBorders>
                    <w:top w:val="single" w:color="auto" w:sz="4" w:space="0"/>
                    <w:right w:val="single" w:color="auto" w:sz="4" w:space="0"/>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200" w:type="dxa"/>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固体废物</w:t>
                  </w:r>
                </w:p>
              </w:tc>
              <w:tc>
                <w:tcPr>
                  <w:tcW w:w="436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生活垃圾分类收集箱，定期清运</w:t>
                  </w:r>
                </w:p>
              </w:tc>
              <w:tc>
                <w:tcPr>
                  <w:tcW w:w="2098"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0" w:type="dxa"/>
                  <w:vMerge w:val="continue"/>
                  <w:tcBorders>
                    <w:bottom w:val="single" w:color="auto" w:sz="4" w:space="0"/>
                    <w:right w:val="single" w:color="auto" w:sz="4" w:space="0"/>
                  </w:tcBorders>
                  <w:noWrap w:val="0"/>
                  <w:vAlign w:val="center"/>
                </w:tcPr>
                <w:p>
                  <w:pPr>
                    <w:jc w:val="center"/>
                    <w:rPr>
                      <w:rFonts w:hint="default" w:ascii="Times New Roman" w:hAnsi="Times New Roman" w:cs="Times New Roman"/>
                      <w:color w:val="auto"/>
                      <w:szCs w:val="21"/>
                      <w:highlight w:val="none"/>
                    </w:rPr>
                  </w:pPr>
                </w:p>
              </w:tc>
              <w:tc>
                <w:tcPr>
                  <w:tcW w:w="1200" w:type="dxa"/>
                  <w:vMerge w:val="continue"/>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p>
              </w:tc>
              <w:tc>
                <w:tcPr>
                  <w:tcW w:w="436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val="en-US" w:eastAsia="zh-CN"/>
                    </w:rPr>
                    <w:t>危险</w:t>
                  </w:r>
                  <w:r>
                    <w:rPr>
                      <w:rFonts w:hint="default" w:ascii="Times New Roman" w:hAnsi="Times New Roman" w:eastAsia="宋体" w:cs="Times New Roman"/>
                      <w:color w:val="auto"/>
                      <w:szCs w:val="21"/>
                      <w:highlight w:val="none"/>
                    </w:rPr>
                    <w:t>废物暂存间</w:t>
                  </w:r>
                  <w:r>
                    <w:rPr>
                      <w:rFonts w:hint="default" w:ascii="Times New Roman" w:hAnsi="Times New Roman" w:eastAsia="宋体" w:cs="Times New Roman"/>
                      <w:color w:val="auto"/>
                      <w:szCs w:val="21"/>
                      <w:highlight w:val="none"/>
                      <w:lang w:eastAsia="zh-Hans"/>
                    </w:rPr>
                    <w:t>（</w:t>
                  </w:r>
                  <w:r>
                    <w:rPr>
                      <w:rFonts w:hint="default" w:ascii="Times New Roman" w:hAnsi="Times New Roman" w:eastAsia="宋体" w:cs="Times New Roman"/>
                      <w:color w:val="auto"/>
                      <w:szCs w:val="21"/>
                      <w:highlight w:val="none"/>
                    </w:rPr>
                    <w:t>127.13</w:t>
                  </w:r>
                  <w:r>
                    <w:rPr>
                      <w:rFonts w:hint="default" w:ascii="Times New Roman" w:hAnsi="Times New Roman" w:eastAsia="宋体" w:cs="Times New Roman"/>
                      <w:color w:val="auto"/>
                      <w:szCs w:val="21"/>
                      <w:highlight w:val="none"/>
                      <w:lang w:eastAsia="zh-Hans"/>
                    </w:rPr>
                    <w:t>m</w:t>
                  </w:r>
                  <w:r>
                    <w:rPr>
                      <w:rFonts w:hint="default" w:ascii="Times New Roman" w:hAnsi="Times New Roman" w:eastAsia="宋体" w:cs="Times New Roman"/>
                      <w:color w:val="auto"/>
                      <w:szCs w:val="21"/>
                      <w:highlight w:val="none"/>
                      <w:vertAlign w:val="superscript"/>
                      <w:lang w:eastAsia="zh-Hans"/>
                    </w:rPr>
                    <w:t>2</w:t>
                  </w:r>
                  <w:r>
                    <w:rPr>
                      <w:rFonts w:hint="default" w:ascii="Times New Roman" w:hAnsi="Times New Roman" w:eastAsia="宋体" w:cs="Times New Roman"/>
                      <w:color w:val="auto"/>
                      <w:szCs w:val="21"/>
                      <w:highlight w:val="none"/>
                      <w:lang w:eastAsia="zh-Hans"/>
                    </w:rPr>
                    <w:t>）</w:t>
                  </w:r>
                  <w:r>
                    <w:rPr>
                      <w:rFonts w:hint="default" w:ascii="Times New Roman" w:hAnsi="Times New Roman" w:eastAsia="宋体" w:cs="Times New Roman"/>
                      <w:color w:val="auto"/>
                      <w:szCs w:val="21"/>
                      <w:highlight w:val="none"/>
                    </w:rPr>
                    <w:t>，收集后委托有资质单位处理</w:t>
                  </w:r>
                </w:p>
              </w:tc>
              <w:tc>
                <w:tcPr>
                  <w:tcW w:w="2098"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0" w:type="dxa"/>
                  <w:tcBorders>
                    <w:bottom w:val="single" w:color="auto" w:sz="4" w:space="0"/>
                    <w:right w:val="single" w:color="auto" w:sz="4" w:space="0"/>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1200" w:type="dxa"/>
                  <w:tcBorders>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其他</w:t>
                  </w:r>
                </w:p>
              </w:tc>
              <w:tc>
                <w:tcPr>
                  <w:tcW w:w="436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防渗工程</w:t>
                  </w:r>
                </w:p>
              </w:tc>
              <w:tc>
                <w:tcPr>
                  <w:tcW w:w="2098"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730" w:type="dxa"/>
                  <w:tcBorders>
                    <w:top w:val="single" w:color="auto" w:sz="4" w:space="0"/>
                    <w:bottom w:val="single" w:color="auto" w:sz="12" w:space="0"/>
                    <w:right w:val="single" w:color="auto" w:sz="4" w:space="0"/>
                  </w:tcBorders>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5564" w:type="dxa"/>
                  <w:gridSpan w:val="2"/>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总计</w:t>
                  </w:r>
                </w:p>
              </w:tc>
              <w:tc>
                <w:tcPr>
                  <w:tcW w:w="2098" w:type="dxa"/>
                  <w:tcBorders>
                    <w:top w:val="single" w:color="auto" w:sz="4" w:space="0"/>
                    <w:left w:val="single" w:color="auto" w:sz="4" w:space="0"/>
                    <w:bottom w:val="single" w:color="auto" w:sz="12" w:space="0"/>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88</w:t>
                  </w:r>
                </w:p>
              </w:tc>
            </w:tr>
          </w:tbl>
          <w:p>
            <w:pPr>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9</w:t>
            </w:r>
            <w:r>
              <w:rPr>
                <w:rFonts w:hint="eastAsia" w:ascii="Times New Roman" w:hAnsi="Times New Roman" w:cs="Times New Roman"/>
                <w:b/>
                <w:color w:val="auto"/>
                <w:sz w:val="24"/>
                <w:highlight w:val="none"/>
                <w:lang w:eastAsia="zh-CN"/>
              </w:rPr>
              <w:t>、</w:t>
            </w:r>
            <w:r>
              <w:rPr>
                <w:rFonts w:hint="default" w:ascii="Times New Roman" w:hAnsi="Times New Roman" w:cs="Times New Roman"/>
                <w:b/>
                <w:color w:val="auto"/>
                <w:sz w:val="24"/>
                <w:highlight w:val="none"/>
              </w:rPr>
              <w:t>排污口规范化要求</w:t>
            </w:r>
          </w:p>
          <w:p>
            <w:pPr>
              <w:adjustRightInd w:val="0"/>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（1）排污口规范化：</w:t>
            </w:r>
          </w:p>
          <w:p>
            <w:pPr>
              <w:adjustRightInd w:val="0"/>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1）排污口管理</w:t>
            </w:r>
          </w:p>
          <w:p>
            <w:pPr>
              <w:adjustRightInd w:val="0"/>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建设单位应在各个排污口处</w:t>
            </w:r>
            <w:r>
              <w:rPr>
                <w:rFonts w:hint="eastAsia" w:ascii="Times New Roman" w:hAnsi="Times New Roman" w:cs="Times New Roman"/>
                <w:color w:val="auto"/>
                <w:sz w:val="24"/>
                <w:highlight w:val="none"/>
                <w:lang w:eastAsia="zh-CN"/>
              </w:rPr>
              <w:t>竖立标志牌</w:t>
            </w:r>
            <w:r>
              <w:rPr>
                <w:rFonts w:hint="default" w:ascii="Times New Roman" w:hAnsi="Times New Roman" w:cs="Times New Roman"/>
                <w:color w:val="auto"/>
                <w:sz w:val="24"/>
                <w:highlight w:val="none"/>
              </w:rPr>
              <w:t>，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adjustRightInd w:val="0"/>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2）环境保护图形标志</w:t>
            </w:r>
          </w:p>
          <w:p>
            <w:pPr>
              <w:adjustRightInd w:val="0"/>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在废气排放源、噪声产生点应设置环境保护图形标志，图形符号分为提示图形和警告图形符号两种，分别按GB15562.1-1995、GB15562.2-1995执行。环境保护图形符号见表4-</w:t>
            </w:r>
            <w:r>
              <w:rPr>
                <w:rFonts w:hint="eastAsia" w:cs="Times New Roman"/>
                <w:color w:val="auto"/>
                <w:sz w:val="24"/>
                <w:highlight w:val="none"/>
                <w:lang w:val="en-US" w:eastAsia="zh-CN"/>
              </w:rPr>
              <w:t>19</w:t>
            </w:r>
            <w:r>
              <w:rPr>
                <w:rFonts w:hint="default" w:ascii="Times New Roman" w:hAnsi="Times New Roman" w:cs="Times New Roman"/>
                <w:color w:val="auto"/>
                <w:sz w:val="24"/>
                <w:highlight w:val="none"/>
              </w:rPr>
              <w:t>。</w:t>
            </w:r>
          </w:p>
          <w:p>
            <w:pPr>
              <w:keepNext w:val="0"/>
              <w:keepLines w:val="0"/>
              <w:pageBreakBefore w:val="0"/>
              <w:widowControl/>
              <w:kinsoku/>
              <w:wordWrap/>
              <w:overflowPunct/>
              <w:topLinePunct w:val="0"/>
              <w:autoSpaceDE/>
              <w:autoSpaceDN/>
              <w:bidi w:val="0"/>
              <w:adjustRightInd w:val="0"/>
              <w:snapToGrid w:val="0"/>
              <w:spacing w:line="240" w:lineRule="auto"/>
              <w:ind w:firstLine="2266" w:firstLineChars="896"/>
              <w:textAlignment w:val="auto"/>
              <w:rPr>
                <w:rFonts w:hint="default" w:ascii="Times New Roman" w:hAnsi="Times New Roman" w:cs="Times New Roman"/>
                <w:b/>
                <w:color w:val="auto"/>
                <w:spacing w:val="6"/>
                <w:sz w:val="24"/>
                <w:highlight w:val="none"/>
              </w:rPr>
            </w:pPr>
            <w:r>
              <w:rPr>
                <w:rFonts w:hint="default" w:ascii="Times New Roman" w:hAnsi="Times New Roman" w:cs="Times New Roman"/>
                <w:b/>
                <w:color w:val="auto"/>
                <w:spacing w:val="6"/>
                <w:sz w:val="24"/>
                <w:highlight w:val="none"/>
              </w:rPr>
              <w:t>表4-</w:t>
            </w:r>
            <w:r>
              <w:rPr>
                <w:rFonts w:hint="eastAsia" w:ascii="Times New Roman" w:hAnsi="Times New Roman" w:cs="Times New Roman"/>
                <w:b/>
                <w:color w:val="auto"/>
                <w:spacing w:val="6"/>
                <w:sz w:val="24"/>
                <w:highlight w:val="none"/>
                <w:lang w:val="en-US" w:eastAsia="zh-CN"/>
              </w:rPr>
              <w:t>1</w:t>
            </w:r>
            <w:r>
              <w:rPr>
                <w:rFonts w:hint="eastAsia" w:cs="Times New Roman"/>
                <w:b/>
                <w:color w:val="auto"/>
                <w:spacing w:val="6"/>
                <w:sz w:val="24"/>
                <w:highlight w:val="none"/>
                <w:lang w:val="en-US" w:eastAsia="zh-CN"/>
              </w:rPr>
              <w:t xml:space="preserve">9  </w:t>
            </w:r>
            <w:r>
              <w:rPr>
                <w:rFonts w:hint="eastAsia" w:ascii="Times New Roman" w:hAnsi="Times New Roman" w:cs="Times New Roman"/>
                <w:b/>
                <w:color w:val="auto"/>
                <w:spacing w:val="6"/>
                <w:sz w:val="24"/>
                <w:highlight w:val="none"/>
                <w:lang w:val="en-US" w:eastAsia="zh-CN"/>
              </w:rPr>
              <w:t xml:space="preserve"> </w:t>
            </w:r>
            <w:r>
              <w:rPr>
                <w:rFonts w:hint="default" w:ascii="Times New Roman" w:hAnsi="Times New Roman" w:cs="Times New Roman"/>
                <w:b/>
                <w:color w:val="auto"/>
                <w:spacing w:val="6"/>
                <w:sz w:val="24"/>
                <w:highlight w:val="none"/>
              </w:rPr>
              <w:t>环境保护图形符号一览表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56"/>
              <w:gridCol w:w="1535"/>
              <w:gridCol w:w="1749"/>
              <w:gridCol w:w="1557"/>
              <w:gridCol w:w="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3" w:hRule="exact"/>
                <w:jc w:val="center"/>
              </w:trPr>
              <w:tc>
                <w:tcPr>
                  <w:tcW w:w="656"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1535"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提示图形符号</w:t>
                  </w:r>
                </w:p>
              </w:tc>
              <w:tc>
                <w:tcPr>
                  <w:tcW w:w="1749"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警告图形符号</w:t>
                  </w:r>
                </w:p>
              </w:tc>
              <w:tc>
                <w:tcPr>
                  <w:tcW w:w="1557"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w:t>
                  </w:r>
                </w:p>
              </w:tc>
              <w:tc>
                <w:tcPr>
                  <w:tcW w:w="2885"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1" w:hRule="exact"/>
                <w:jc w:val="center"/>
              </w:trPr>
              <w:tc>
                <w:tcPr>
                  <w:tcW w:w="656"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1535" w:type="dxa"/>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1749" w:type="dxa"/>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1557"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废气排放口</w:t>
                  </w:r>
                </w:p>
              </w:tc>
              <w:tc>
                <w:tcPr>
                  <w:tcW w:w="2885"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表示废气向大气环境排放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1" w:hRule="exact"/>
                <w:jc w:val="center"/>
              </w:trPr>
              <w:tc>
                <w:tcPr>
                  <w:tcW w:w="656"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1535" w:type="dxa"/>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1749" w:type="dxa"/>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1557"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噪声源强</w:t>
                  </w:r>
                </w:p>
              </w:tc>
              <w:tc>
                <w:tcPr>
                  <w:tcW w:w="2885"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表示噪声生产源强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1" w:hRule="exact"/>
                <w:jc w:val="center"/>
              </w:trPr>
              <w:tc>
                <w:tcPr>
                  <w:tcW w:w="656"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w:t>
                  </w:r>
                </w:p>
              </w:tc>
              <w:tc>
                <w:tcPr>
                  <w:tcW w:w="1535" w:type="dxa"/>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1749" w:type="dxa"/>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1557"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一般固体废物</w:t>
                  </w:r>
                </w:p>
              </w:tc>
              <w:tc>
                <w:tcPr>
                  <w:tcW w:w="2885"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表示固体废物贮存、处置场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61" w:hRule="exact"/>
                <w:jc w:val="center"/>
              </w:trPr>
              <w:tc>
                <w:tcPr>
                  <w:tcW w:w="656" w:type="dxa"/>
                  <w:noWrap w:val="0"/>
                  <w:vAlign w:val="center"/>
                </w:tcPr>
                <w:p>
                  <w:pPr>
                    <w:adjustRightInd w:val="0"/>
                    <w:snapToGrid w:val="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w:t>
                  </w:r>
                </w:p>
              </w:tc>
              <w:tc>
                <w:tcPr>
                  <w:tcW w:w="1535" w:type="dxa"/>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1749" w:type="dxa"/>
                  <w:noWrap w:val="0"/>
                  <w:vAlign w:val="center"/>
                </w:tcPr>
                <w:p>
                  <w:pPr>
                    <w:adjustRightInd w:val="0"/>
                    <w:snapToGrid w:val="0"/>
                    <w:jc w:val="center"/>
                    <w:rPr>
                      <w:rFonts w:hint="eastAsia" w:ascii="Times New Roman" w:hAnsi="Times New Roman" w:eastAsia="宋体" w:cs="Times New Roman"/>
                      <w:color w:val="auto"/>
                      <w:szCs w:val="21"/>
                      <w:highlight w:val="none"/>
                      <w:lang w:eastAsia="zh-CN"/>
                    </w:rPr>
                  </w:pPr>
                </w:p>
              </w:tc>
              <w:tc>
                <w:tcPr>
                  <w:tcW w:w="1557" w:type="dxa"/>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废水排放口</w:t>
                  </w:r>
                </w:p>
              </w:tc>
              <w:tc>
                <w:tcPr>
                  <w:tcW w:w="2885"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表示废水排放口</w:t>
                  </w:r>
                </w:p>
              </w:tc>
            </w:tr>
          </w:tbl>
          <w:p>
            <w:pPr>
              <w:adjustRightInd w:val="0"/>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（2）环境保护档案管理</w:t>
            </w:r>
          </w:p>
          <w:p>
            <w:pPr>
              <w:adjustRightInd w:val="0"/>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公司设专人负责项目的环境保护档案管理工作，环保档案实行专人管理责任到人。企业的所有环保资料应分类别整理、分类存档、科学管理，便于统计、查阅。在环境保护档案管理中，应建立如下文件档案：与本项目有关的法规、标准、规范和区域规划等；项目建设的有关环境保护的报告、设计方案及审查、审批文件；项目环保工程设施的设计、施工、安装的基础资料及验收资料；公司内部的环境保护管理制度、人员环保培训和考核记录；生态恢复工程、污染治理设施运行管理文件；环境监测记录技术文件；建立台账，如实记录生产原料、辅料的使用量、废弃量、去向以及挥发性有机物含量，台账保存期限不得少于三年；所有导致污染事件的分析报告和检测数据资料等。</w:t>
            </w:r>
          </w:p>
          <w:p>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（3）排污许可管理</w:t>
            </w:r>
          </w:p>
          <w:p>
            <w:pPr>
              <w:pStyle w:val="14"/>
              <w:spacing w:line="360" w:lineRule="auto"/>
              <w:ind w:firstLine="480" w:firstLineChars="200"/>
              <w:rPr>
                <w:rFonts w:hint="eastAsia" w:ascii="Times New Roman" w:hAnsi="Times New Roman" w:eastAsia="宋体" w:cs="Times New Roman"/>
                <w:color w:val="auto"/>
                <w:sz w:val="24"/>
                <w:szCs w:val="20"/>
                <w:highlight w:val="none"/>
                <w:lang w:eastAsia="zh-CN"/>
              </w:rPr>
            </w:pPr>
            <w:r>
              <w:rPr>
                <w:rFonts w:hint="default" w:ascii="Times New Roman" w:hAnsi="Times New Roman" w:cs="Times New Roman"/>
                <w:color w:val="auto"/>
                <w:sz w:val="24"/>
                <w:szCs w:val="20"/>
                <w:highlight w:val="none"/>
              </w:rPr>
              <w:t>控制污染物排放许可制（以下称排污许可制）是依法规范企事业单位排污行为的基础性环境管理制度，环境保护部门通过对企事业单位发放排污许可证并依证监管实施排污许可制。</w:t>
            </w:r>
          </w:p>
          <w:p>
            <w:pPr>
              <w:pStyle w:val="14"/>
              <w:spacing w:line="360" w:lineRule="auto"/>
              <w:ind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2018年1月17日环保部颁发了《排污许可管理办法（试行）》规定了环境保护部依法制定并公布固定污染源排污许可分类管理名录，明确纳入排污许可管理的范围和申领时限。纳入固定污染源排污许可分类管理名录的企业事业单位和其他生产经营者（以下简称排污单位）应当按照规定的时限申请并取得排污许可证。排污单位应当依法持有排污许可证，并按照排污许可证的规定排放污染物。应当取得排污许可证而未取得的，不得排放</w:t>
            </w:r>
            <w:r>
              <w:rPr>
                <w:rFonts w:hint="eastAsia" w:ascii="Times New Roman" w:hAnsi="Times New Roman" w:cs="Times New Roman"/>
                <w:color w:val="auto"/>
                <w:sz w:val="24"/>
                <w:szCs w:val="20"/>
                <w:highlight w:val="none"/>
                <w:lang w:eastAsia="zh-CN"/>
              </w:rPr>
              <w:t>污染物</w:t>
            </w:r>
            <w:r>
              <w:rPr>
                <w:rFonts w:hint="default" w:ascii="Times New Roman" w:hAnsi="Times New Roman" w:cs="Times New Roman"/>
                <w:color w:val="auto"/>
                <w:sz w:val="24"/>
                <w:szCs w:val="20"/>
                <w:highlight w:val="none"/>
              </w:rPr>
              <w:t>。对污染物产生量大、排放量大或者环境危害程度高的排污单位实行排污许可重点管理，对其他排污单位实行排污许可简化管理。实行排污许可重点管理或者简化管理的排污单位的具体范围，依照固定污染源排污许可分类管理名录规定执行。实行重点管理和简化管理的内容及要求，依照本办法第十一条规定的排污许可相关技术规范、指南等执行。设区的市级以上地方环境保护主管部门，应当将实行排污许可重点管理的排污单位确定为重点排污单位。</w:t>
            </w:r>
          </w:p>
          <w:p>
            <w:pPr>
              <w:pStyle w:val="14"/>
              <w:spacing w:line="360" w:lineRule="auto"/>
              <w:ind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对照《固定污染源排污许可分类管理名录（2019年版）》及</w:t>
            </w:r>
            <w:r>
              <w:rPr>
                <w:rFonts w:hint="default" w:ascii="Times New Roman" w:hAnsi="Times New Roman" w:cs="Times New Roman"/>
                <w:color w:val="auto"/>
                <w:sz w:val="24"/>
                <w:highlight w:val="none"/>
              </w:rPr>
              <w:t>《排污许可证申请与核发技术规范—医疗机构》（HJ1105-2020），项目需及时办理排污许可证。</w:t>
            </w:r>
          </w:p>
          <w:p>
            <w:pPr>
              <w:spacing w:line="360" w:lineRule="auto"/>
              <w:rPr>
                <w:rFonts w:hint="default" w:ascii="Times New Roman" w:hAnsi="Times New Roman" w:cs="Times New Roman"/>
                <w:b/>
                <w:color w:val="auto"/>
                <w:sz w:val="24"/>
                <w:highlight w:val="none"/>
              </w:rPr>
            </w:pPr>
            <w:r>
              <w:rPr>
                <w:rFonts w:hint="eastAsia" w:cs="Times New Roman"/>
                <w:b/>
                <w:color w:val="auto"/>
                <w:sz w:val="24"/>
                <w:highlight w:val="none"/>
                <w:lang w:val="en-US" w:eastAsia="zh-CN"/>
              </w:rPr>
              <w:t>10、</w:t>
            </w:r>
            <w:r>
              <w:rPr>
                <w:rFonts w:hint="default" w:ascii="Times New Roman" w:hAnsi="Times New Roman" w:cs="Times New Roman"/>
                <w:b/>
                <w:color w:val="auto"/>
                <w:sz w:val="24"/>
                <w:highlight w:val="none"/>
              </w:rPr>
              <w:t>三同时一览表</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color w:val="auto"/>
                <w:spacing w:val="6"/>
                <w:sz w:val="24"/>
                <w:highlight w:val="none"/>
              </w:rPr>
            </w:pPr>
            <w:r>
              <w:rPr>
                <w:rFonts w:hint="default" w:ascii="Times New Roman" w:hAnsi="Times New Roman" w:cs="Times New Roman"/>
                <w:b/>
                <w:color w:val="auto"/>
                <w:spacing w:val="6"/>
                <w:sz w:val="24"/>
                <w:highlight w:val="none"/>
              </w:rPr>
              <w:t>表4-</w:t>
            </w:r>
            <w:r>
              <w:rPr>
                <w:rFonts w:hint="eastAsia" w:cs="Times New Roman"/>
                <w:b/>
                <w:color w:val="auto"/>
                <w:spacing w:val="6"/>
                <w:sz w:val="24"/>
                <w:highlight w:val="none"/>
                <w:lang w:val="en-US" w:eastAsia="zh-CN"/>
              </w:rPr>
              <w:t>20</w:t>
            </w:r>
            <w:r>
              <w:rPr>
                <w:rFonts w:hint="eastAsia" w:ascii="Times New Roman" w:hAnsi="Times New Roman" w:cs="Times New Roman"/>
                <w:b/>
                <w:color w:val="auto"/>
                <w:spacing w:val="6"/>
                <w:sz w:val="24"/>
                <w:highlight w:val="none"/>
                <w:lang w:val="en-US" w:eastAsia="zh-CN"/>
              </w:rPr>
              <w:t xml:space="preserve">  </w:t>
            </w:r>
            <w:r>
              <w:rPr>
                <w:rFonts w:hint="default" w:ascii="Times New Roman" w:hAnsi="Times New Roman" w:cs="Times New Roman"/>
                <w:b/>
                <w:color w:val="auto"/>
                <w:spacing w:val="6"/>
                <w:sz w:val="24"/>
                <w:highlight w:val="none"/>
              </w:rPr>
              <w:t>“三同时”验收一览表</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681"/>
              <w:gridCol w:w="2240"/>
              <w:gridCol w:w="1265"/>
              <w:gridCol w:w="1511"/>
              <w:gridCol w:w="268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81" w:type="dxa"/>
                  <w:noWrap w:val="0"/>
                  <w:vAlign w:val="center"/>
                </w:tcPr>
                <w:p>
                  <w:pPr>
                    <w:ind w:right="-79"/>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内容</w:t>
                  </w:r>
                </w:p>
                <w:p>
                  <w:pPr>
                    <w:ind w:right="-79"/>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类型</w:t>
                  </w:r>
                </w:p>
              </w:tc>
              <w:tc>
                <w:tcPr>
                  <w:tcW w:w="224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排放源</w:t>
                  </w:r>
                </w:p>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编号)</w:t>
                  </w:r>
                </w:p>
              </w:tc>
              <w:tc>
                <w:tcPr>
                  <w:tcW w:w="1265"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污染物</w:t>
                  </w:r>
                </w:p>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名称</w:t>
                  </w:r>
                </w:p>
              </w:tc>
              <w:tc>
                <w:tcPr>
                  <w:tcW w:w="1511"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防治措施</w:t>
                  </w:r>
                </w:p>
              </w:tc>
              <w:tc>
                <w:tcPr>
                  <w:tcW w:w="2685"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预期治理效果</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273" w:hRule="atLeast"/>
                <w:jc w:val="center"/>
              </w:trPr>
              <w:tc>
                <w:tcPr>
                  <w:tcW w:w="681" w:type="dxa"/>
                  <w:vMerge w:val="restar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大气污染物</w:t>
                  </w:r>
                </w:p>
              </w:tc>
              <w:tc>
                <w:tcPr>
                  <w:tcW w:w="224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污水站恶臭</w:t>
                  </w:r>
                </w:p>
                <w:p>
                  <w:pPr>
                    <w:jc w:val="center"/>
                    <w:rPr>
                      <w:rFonts w:hint="default" w:ascii="Times New Roman" w:hAnsi="Times New Roman" w:eastAsia="宋体" w:cs="Times New Roman"/>
                      <w:color w:val="auto"/>
                      <w:szCs w:val="21"/>
                      <w:highlight w:val="none"/>
                    </w:rPr>
                  </w:pPr>
                </w:p>
              </w:tc>
              <w:tc>
                <w:tcPr>
                  <w:tcW w:w="1265"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氨、硫化氢、臭气浓度、氯气、甲烷</w:t>
                  </w:r>
                </w:p>
              </w:tc>
              <w:tc>
                <w:tcPr>
                  <w:tcW w:w="1511"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污水处理设施构筑物采取加盖密闭、喷洒除臭剂。</w:t>
                  </w:r>
                </w:p>
              </w:tc>
              <w:tc>
                <w:tcPr>
                  <w:tcW w:w="2685"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满足</w:t>
                  </w:r>
                  <w:r>
                    <w:rPr>
                      <w:rFonts w:hint="default" w:ascii="Times New Roman" w:hAnsi="Times New Roman" w:eastAsia="宋体" w:cs="Times New Roman"/>
                      <w:color w:val="auto"/>
                      <w:highlight w:val="none"/>
                    </w:rPr>
                    <w:t>《医疗机构水污染物排放标准》（GB18466-2005）表3限值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81"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2240"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食堂油烟</w:t>
                  </w:r>
                </w:p>
              </w:tc>
              <w:tc>
                <w:tcPr>
                  <w:tcW w:w="1265"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油烟</w:t>
                  </w:r>
                </w:p>
              </w:tc>
              <w:tc>
                <w:tcPr>
                  <w:tcW w:w="1511" w:type="dxa"/>
                  <w:tcBorders>
                    <w:bottom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油烟净化器</w:t>
                  </w:r>
                </w:p>
              </w:tc>
              <w:tc>
                <w:tcPr>
                  <w:tcW w:w="2685" w:type="dxa"/>
                  <w:tcBorders>
                    <w:bottom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10"/>
                      <w:szCs w:val="21"/>
                      <w:highlight w:val="none"/>
                    </w:rPr>
                    <w:t>《饮食业油烟排放标准》（GB18483-2001）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81"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2240"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中药异味</w:t>
                  </w:r>
                </w:p>
                <w:p>
                  <w:pPr>
                    <w:jc w:val="center"/>
                    <w:rPr>
                      <w:rFonts w:hint="default" w:ascii="Times New Roman" w:hAnsi="Times New Roman" w:eastAsia="宋体" w:cs="Times New Roman"/>
                      <w:color w:val="auto"/>
                      <w:szCs w:val="21"/>
                      <w:highlight w:val="none"/>
                      <w:lang w:val="en-US" w:eastAsia="zh-CN"/>
                    </w:rPr>
                  </w:pPr>
                </w:p>
              </w:tc>
              <w:tc>
                <w:tcPr>
                  <w:tcW w:w="1265" w:type="dxa"/>
                  <w:noWrap w:val="0"/>
                  <w:vAlign w:val="center"/>
                </w:tcPr>
                <w:p>
                  <w:pPr>
                    <w:jc w:val="center"/>
                    <w:rPr>
                      <w:rFonts w:hint="eastAsia" w:ascii="Times New Roman" w:hAnsi="Times New Roman" w:eastAsia="宋体" w:cs="Times New Roman"/>
                      <w:color w:val="auto"/>
                      <w:szCs w:val="21"/>
                      <w:highlight w:val="none"/>
                      <w:lang w:eastAsia="zh-CN"/>
                    </w:rPr>
                  </w:pPr>
                  <w:r>
                    <w:rPr>
                      <w:rFonts w:hint="eastAsia" w:cs="Times New Roman"/>
                      <w:color w:val="auto"/>
                      <w:szCs w:val="21"/>
                      <w:highlight w:val="none"/>
                      <w:lang w:val="en-US" w:eastAsia="zh-CN"/>
                    </w:rPr>
                    <w:t>臭气浓度</w:t>
                  </w:r>
                </w:p>
              </w:tc>
              <w:tc>
                <w:tcPr>
                  <w:tcW w:w="1511" w:type="dxa"/>
                  <w:tcBorders>
                    <w:bottom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eastAsia="zh-CN"/>
                    </w:rPr>
                    <w:t>对于煎药废气，在煎药设备上方设置集气罩，再用活性炭进行净化处理。</w:t>
                  </w:r>
                </w:p>
              </w:tc>
              <w:tc>
                <w:tcPr>
                  <w:tcW w:w="2685" w:type="dxa"/>
                  <w:tcBorders>
                    <w:bottom w:val="single" w:color="auto" w:sz="4" w:space="0"/>
                  </w:tcBorders>
                  <w:noWrap w:val="0"/>
                  <w:vAlign w:val="center"/>
                </w:tcPr>
                <w:p>
                  <w:pPr>
                    <w:jc w:val="center"/>
                    <w:rPr>
                      <w:rFonts w:hint="default" w:ascii="Times New Roman" w:hAnsi="Times New Roman" w:eastAsia="宋体" w:cs="Times New Roman"/>
                      <w:color w:val="auto"/>
                      <w:kern w:val="10"/>
                      <w:szCs w:val="21"/>
                      <w:highlight w:val="none"/>
                    </w:rPr>
                  </w:pPr>
                  <w:r>
                    <w:rPr>
                      <w:rFonts w:hint="eastAsia" w:hAnsi="宋体" w:cs="宋体"/>
                      <w:kern w:val="0"/>
                      <w:szCs w:val="21"/>
                    </w:rPr>
                    <w:t>臭气浓度执行</w:t>
                  </w:r>
                  <w:r>
                    <w:rPr>
                      <w:rFonts w:hint="eastAsia" w:cs="宋体"/>
                      <w:kern w:val="0"/>
                      <w:szCs w:val="21"/>
                    </w:rPr>
                    <w:t>《恶臭污染物排放标准》（GB14554-93）表1中二级标准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81"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2240" w:type="dxa"/>
                  <w:noWrap w:val="0"/>
                  <w:vAlign w:val="center"/>
                </w:tcPr>
                <w:p>
                  <w:pPr>
                    <w:jc w:val="center"/>
                    <w:rPr>
                      <w:rFonts w:hint="default" w:ascii="Times New Roman" w:hAnsi="Times New Roman" w:eastAsia="宋体" w:cs="Times New Roman"/>
                      <w:color w:val="auto"/>
                      <w:szCs w:val="21"/>
                      <w:highlight w:val="none"/>
                    </w:rPr>
                  </w:pPr>
                  <w:r>
                    <w:rPr>
                      <w:rFonts w:hint="eastAsia"/>
                      <w:szCs w:val="21"/>
                    </w:rPr>
                    <w:t>中药粉磨粉尘</w:t>
                  </w:r>
                </w:p>
              </w:tc>
              <w:tc>
                <w:tcPr>
                  <w:tcW w:w="1265" w:type="dxa"/>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tc>
              <w:tc>
                <w:tcPr>
                  <w:tcW w:w="1511" w:type="dxa"/>
                  <w:tcBorders>
                    <w:bottom w:val="single" w:color="auto" w:sz="4" w:space="0"/>
                  </w:tcBorders>
                  <w:noWrap w:val="0"/>
                  <w:vAlign w:val="center"/>
                </w:tcPr>
                <w:p>
                  <w:pPr>
                    <w:jc w:val="center"/>
                    <w:rPr>
                      <w:rFonts w:hint="default" w:ascii="Times New Roman" w:hAnsi="Times New Roman" w:eastAsia="宋体" w:cs="Times New Roman"/>
                      <w:color w:val="auto"/>
                      <w:szCs w:val="21"/>
                      <w:highlight w:val="none"/>
                    </w:rPr>
                  </w:pPr>
                  <w:r>
                    <w:rPr>
                      <w:rFonts w:hint="eastAsia" w:hAnsi="宋体" w:cs="宋体"/>
                      <w:bCs/>
                      <w:szCs w:val="21"/>
                    </w:rPr>
                    <w:t>风冷式粉碎机组，内置布袋除尘器</w:t>
                  </w:r>
                </w:p>
              </w:tc>
              <w:tc>
                <w:tcPr>
                  <w:tcW w:w="2685" w:type="dxa"/>
                  <w:tcBorders>
                    <w:bottom w:val="single" w:color="auto" w:sz="4" w:space="0"/>
                  </w:tcBorders>
                  <w:noWrap w:val="0"/>
                  <w:vAlign w:val="center"/>
                </w:tcPr>
                <w:p>
                  <w:pPr>
                    <w:jc w:val="center"/>
                    <w:rPr>
                      <w:rFonts w:hint="default" w:ascii="Times New Roman" w:hAnsi="Times New Roman" w:eastAsia="宋体" w:cs="Times New Roman"/>
                      <w:color w:val="auto"/>
                      <w:kern w:val="10"/>
                      <w:szCs w:val="21"/>
                      <w:highlight w:val="none"/>
                    </w:rPr>
                  </w:pPr>
                  <w:r>
                    <w:rPr>
                      <w:rFonts w:hint="eastAsia" w:hAnsi="宋体" w:cs="宋体"/>
                      <w:bCs/>
                      <w:kern w:val="0"/>
                      <w:szCs w:val="21"/>
                    </w:rPr>
                    <w:t>颗粒物执行《大气污染物综合排放标准》(GB16297-1996</w:t>
                  </w:r>
                  <w:r>
                    <w:rPr>
                      <w:rFonts w:hint="eastAsia" w:hAnsi="宋体" w:cs="宋体"/>
                      <w:bCs/>
                      <w:kern w:val="0"/>
                      <w:szCs w:val="21"/>
                      <w:lang w:eastAsia="zh-CN"/>
                    </w:rPr>
                    <w:t>）</w:t>
                  </w:r>
                  <w:r>
                    <w:rPr>
                      <w:rFonts w:hint="eastAsia" w:hAnsi="宋体" w:cs="宋体"/>
                      <w:bCs/>
                      <w:kern w:val="0"/>
                      <w:szCs w:val="21"/>
                    </w:rPr>
                    <w:t>表2无组织排放限值</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144" w:hRule="atLeast"/>
                <w:jc w:val="center"/>
              </w:trPr>
              <w:tc>
                <w:tcPr>
                  <w:tcW w:w="681" w:type="dxa"/>
                  <w:noWrap w:val="0"/>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水污染物</w:t>
                  </w:r>
                </w:p>
              </w:tc>
              <w:tc>
                <w:tcPr>
                  <w:tcW w:w="2240" w:type="dxa"/>
                  <w:noWrap w:val="0"/>
                  <w:vAlign w:val="center"/>
                </w:tcPr>
                <w:p>
                  <w:pPr>
                    <w:ind w:firstLine="105" w:firstLineChars="50"/>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rPr>
                    <w:t>医院综合废水</w:t>
                  </w:r>
                </w:p>
              </w:tc>
              <w:tc>
                <w:tcPr>
                  <w:tcW w:w="1265" w:type="dxa"/>
                  <w:noWrap w:val="0"/>
                  <w:vAlign w:val="center"/>
                </w:tcPr>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pH</w:t>
                  </w:r>
                </w:p>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粪大肠菌群（个/L）</w:t>
                  </w:r>
                </w:p>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SS</w:t>
                  </w:r>
                </w:p>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BOD</w:t>
                  </w:r>
                  <w:r>
                    <w:rPr>
                      <w:rFonts w:hint="default" w:ascii="Times New Roman" w:hAnsi="Times New Roman" w:eastAsia="宋体" w:cs="Times New Roman"/>
                      <w:color w:val="auto"/>
                      <w:szCs w:val="21"/>
                      <w:highlight w:val="none"/>
                      <w:vertAlign w:val="subscript"/>
                      <w:lang w:val="de-DE"/>
                    </w:rPr>
                    <w:t>5</w:t>
                  </w:r>
                </w:p>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CODcr</w:t>
                  </w:r>
                </w:p>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NH</w:t>
                  </w:r>
                  <w:r>
                    <w:rPr>
                      <w:rFonts w:hint="default" w:ascii="Times New Roman" w:hAnsi="Times New Roman" w:eastAsia="宋体" w:cs="Times New Roman"/>
                      <w:color w:val="auto"/>
                      <w:szCs w:val="21"/>
                      <w:highlight w:val="none"/>
                      <w:vertAlign w:val="subscript"/>
                      <w:lang w:val="de-DE"/>
                    </w:rPr>
                    <w:t>3</w:t>
                  </w:r>
                  <w:r>
                    <w:rPr>
                      <w:rFonts w:hint="default" w:ascii="Times New Roman" w:hAnsi="Times New Roman" w:eastAsia="宋体" w:cs="Times New Roman"/>
                      <w:color w:val="auto"/>
                      <w:szCs w:val="21"/>
                      <w:highlight w:val="none"/>
                      <w:lang w:val="de-DE"/>
                    </w:rPr>
                    <w:t>－N</w:t>
                  </w:r>
                </w:p>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动植物油</w:t>
                  </w:r>
                </w:p>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LAS</w:t>
                  </w:r>
                </w:p>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石油类</w:t>
                  </w:r>
                </w:p>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挥发酚</w:t>
                  </w:r>
                </w:p>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色度</w:t>
                  </w:r>
                </w:p>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总氰化物</w:t>
                  </w:r>
                </w:p>
                <w:p>
                  <w:pPr>
                    <w:jc w:val="center"/>
                    <w:rPr>
                      <w:rFonts w:hint="default" w:ascii="Times New Roman" w:hAnsi="Times New Roman" w:eastAsia="宋体" w:cs="Times New Roman"/>
                      <w:color w:val="auto"/>
                      <w:szCs w:val="21"/>
                      <w:highlight w:val="none"/>
                      <w:lang w:val="de-DE"/>
                    </w:rPr>
                  </w:pPr>
                  <w:r>
                    <w:rPr>
                      <w:rFonts w:hint="default" w:ascii="Times New Roman" w:hAnsi="Times New Roman" w:eastAsia="宋体" w:cs="Times New Roman"/>
                      <w:color w:val="auto"/>
                      <w:szCs w:val="21"/>
                      <w:highlight w:val="none"/>
                      <w:lang w:val="de-DE"/>
                    </w:rPr>
                    <w:t>总余氯</w:t>
                  </w:r>
                </w:p>
              </w:tc>
              <w:tc>
                <w:tcPr>
                  <w:tcW w:w="1511" w:type="dxa"/>
                  <w:noWrap w:val="0"/>
                  <w:vAlign w:val="center"/>
                </w:tcPr>
                <w:p>
                  <w:pPr>
                    <w:jc w:val="both"/>
                    <w:rPr>
                      <w:rFonts w:hint="default" w:ascii="Times New Roman" w:hAnsi="Times New Roman" w:eastAsia="宋体" w:cs="Times New Roman"/>
                      <w:color w:val="auto"/>
                      <w:szCs w:val="21"/>
                      <w:highlight w:val="none"/>
                      <w:lang w:val="de-DE"/>
                    </w:rPr>
                  </w:pPr>
                  <w:r>
                    <w:rPr>
                      <w:rFonts w:hint="eastAsia" w:ascii="Times New Roman" w:hAnsi="Times New Roman" w:eastAsia="宋体" w:cs="Times New Roman"/>
                      <w:color w:val="auto"/>
                      <w:kern w:val="0"/>
                      <w:sz w:val="21"/>
                      <w:szCs w:val="21"/>
                      <w:vertAlign w:val="baseline"/>
                      <w:lang w:val="en-US" w:eastAsia="zh-CN" w:bidi="ar-SA"/>
                    </w:rPr>
                    <w:t>医院综合废水</w:t>
                  </w:r>
                  <w:r>
                    <w:rPr>
                      <w:rFonts w:hint="default" w:ascii="Times New Roman" w:hAnsi="Times New Roman" w:eastAsia="宋体" w:cs="Times New Roman"/>
                      <w:color w:val="auto"/>
                      <w:kern w:val="0"/>
                      <w:sz w:val="21"/>
                      <w:szCs w:val="21"/>
                      <w:vertAlign w:val="baseline"/>
                      <w:lang w:val="en-US" w:eastAsia="zh-CN" w:bidi="ar-SA"/>
                    </w:rPr>
                    <w:t>经污水处理站处理达标后排入市政管网，最终进入胡杨河市污水处理厂。</w:t>
                  </w:r>
                  <w:r>
                    <w:rPr>
                      <w:rFonts w:hint="default" w:ascii="Times New Roman" w:hAnsi="Times New Roman" w:eastAsia="宋体" w:cs="Times New Roman"/>
                      <w:color w:val="auto"/>
                      <w:szCs w:val="21"/>
                      <w:highlight w:val="none"/>
                    </w:rPr>
                    <w:t>污水处理站工艺为“化粪池+调节池+生物接触氧化池+沉淀+消毒”</w:t>
                  </w:r>
                </w:p>
              </w:tc>
              <w:tc>
                <w:tcPr>
                  <w:tcW w:w="2685"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highlight w:val="none"/>
                    </w:rPr>
                    <w:t>《医疗机构水污染物排放标准》（GB18466-2005）表2预处理标准</w:t>
                  </w:r>
                  <w:r>
                    <w:rPr>
                      <w:rFonts w:hint="default" w:ascii="Times New Roman" w:hAnsi="Times New Roman" w:eastAsia="宋体" w:cs="Times New Roman"/>
                      <w:color w:val="auto"/>
                      <w:szCs w:val="21"/>
                      <w:highlight w:val="none"/>
                      <w:lang w:val="en-GB"/>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394" w:hRule="atLeast"/>
                <w:jc w:val="center"/>
              </w:trPr>
              <w:tc>
                <w:tcPr>
                  <w:tcW w:w="681" w:type="dxa"/>
                  <w:vMerge w:val="restart"/>
                  <w:noWrap w:val="0"/>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固体废物</w:t>
                  </w:r>
                </w:p>
              </w:tc>
              <w:tc>
                <w:tcPr>
                  <w:tcW w:w="2240" w:type="dxa"/>
                  <w:vMerge w:val="restart"/>
                  <w:tcBorders>
                    <w:top w:val="single" w:color="auto" w:sz="4" w:space="0"/>
                  </w:tcBorders>
                  <w:noWrap w:val="0"/>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生活垃圾</w:t>
                  </w:r>
                </w:p>
                <w:p>
                  <w:pPr>
                    <w:jc w:val="center"/>
                    <w:rPr>
                      <w:rFonts w:hint="default" w:ascii="Times New Roman" w:hAnsi="Times New Roman" w:eastAsia="宋体" w:cs="Times New Roman"/>
                      <w:color w:val="auto"/>
                      <w:szCs w:val="21"/>
                      <w:highlight w:val="none"/>
                    </w:rPr>
                  </w:pPr>
                </w:p>
              </w:tc>
              <w:tc>
                <w:tcPr>
                  <w:tcW w:w="1265"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生活垃圾</w:t>
                  </w:r>
                </w:p>
              </w:tc>
              <w:tc>
                <w:tcPr>
                  <w:tcW w:w="1511" w:type="dxa"/>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垃圾桶收集，环卫部门统一清运</w:t>
                  </w:r>
                </w:p>
              </w:tc>
              <w:tc>
                <w:tcPr>
                  <w:tcW w:w="2685" w:type="dxa"/>
                  <w:vMerge w:val="restar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分类收集、合理处置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394" w:hRule="atLeast"/>
                <w:jc w:val="center"/>
              </w:trPr>
              <w:tc>
                <w:tcPr>
                  <w:tcW w:w="681" w:type="dxa"/>
                  <w:vMerge w:val="continue"/>
                  <w:noWrap w:val="0"/>
                  <w:vAlign w:val="center"/>
                </w:tcPr>
                <w:p>
                  <w:pPr>
                    <w:spacing w:line="360" w:lineRule="auto"/>
                    <w:jc w:val="center"/>
                    <w:rPr>
                      <w:rFonts w:hint="default" w:ascii="Times New Roman" w:hAnsi="Times New Roman" w:eastAsia="宋体" w:cs="Times New Roman"/>
                      <w:color w:val="auto"/>
                      <w:szCs w:val="21"/>
                      <w:highlight w:val="none"/>
                    </w:rPr>
                  </w:pPr>
                </w:p>
              </w:tc>
              <w:tc>
                <w:tcPr>
                  <w:tcW w:w="2240" w:type="dxa"/>
                  <w:vMerge w:val="continue"/>
                  <w:noWrap w:val="0"/>
                  <w:vAlign w:val="center"/>
                </w:tcPr>
                <w:p>
                  <w:pPr>
                    <w:spacing w:line="360" w:lineRule="auto"/>
                    <w:jc w:val="center"/>
                    <w:rPr>
                      <w:rFonts w:hint="default" w:ascii="Times New Roman" w:hAnsi="Times New Roman" w:eastAsia="宋体" w:cs="Times New Roman"/>
                      <w:color w:val="auto"/>
                      <w:szCs w:val="21"/>
                      <w:highlight w:val="none"/>
                    </w:rPr>
                  </w:pPr>
                </w:p>
              </w:tc>
              <w:tc>
                <w:tcPr>
                  <w:tcW w:w="1265" w:type="dxa"/>
                  <w:noWrap w:val="0"/>
                  <w:vAlign w:val="center"/>
                </w:tcPr>
                <w:p>
                  <w:pPr>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中药废渣</w:t>
                  </w:r>
                  <w:r>
                    <w:rPr>
                      <w:rFonts w:hint="eastAsia"/>
                    </w:rPr>
                    <w:tab/>
                  </w:r>
                </w:p>
              </w:tc>
              <w:tc>
                <w:tcPr>
                  <w:tcW w:w="1511" w:type="dxa"/>
                  <w:noWrap w:val="0"/>
                  <w:vAlign w:val="center"/>
                </w:tcPr>
                <w:p>
                  <w:pPr>
                    <w:jc w:val="center"/>
                    <w:rPr>
                      <w:rFonts w:hint="default" w:ascii="Times New Roman" w:hAnsi="Times New Roman" w:eastAsia="宋体" w:cs="Times New Roman"/>
                      <w:color w:val="auto"/>
                      <w:kern w:val="0"/>
                      <w:szCs w:val="21"/>
                      <w:highlight w:val="none"/>
                    </w:rPr>
                  </w:pPr>
                  <w:r>
                    <w:rPr>
                      <w:rFonts w:hint="eastAsia" w:ascii="Times New Roman" w:hAnsi="Times New Roman" w:eastAsia="宋体" w:cs="Times New Roman"/>
                      <w:color w:val="auto"/>
                      <w:kern w:val="0"/>
                      <w:szCs w:val="21"/>
                      <w:highlight w:val="none"/>
                    </w:rPr>
                    <w:t>转入塑料桶内，暂存在一般固废间，统一收集后，定期委托有资质单位处理</w:t>
                  </w:r>
                </w:p>
              </w:tc>
              <w:tc>
                <w:tcPr>
                  <w:tcW w:w="2685" w:type="dxa"/>
                  <w:vMerge w:val="continue"/>
                  <w:noWrap w:val="0"/>
                  <w:vAlign w:val="center"/>
                </w:tcPr>
                <w:p>
                  <w:pPr>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634" w:hRule="atLeast"/>
                <w:jc w:val="center"/>
              </w:trPr>
              <w:tc>
                <w:tcPr>
                  <w:tcW w:w="681" w:type="dxa"/>
                  <w:vMerge w:val="continue"/>
                  <w:noWrap w:val="0"/>
                  <w:vAlign w:val="center"/>
                </w:tcPr>
                <w:p>
                  <w:pPr>
                    <w:spacing w:line="360" w:lineRule="auto"/>
                    <w:jc w:val="center"/>
                    <w:rPr>
                      <w:rFonts w:hint="default" w:ascii="Times New Roman" w:hAnsi="Times New Roman" w:eastAsia="宋体" w:cs="Times New Roman"/>
                      <w:color w:val="auto"/>
                      <w:szCs w:val="21"/>
                      <w:highlight w:val="none"/>
                    </w:rPr>
                  </w:pPr>
                </w:p>
              </w:tc>
              <w:tc>
                <w:tcPr>
                  <w:tcW w:w="2240" w:type="dxa"/>
                  <w:vMerge w:val="restar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危险废物</w:t>
                  </w:r>
                </w:p>
              </w:tc>
              <w:tc>
                <w:tcPr>
                  <w:tcW w:w="1265" w:type="dxa"/>
                  <w:noWrap w:val="0"/>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医疗废物</w:t>
                  </w:r>
                </w:p>
              </w:tc>
              <w:tc>
                <w:tcPr>
                  <w:tcW w:w="1511" w:type="dxa"/>
                  <w:vMerge w:val="restart"/>
                  <w:noWrap w:val="0"/>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收集后暂存于</w:t>
                  </w:r>
                  <w:r>
                    <w:rPr>
                      <w:rFonts w:hint="eastAsia" w:cs="Times New Roman"/>
                      <w:color w:val="auto"/>
                      <w:kern w:val="0"/>
                      <w:szCs w:val="21"/>
                      <w:highlight w:val="none"/>
                      <w:lang w:val="en-US" w:eastAsia="zh-CN"/>
                    </w:rPr>
                    <w:t>危险</w:t>
                  </w:r>
                  <w:r>
                    <w:rPr>
                      <w:rFonts w:hint="default" w:ascii="Times New Roman" w:hAnsi="Times New Roman" w:eastAsia="宋体" w:cs="Times New Roman"/>
                      <w:color w:val="auto"/>
                      <w:kern w:val="0"/>
                      <w:szCs w:val="21"/>
                      <w:highlight w:val="none"/>
                    </w:rPr>
                    <w:t>废物暂存间，定期委托有资质单位处理</w:t>
                  </w:r>
                </w:p>
              </w:tc>
              <w:tc>
                <w:tcPr>
                  <w:tcW w:w="2685" w:type="dxa"/>
                  <w:vMerge w:val="restart"/>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满足《危险废物贮存污染控制标准》（GB18597-2001）及修改单要求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634" w:hRule="atLeast"/>
                <w:jc w:val="center"/>
              </w:trPr>
              <w:tc>
                <w:tcPr>
                  <w:tcW w:w="681" w:type="dxa"/>
                  <w:vMerge w:val="continue"/>
                  <w:noWrap w:val="0"/>
                  <w:vAlign w:val="center"/>
                </w:tcPr>
                <w:p>
                  <w:pPr>
                    <w:spacing w:line="360" w:lineRule="auto"/>
                    <w:jc w:val="center"/>
                    <w:rPr>
                      <w:rFonts w:hint="default" w:ascii="Times New Roman" w:hAnsi="Times New Roman" w:eastAsia="宋体" w:cs="Times New Roman"/>
                      <w:color w:val="auto"/>
                      <w:szCs w:val="21"/>
                      <w:highlight w:val="none"/>
                    </w:rPr>
                  </w:pPr>
                </w:p>
              </w:tc>
              <w:tc>
                <w:tcPr>
                  <w:tcW w:w="2240"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265" w:type="dxa"/>
                  <w:noWrap w:val="0"/>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栅渣、化粪池和污水处理站污泥</w:t>
                  </w:r>
                </w:p>
              </w:tc>
              <w:tc>
                <w:tcPr>
                  <w:tcW w:w="1511" w:type="dxa"/>
                  <w:vMerge w:val="continue"/>
                  <w:noWrap w:val="0"/>
                  <w:vAlign w:val="center"/>
                </w:tcPr>
                <w:p>
                  <w:pPr>
                    <w:jc w:val="center"/>
                    <w:rPr>
                      <w:rFonts w:hint="default" w:ascii="Times New Roman" w:hAnsi="Times New Roman" w:eastAsia="宋体" w:cs="Times New Roman"/>
                      <w:color w:val="auto"/>
                      <w:kern w:val="0"/>
                      <w:szCs w:val="21"/>
                      <w:highlight w:val="none"/>
                    </w:rPr>
                  </w:pPr>
                </w:p>
              </w:tc>
              <w:tc>
                <w:tcPr>
                  <w:tcW w:w="2685" w:type="dxa"/>
                  <w:vMerge w:val="continue"/>
                  <w:noWrap w:val="0"/>
                  <w:vAlign w:val="center"/>
                </w:tcPr>
                <w:p>
                  <w:pPr>
                    <w:jc w:val="center"/>
                    <w:rPr>
                      <w:rFonts w:hint="default" w:ascii="Times New Roman" w:hAnsi="Times New Roman" w:eastAsia="宋体"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trHeight w:val="1451" w:hRule="atLeast"/>
                <w:jc w:val="center"/>
              </w:trPr>
              <w:tc>
                <w:tcPr>
                  <w:tcW w:w="681" w:type="dxa"/>
                  <w:noWrap w:val="0"/>
                  <w:vAlign w:val="center"/>
                </w:tcPr>
                <w:p>
                  <w:pPr>
                    <w:spacing w:line="360" w:lineRule="auto"/>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噪声</w:t>
                  </w:r>
                </w:p>
              </w:tc>
              <w:tc>
                <w:tcPr>
                  <w:tcW w:w="7701" w:type="dxa"/>
                  <w:gridSpan w:val="4"/>
                  <w:noWrap w:val="0"/>
                  <w:vAlign w:val="center"/>
                </w:tcPr>
                <w:p>
                  <w:pPr>
                    <w:ind w:firstLine="420" w:firstLineChars="200"/>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加强管理，设置安静、禁止高声喧哗等标志牌，水泵、风机等设备隔声减震，置于密闭设备间内，</w:t>
                  </w:r>
                  <w:r>
                    <w:rPr>
                      <w:rFonts w:hint="default" w:ascii="Times New Roman" w:hAnsi="Times New Roman" w:eastAsia="宋体" w:cs="Times New Roman"/>
                      <w:color w:val="FF0000"/>
                      <w:szCs w:val="21"/>
                      <w:highlight w:val="none"/>
                    </w:rPr>
                    <w:t>厂</w:t>
                  </w:r>
                  <w:r>
                    <w:rPr>
                      <w:rFonts w:hint="default" w:ascii="Times New Roman" w:hAnsi="Times New Roman" w:eastAsia="宋体" w:cs="Times New Roman"/>
                      <w:color w:val="auto"/>
                      <w:szCs w:val="21"/>
                      <w:highlight w:val="none"/>
                    </w:rPr>
                    <w:t>界满足《工业企业厂界环境噪声排放标准》（GB12348-2008）中</w:t>
                  </w:r>
                  <w:r>
                    <w:rPr>
                      <w:rFonts w:hint="eastAsia" w:cs="Times New Roman"/>
                      <w:color w:val="auto"/>
                      <w:szCs w:val="21"/>
                      <w:highlight w:val="none"/>
                      <w:lang w:val="en-US" w:eastAsia="zh-CN"/>
                    </w:rPr>
                    <w:t>1</w:t>
                  </w:r>
                  <w:r>
                    <w:rPr>
                      <w:rFonts w:hint="default" w:ascii="Times New Roman" w:hAnsi="Times New Roman" w:eastAsia="宋体" w:cs="Times New Roman"/>
                      <w:color w:val="auto"/>
                      <w:szCs w:val="21"/>
                      <w:highlight w:val="none"/>
                    </w:rPr>
                    <w:t>类标准要求</w:t>
                  </w:r>
                  <w:r>
                    <w:rPr>
                      <w:rFonts w:hint="eastAsia" w:ascii="Times New Roman" w:hAnsi="Times New Roman" w:eastAsia="宋体" w:cs="Times New Roman"/>
                      <w:color w:val="auto"/>
                      <w:szCs w:val="21"/>
                      <w:highlight w:val="none"/>
                      <w:lang w:eastAsia="zh-CN"/>
                    </w:rPr>
                    <w:t>。</w:t>
                  </w:r>
                </w:p>
              </w:tc>
            </w:tr>
          </w:tbl>
          <w:p>
            <w:pPr>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17"/>
              <w:rPr>
                <w:rFonts w:hint="default" w:ascii="Times New Roman" w:hAnsi="Times New Roman" w:cs="Times New Roman"/>
                <w:color w:val="auto"/>
                <w:highlight w:val="none"/>
              </w:rPr>
            </w:pPr>
          </w:p>
          <w:p>
            <w:pPr>
              <w:rPr>
                <w:rFonts w:hint="default" w:ascii="Times New Roman" w:hAnsi="Times New Roman" w:cs="Times New Roman"/>
                <w:color w:val="auto"/>
                <w:highlight w:val="none"/>
              </w:rPr>
            </w:pPr>
          </w:p>
          <w:p>
            <w:pPr>
              <w:pStyle w:val="17"/>
              <w:ind w:left="0" w:leftChars="0" w:firstLine="0" w:firstLineChars="0"/>
              <w:rPr>
                <w:rFonts w:hint="default" w:ascii="Times New Roman" w:hAnsi="Times New Roman" w:cs="Times New Roman"/>
                <w:color w:val="auto"/>
                <w:highlight w:val="none"/>
              </w:rPr>
            </w:pPr>
          </w:p>
        </w:tc>
      </w:tr>
    </w:tbl>
    <w:p>
      <w:pPr>
        <w:adjustRightInd w:val="0"/>
        <w:snapToGrid w:val="0"/>
        <w:spacing w:line="360" w:lineRule="auto"/>
        <w:rPr>
          <w:b/>
          <w:kern w:val="0"/>
          <w:sz w:val="28"/>
          <w:szCs w:val="28"/>
        </w:rPr>
        <w:sectPr>
          <w:pgSz w:w="11907" w:h="16840"/>
          <w:pgMar w:top="1701" w:right="1531" w:bottom="2127" w:left="1531" w:header="851" w:footer="851" w:gutter="0"/>
          <w:pgNumType w:fmt="decimal"/>
          <w:cols w:space="720" w:num="1"/>
          <w:docGrid w:linePitch="312" w:charSpace="0"/>
        </w:sectPr>
      </w:pPr>
    </w:p>
    <w:p>
      <w:pPr>
        <w:pStyle w:val="24"/>
        <w:jc w:val="center"/>
        <w:outlineLvl w:val="0"/>
        <w:rPr>
          <w:rFonts w:ascii="Times New Roman" w:hAnsi="Times New Roman"/>
          <w:b/>
          <w:bCs/>
          <w:snapToGrid w:val="0"/>
          <w:sz w:val="30"/>
          <w:szCs w:val="30"/>
        </w:rPr>
      </w:pPr>
      <w:r>
        <w:rPr>
          <w:rFonts w:ascii="Times New Roman" w:hAnsi="Times New Roman"/>
          <w:b/>
          <w:bCs/>
          <w:snapToGrid w:val="0"/>
          <w:sz w:val="30"/>
          <w:szCs w:val="30"/>
        </w:rPr>
        <w:t>五、</w:t>
      </w:r>
      <w:bookmarkStart w:id="15" w:name="_Hlk54167917"/>
      <w:r>
        <w:rPr>
          <w:rFonts w:ascii="Times New Roman" w:hAnsi="Times New Roman"/>
          <w:b/>
          <w:bCs/>
          <w:snapToGrid w:val="0"/>
          <w:sz w:val="30"/>
          <w:szCs w:val="30"/>
        </w:rPr>
        <w:t>环境保护措施监督检查清单</w:t>
      </w:r>
      <w:bookmarkEnd w:id="15"/>
    </w:p>
    <w:tbl>
      <w:tblPr>
        <w:tblStyle w:val="27"/>
        <w:tblW w:w="919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701"/>
        <w:gridCol w:w="1560"/>
        <w:gridCol w:w="1701"/>
        <w:gridCol w:w="31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3" w:type="dxa"/>
            <w:tcBorders>
              <w:tl2br w:val="single" w:color="auto" w:sz="4" w:space="0"/>
            </w:tcBorders>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315" w:firstLineChars="150"/>
              <w:textAlignment w:val="auto"/>
              <w:rPr>
                <w:rFonts w:hint="default" w:ascii="Times New Roman" w:hAnsi="Times New Roman" w:cs="Times New Roman"/>
                <w:szCs w:val="21"/>
              </w:rPr>
            </w:pPr>
            <w:r>
              <w:rPr>
                <w:rFonts w:hint="default" w:ascii="Times New Roman" w:hAnsi="Times New Roman" w:cs="Times New Roman"/>
                <w:szCs w:val="21"/>
              </w:rPr>
              <w:t>内容</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Cs w:val="21"/>
              </w:rPr>
            </w:pPr>
            <w:r>
              <w:rPr>
                <w:rFonts w:hint="default" w:ascii="Times New Roman" w:hAnsi="Times New Roman" w:cs="Times New Roman"/>
                <w:szCs w:val="21"/>
              </w:rPr>
              <w:t>要素</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排放口</w:t>
            </w:r>
            <w:r>
              <w:rPr>
                <w:rFonts w:hint="eastAsia" w:ascii="Times New Roman" w:hAnsi="Times New Roman" w:cs="Times New Roman"/>
                <w:szCs w:val="21"/>
                <w:lang w:eastAsia="zh-CN"/>
              </w:rPr>
              <w:t>（</w:t>
            </w:r>
            <w:r>
              <w:rPr>
                <w:rFonts w:hint="default" w:ascii="Times New Roman" w:hAnsi="Times New Roman" w:cs="Times New Roman"/>
                <w:szCs w:val="21"/>
              </w:rPr>
              <w:t>编号、</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名称</w:t>
            </w:r>
            <w:r>
              <w:rPr>
                <w:rFonts w:hint="eastAsia" w:ascii="Times New Roman" w:hAnsi="Times New Roman" w:cs="Times New Roman"/>
                <w:szCs w:val="21"/>
                <w:lang w:eastAsia="zh-CN"/>
              </w:rPr>
              <w:t>）</w:t>
            </w:r>
            <w:r>
              <w:rPr>
                <w:rFonts w:hint="default" w:ascii="Times New Roman" w:hAnsi="Times New Roman" w:cs="Times New Roman"/>
                <w:szCs w:val="21"/>
              </w:rPr>
              <w:t>/污染源</w:t>
            </w:r>
          </w:p>
        </w:tc>
        <w:tc>
          <w:tcPr>
            <w:tcW w:w="156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污染物项目</w:t>
            </w:r>
          </w:p>
        </w:tc>
        <w:tc>
          <w:tcPr>
            <w:tcW w:w="17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环境保护措施</w:t>
            </w:r>
          </w:p>
        </w:tc>
        <w:tc>
          <w:tcPr>
            <w:tcW w:w="3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1113" w:type="dxa"/>
            <w:vMerge w:val="restart"/>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大气环境</w:t>
            </w: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污水站恶臭</w:t>
            </w:r>
          </w:p>
        </w:tc>
        <w:tc>
          <w:tcPr>
            <w:tcW w:w="1560"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氨、硫化氢、臭气、氯气、甲烷</w:t>
            </w: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污水处理设施构筑物采取加盖密闭、喷洒除臭剂</w:t>
            </w:r>
          </w:p>
        </w:tc>
        <w:tc>
          <w:tcPr>
            <w:tcW w:w="3118"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满足《医疗机构水污染物排放标准》（GB18466-2005）表3限值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3" w:type="dxa"/>
            <w:vMerge w:val="continue"/>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食堂</w:t>
            </w:r>
          </w:p>
        </w:tc>
        <w:tc>
          <w:tcPr>
            <w:tcW w:w="1560"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油烟</w:t>
            </w: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油烟净化器</w:t>
            </w:r>
          </w:p>
        </w:tc>
        <w:tc>
          <w:tcPr>
            <w:tcW w:w="3118"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《饮食业油烟排放标准》（GB18483-2001）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3" w:type="dxa"/>
            <w:vMerge w:val="continue"/>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中药</w:t>
            </w:r>
            <w:r>
              <w:rPr>
                <w:rFonts w:hint="eastAsia" w:ascii="Times New Roman" w:hAnsi="Times New Roman" w:eastAsia="宋体" w:cs="Times New Roman"/>
                <w:szCs w:val="21"/>
                <w:lang w:val="en-US" w:eastAsia="zh-CN"/>
              </w:rPr>
              <w:t>磨粉</w:t>
            </w:r>
          </w:p>
        </w:tc>
        <w:tc>
          <w:tcPr>
            <w:tcW w:w="1560"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szCs w:val="21"/>
                <w:lang w:eastAsia="zh-CN"/>
              </w:rPr>
            </w:pPr>
            <w:r>
              <w:rPr>
                <w:rFonts w:hint="eastAsia" w:cs="Times New Roman"/>
                <w:szCs w:val="21"/>
                <w:lang w:val="en-US" w:eastAsia="zh-CN"/>
              </w:rPr>
              <w:t>颗粒物</w:t>
            </w: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设备自带粉尘收集箱，内置除尘器</w:t>
            </w:r>
          </w:p>
        </w:tc>
        <w:tc>
          <w:tcPr>
            <w:tcW w:w="3118"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3" w:type="dxa"/>
            <w:vMerge w:val="continue"/>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煎药废气</w:t>
            </w:r>
          </w:p>
        </w:tc>
        <w:tc>
          <w:tcPr>
            <w:tcW w:w="1560"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szCs w:val="21"/>
                <w:lang w:eastAsia="zh-CN"/>
              </w:rPr>
            </w:pPr>
            <w:r>
              <w:rPr>
                <w:rFonts w:hint="eastAsia" w:cs="Times New Roman"/>
                <w:szCs w:val="21"/>
                <w:lang w:val="en-US" w:eastAsia="zh-CN"/>
              </w:rPr>
              <w:t>臭气浓度</w:t>
            </w: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eastAsia" w:ascii="Times New Roman" w:hAnsi="Times New Roman" w:eastAsia="宋体" w:cs="Times New Roman"/>
                <w:color w:val="auto"/>
                <w:szCs w:val="21"/>
                <w:highlight w:val="none"/>
                <w:lang w:eastAsia="zh-CN"/>
              </w:rPr>
              <w:t>在煎药设备上方设置集气罩，再用活性炭进行净化处理。</w:t>
            </w:r>
          </w:p>
        </w:tc>
        <w:tc>
          <w:tcPr>
            <w:tcW w:w="3118"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3"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地表水环境</w:t>
            </w: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lang w:val="en-US" w:eastAsia="zh-CN"/>
              </w:rPr>
            </w:pPr>
            <w:r>
              <w:rPr>
                <w:rFonts w:hint="eastAsia" w:cs="Times New Roman"/>
                <w:szCs w:val="21"/>
                <w:lang w:val="en-US" w:eastAsia="zh-CN"/>
              </w:rPr>
              <w:t>生产废水</w:t>
            </w:r>
          </w:p>
        </w:tc>
        <w:tc>
          <w:tcPr>
            <w:tcW w:w="1560"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lang w:val="de-DE"/>
              </w:rPr>
              <w:t>COD、BOD</w:t>
            </w:r>
            <w:r>
              <w:rPr>
                <w:rFonts w:hint="default" w:ascii="Times New Roman" w:hAnsi="Times New Roman" w:eastAsia="宋体" w:cs="Times New Roman"/>
                <w:szCs w:val="21"/>
                <w:vertAlign w:val="subscript"/>
                <w:lang w:val="de-DE"/>
              </w:rPr>
              <w:t>5</w:t>
            </w:r>
            <w:r>
              <w:rPr>
                <w:rFonts w:hint="default" w:ascii="Times New Roman" w:hAnsi="Times New Roman" w:eastAsia="宋体" w:cs="Times New Roman"/>
                <w:szCs w:val="21"/>
                <w:lang w:val="de-DE"/>
              </w:rPr>
              <w:t>、SS、氨氮等</w:t>
            </w: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废水依托现有污水处理站处理后排入市政下水管网</w:t>
            </w:r>
          </w:p>
        </w:tc>
        <w:tc>
          <w:tcPr>
            <w:tcW w:w="3118"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《医疗机构水污染物排放标准》（GB18466-2005）表2预处理标准</w:t>
            </w:r>
            <w:r>
              <w:rPr>
                <w:rFonts w:hint="default" w:ascii="Times New Roman" w:hAnsi="Times New Roman" w:eastAsia="宋体" w:cs="Times New Roman"/>
                <w:szCs w:val="21"/>
                <w:lang w:val="en-GB"/>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3"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声环境</w:t>
            </w: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设备等噪声</w:t>
            </w:r>
          </w:p>
        </w:tc>
        <w:tc>
          <w:tcPr>
            <w:tcW w:w="1560"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等效声级</w:t>
            </w: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加强管理，设置安静、禁止高声喧哗等标志牌，水泵、风机等设备隔声减震，置于密闭设备间内</w:t>
            </w:r>
          </w:p>
        </w:tc>
        <w:tc>
          <w:tcPr>
            <w:tcW w:w="3118"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《工业企业厂界环境噪声排放标准》（GB12348-2008）</w:t>
            </w:r>
            <w:r>
              <w:rPr>
                <w:rFonts w:hint="eastAsia" w:cs="Times New Roman"/>
                <w:color w:val="auto"/>
                <w:szCs w:val="21"/>
                <w:lang w:val="en-US" w:eastAsia="zh-CN"/>
              </w:rPr>
              <w:t>1</w:t>
            </w:r>
            <w:r>
              <w:rPr>
                <w:rFonts w:hint="default" w:ascii="Times New Roman" w:hAnsi="Times New Roman" w:eastAsia="宋体" w:cs="Times New Roman"/>
                <w:color w:val="auto"/>
                <w:szCs w:val="21"/>
              </w:rPr>
              <w:t>类标准（昼间≤</w:t>
            </w:r>
            <w:r>
              <w:rPr>
                <w:rFonts w:hint="eastAsia" w:cs="Times New Roman"/>
                <w:color w:val="auto"/>
                <w:szCs w:val="21"/>
                <w:lang w:val="en-US" w:eastAsia="zh-CN"/>
              </w:rPr>
              <w:t>55</w:t>
            </w:r>
            <w:r>
              <w:rPr>
                <w:rFonts w:hint="default" w:ascii="Times New Roman" w:hAnsi="Times New Roman" w:eastAsia="宋体" w:cs="Times New Roman"/>
                <w:color w:val="auto"/>
                <w:szCs w:val="21"/>
              </w:rPr>
              <w:t>dB（A），夜间≤</w:t>
            </w:r>
            <w:r>
              <w:rPr>
                <w:rFonts w:hint="eastAsia" w:cs="Times New Roman"/>
                <w:color w:val="auto"/>
                <w:kern w:val="0"/>
                <w:szCs w:val="21"/>
                <w:lang w:val="en-US" w:eastAsia="zh-CN"/>
              </w:rPr>
              <w:t>45</w:t>
            </w:r>
            <w:r>
              <w:rPr>
                <w:rFonts w:hint="default" w:ascii="Times New Roman" w:hAnsi="Times New Roman" w:eastAsia="宋体" w:cs="Times New Roman"/>
                <w:color w:val="auto"/>
                <w:kern w:val="0"/>
                <w:szCs w:val="21"/>
              </w:rPr>
              <w:t>dB</w:t>
            </w:r>
            <w:r>
              <w:rPr>
                <w:rFonts w:hint="default" w:ascii="Times New Roman" w:hAnsi="Times New Roman" w:eastAsia="宋体" w:cs="Times New Roman"/>
                <w:color w:val="auto"/>
                <w:szCs w:val="21"/>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电磁辐射</w:t>
            </w:r>
          </w:p>
        </w:tc>
        <w:tc>
          <w:tcPr>
            <w:tcW w:w="808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rPr>
              <w:t>本项目涉及辐射和放射性设备的环评由建设单位委托有资质的单位另作评价，不在本次评价范围内。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113"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固体废物</w:t>
            </w:r>
          </w:p>
        </w:tc>
        <w:tc>
          <w:tcPr>
            <w:tcW w:w="1701" w:type="dxa"/>
            <w:vMerge w:val="restart"/>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szCs w:val="21"/>
                <w:lang w:val="en-GB"/>
              </w:rPr>
            </w:pPr>
            <w:r>
              <w:rPr>
                <w:rFonts w:hint="default" w:ascii="Times New Roman" w:hAnsi="Times New Roman" w:cs="Times New Roman"/>
                <w:szCs w:val="21"/>
                <w:lang w:val="en-GB"/>
              </w:rPr>
              <w:t>生活垃圾</w:t>
            </w:r>
          </w:p>
        </w:tc>
        <w:tc>
          <w:tcPr>
            <w:tcW w:w="1560"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等线" w:cs="Times New Roman"/>
                <w:szCs w:val="21"/>
              </w:rPr>
            </w:pPr>
            <w:r>
              <w:rPr>
                <w:rFonts w:hint="default" w:ascii="Times New Roman" w:hAnsi="Times New Roman" w:cs="Times New Roman"/>
                <w:kern w:val="0"/>
                <w:szCs w:val="21"/>
              </w:rPr>
              <w:t>生活垃圾</w:t>
            </w: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等线" w:cs="Times New Roman"/>
                <w:szCs w:val="21"/>
              </w:rPr>
            </w:pPr>
            <w:r>
              <w:rPr>
                <w:rFonts w:hint="default" w:ascii="Times New Roman" w:hAnsi="Times New Roman" w:cs="Times New Roman"/>
                <w:kern w:val="0"/>
                <w:szCs w:val="21"/>
              </w:rPr>
              <w:t>垃圾桶收集，环卫部门统一清运</w:t>
            </w:r>
          </w:p>
        </w:tc>
        <w:tc>
          <w:tcPr>
            <w:tcW w:w="3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highlight w:val="none"/>
              </w:rPr>
              <w:t>分类收集、合理处置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111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p>
        </w:tc>
        <w:tc>
          <w:tcPr>
            <w:tcW w:w="1701" w:type="dxa"/>
            <w:vMerge w:val="continue"/>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szCs w:val="21"/>
                <w:lang w:val="en-GB"/>
              </w:rPr>
            </w:pPr>
          </w:p>
        </w:tc>
        <w:tc>
          <w:tcPr>
            <w:tcW w:w="1560"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kern w:val="0"/>
                <w:szCs w:val="21"/>
                <w:lang w:eastAsia="zh-CN"/>
              </w:rPr>
            </w:pPr>
            <w:r>
              <w:rPr>
                <w:rFonts w:hint="eastAsia" w:ascii="Times New Roman" w:hAnsi="Times New Roman" w:cs="Times New Roman"/>
                <w:kern w:val="0"/>
                <w:szCs w:val="21"/>
                <w:lang w:eastAsia="zh-CN"/>
              </w:rPr>
              <w:t>中药废渣</w:t>
            </w: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kern w:val="0"/>
                <w:szCs w:val="21"/>
              </w:rPr>
            </w:pPr>
            <w:r>
              <w:rPr>
                <w:rFonts w:hint="eastAsia" w:ascii="Times New Roman" w:hAnsi="Times New Roman" w:eastAsia="宋体" w:cs="Times New Roman"/>
                <w:color w:val="auto"/>
                <w:kern w:val="0"/>
                <w:szCs w:val="21"/>
                <w:highlight w:val="none"/>
              </w:rPr>
              <w:t>转入塑料桶内，暂存在一般固废间，统一收集后，定期委托有资质单位处理</w:t>
            </w:r>
          </w:p>
        </w:tc>
        <w:tc>
          <w:tcPr>
            <w:tcW w:w="3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highlight w:val="none"/>
              </w:rPr>
            </w:pPr>
            <w:r>
              <w:rPr>
                <w:rFonts w:hint="default" w:ascii="Times New Roman" w:hAnsi="Times New Roman" w:cs="Times New Roman"/>
                <w:szCs w:val="21"/>
                <w:highlight w:val="none"/>
              </w:rPr>
              <w:t>分类收集、合理处置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11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p>
        </w:tc>
        <w:tc>
          <w:tcPr>
            <w:tcW w:w="1701" w:type="dxa"/>
            <w:vMerge w:val="restart"/>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szCs w:val="21"/>
                <w:lang w:val="en-GB"/>
              </w:rPr>
            </w:pPr>
            <w:r>
              <w:rPr>
                <w:rFonts w:hint="default" w:ascii="Times New Roman" w:hAnsi="Times New Roman" w:cs="Times New Roman"/>
                <w:szCs w:val="21"/>
                <w:lang w:val="en-GB"/>
              </w:rPr>
              <w:t>危险废物</w:t>
            </w:r>
          </w:p>
        </w:tc>
        <w:tc>
          <w:tcPr>
            <w:tcW w:w="1560"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等线" w:cs="Times New Roman"/>
                <w:szCs w:val="21"/>
              </w:rPr>
            </w:pPr>
            <w:r>
              <w:rPr>
                <w:rFonts w:hint="default" w:ascii="Times New Roman" w:hAnsi="Times New Roman" w:cs="Times New Roman"/>
                <w:kern w:val="0"/>
                <w:szCs w:val="21"/>
              </w:rPr>
              <w:t>医疗废物</w:t>
            </w:r>
          </w:p>
        </w:tc>
        <w:tc>
          <w:tcPr>
            <w:tcW w:w="1701" w:type="dxa"/>
            <w:vMerge w:val="restart"/>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收集后暂存</w:t>
            </w:r>
            <w:r>
              <w:rPr>
                <w:rFonts w:hint="eastAsia" w:cs="Times New Roman"/>
                <w:kern w:val="0"/>
                <w:szCs w:val="21"/>
                <w:lang w:val="en-US" w:eastAsia="zh-CN"/>
              </w:rPr>
              <w:t>危险</w:t>
            </w:r>
            <w:r>
              <w:rPr>
                <w:rFonts w:hint="default" w:ascii="Times New Roman" w:hAnsi="Times New Roman" w:cs="Times New Roman"/>
                <w:kern w:val="0"/>
                <w:szCs w:val="21"/>
              </w:rPr>
              <w:t>废物暂存间，定期委托有资质单位处理</w:t>
            </w:r>
          </w:p>
        </w:tc>
        <w:tc>
          <w:tcPr>
            <w:tcW w:w="311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eastAsia="宋体" w:cs="Times New Roman"/>
                <w:szCs w:val="21"/>
              </w:rPr>
              <w:t>满足《危险废物贮存污染控制标准》（GB18597-2001）及修改单要求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11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p>
        </w:tc>
        <w:tc>
          <w:tcPr>
            <w:tcW w:w="1701" w:type="dxa"/>
            <w:vMerge w:val="continue"/>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szCs w:val="21"/>
                <w:lang w:val="en-GB"/>
              </w:rPr>
            </w:pPr>
          </w:p>
        </w:tc>
        <w:tc>
          <w:tcPr>
            <w:tcW w:w="1560"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等线" w:cs="Times New Roman"/>
                <w:szCs w:val="21"/>
              </w:rPr>
            </w:pPr>
            <w:r>
              <w:rPr>
                <w:rFonts w:hint="default" w:ascii="Times New Roman" w:hAnsi="Times New Roman" w:cs="Times New Roman"/>
                <w:color w:val="auto"/>
                <w:kern w:val="0"/>
                <w:szCs w:val="21"/>
              </w:rPr>
              <w:t>栅渣、化粪池和污水处理站污泥</w:t>
            </w:r>
          </w:p>
        </w:tc>
        <w:tc>
          <w:tcPr>
            <w:tcW w:w="1701" w:type="dxa"/>
            <w:vMerge w:val="continue"/>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cs="Times New Roman"/>
                <w:kern w:val="0"/>
                <w:szCs w:val="21"/>
              </w:rPr>
            </w:pPr>
          </w:p>
        </w:tc>
        <w:tc>
          <w:tcPr>
            <w:tcW w:w="311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11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p>
        </w:tc>
        <w:tc>
          <w:tcPr>
            <w:tcW w:w="1701" w:type="dxa"/>
            <w:vMerge w:val="restart"/>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szCs w:val="21"/>
                <w:lang w:val="en-GB" w:eastAsia="zh-CN"/>
              </w:rPr>
            </w:pPr>
            <w:r>
              <w:rPr>
                <w:rFonts w:hint="eastAsia" w:ascii="Times New Roman" w:hAnsi="Times New Roman" w:cs="Times New Roman"/>
                <w:szCs w:val="21"/>
                <w:lang w:val="en-GB" w:eastAsia="zh-CN"/>
              </w:rPr>
              <w:t>一般固废</w:t>
            </w:r>
          </w:p>
        </w:tc>
        <w:tc>
          <w:tcPr>
            <w:tcW w:w="1560"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color w:val="auto"/>
                <w:kern w:val="0"/>
                <w:szCs w:val="21"/>
                <w:lang w:eastAsia="zh-CN"/>
              </w:rPr>
            </w:pPr>
            <w:r>
              <w:rPr>
                <w:rFonts w:hint="eastAsia" w:ascii="Times New Roman" w:hAnsi="Times New Roman" w:cs="Times New Roman"/>
                <w:color w:val="auto"/>
                <w:kern w:val="0"/>
                <w:szCs w:val="21"/>
                <w:lang w:eastAsia="zh-CN"/>
              </w:rPr>
              <w:t>废活性炭</w:t>
            </w: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eastAsia="宋体" w:cs="Times New Roman"/>
                <w:kern w:val="0"/>
                <w:szCs w:val="21"/>
                <w:lang w:eastAsia="zh-CN"/>
              </w:rPr>
            </w:pPr>
            <w:r>
              <w:rPr>
                <w:rFonts w:hint="eastAsia" w:cs="Times New Roman"/>
                <w:color w:val="auto"/>
                <w:szCs w:val="21"/>
                <w:highlight w:val="none"/>
                <w:lang w:eastAsia="zh-CN"/>
              </w:rPr>
              <w:t>厂家回收</w:t>
            </w:r>
          </w:p>
        </w:tc>
        <w:tc>
          <w:tcPr>
            <w:tcW w:w="3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highlight w:val="none"/>
              </w:rPr>
              <w:t>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113"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p>
        </w:tc>
        <w:tc>
          <w:tcPr>
            <w:tcW w:w="1701" w:type="dxa"/>
            <w:vMerge w:val="continue"/>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cs="Times New Roman"/>
                <w:szCs w:val="21"/>
                <w:lang w:val="en-GB" w:eastAsia="zh-CN"/>
              </w:rPr>
            </w:pPr>
          </w:p>
        </w:tc>
        <w:tc>
          <w:tcPr>
            <w:tcW w:w="1560"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eastAsia" w:ascii="Times New Roman" w:hAnsi="Times New Roman" w:cs="Times New Roman"/>
                <w:color w:val="auto"/>
                <w:kern w:val="0"/>
                <w:szCs w:val="21"/>
                <w:lang w:eastAsia="zh-CN"/>
              </w:rPr>
            </w:pPr>
            <w:r>
              <w:rPr>
                <w:rFonts w:hint="eastAsia" w:ascii="Times New Roman" w:hAnsi="Times New Roman" w:cs="Times New Roman"/>
                <w:color w:val="auto"/>
                <w:kern w:val="0"/>
                <w:szCs w:val="21"/>
                <w:lang w:eastAsia="zh-CN"/>
              </w:rPr>
              <w:t>废包装</w:t>
            </w:r>
          </w:p>
        </w:tc>
        <w:tc>
          <w:tcPr>
            <w:tcW w:w="1701" w:type="dxa"/>
            <w:noWrap w:val="0"/>
            <w:vAlign w:val="center"/>
          </w:tcPr>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经垃圾桶收集后，定期由环卫部门处置</w:t>
            </w:r>
            <w:r>
              <w:rPr>
                <w:rFonts w:hint="eastAsia" w:ascii="Times New Roman" w:hAnsi="Times New Roman" w:eastAsia="宋体" w:cs="Times New Roman"/>
                <w:color w:val="auto"/>
                <w:szCs w:val="21"/>
                <w:highlight w:val="none"/>
                <w:lang w:eastAsia="zh-CN"/>
              </w:rPr>
              <w:t>。</w:t>
            </w:r>
          </w:p>
        </w:tc>
        <w:tc>
          <w:tcPr>
            <w:tcW w:w="311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highlight w:val="none"/>
              </w:rPr>
              <w:t>分类收集、合理处置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7" w:hRule="atLeast"/>
          <w:jc w:val="center"/>
        </w:trPr>
        <w:tc>
          <w:tcPr>
            <w:tcW w:w="1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rPr>
              <w:t>土壤及地下水污染防治措施</w:t>
            </w:r>
          </w:p>
        </w:tc>
        <w:tc>
          <w:tcPr>
            <w:tcW w:w="808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cs="Times New Roman"/>
                <w:color w:val="FF0000"/>
                <w:szCs w:val="21"/>
              </w:rPr>
            </w:pPr>
            <w:r>
              <w:rPr>
                <w:rFonts w:hint="default" w:ascii="Times New Roman" w:hAnsi="Times New Roman" w:cs="Times New Roman"/>
                <w:color w:val="auto"/>
                <w:szCs w:val="21"/>
              </w:rPr>
              <w:t>采取分区防渗对院区进行分区防渗，</w:t>
            </w:r>
            <w:r>
              <w:rPr>
                <w:rFonts w:hint="eastAsia" w:cs="Times New Roman"/>
                <w:color w:val="auto"/>
                <w:szCs w:val="21"/>
                <w:lang w:val="en-US" w:eastAsia="zh-CN"/>
              </w:rPr>
              <w:t>危险</w:t>
            </w:r>
            <w:r>
              <w:rPr>
                <w:rFonts w:hint="default" w:ascii="Times New Roman" w:hAnsi="Times New Roman" w:cs="Times New Roman"/>
                <w:color w:val="auto"/>
                <w:szCs w:val="21"/>
              </w:rPr>
              <w:t>废物暂存间采取重点防渗措施，污水处理站为一般防渗，门诊、综合楼、道路采取简单防渗。</w:t>
            </w:r>
            <w:r>
              <w:rPr>
                <w:rFonts w:hint="eastAsia" w:cs="Times New Roman"/>
                <w:color w:val="auto"/>
                <w:szCs w:val="21"/>
                <w:highlight w:val="none"/>
                <w:lang w:val="en-US" w:eastAsia="zh-CN"/>
              </w:rPr>
              <w:t>危险</w:t>
            </w:r>
            <w:r>
              <w:rPr>
                <w:rFonts w:hint="default" w:ascii="Times New Roman" w:hAnsi="Times New Roman" w:cs="Times New Roman"/>
                <w:color w:val="auto"/>
                <w:szCs w:val="21"/>
                <w:highlight w:val="none"/>
              </w:rPr>
              <w:t>废物暂存间按</w:t>
            </w:r>
            <w:r>
              <w:rPr>
                <w:rFonts w:hint="default" w:ascii="Times New Roman" w:hAnsi="Times New Roman" w:cs="Times New Roman"/>
                <w:color w:val="auto"/>
                <w:szCs w:val="21"/>
              </w:rPr>
              <w:t>照《危险废物贮存污染控制标准》（GB18597-2001）要求防渗处理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1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生态保护措施</w:t>
            </w:r>
          </w:p>
        </w:tc>
        <w:tc>
          <w:tcPr>
            <w:tcW w:w="808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rPr>
              <w:t>项目为建设用地，建设范围内无生态环境敏感目标，不需设置生态保护措施。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pacing w:val="-8"/>
                <w:szCs w:val="21"/>
              </w:rPr>
            </w:pPr>
            <w:r>
              <w:rPr>
                <w:rFonts w:hint="default" w:ascii="Times New Roman" w:hAnsi="Times New Roman" w:cs="Times New Roman"/>
                <w:spacing w:val="-8"/>
                <w:szCs w:val="21"/>
              </w:rPr>
              <w:t>环境风险防范措施</w:t>
            </w:r>
          </w:p>
        </w:tc>
        <w:tc>
          <w:tcPr>
            <w:tcW w:w="808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rPr>
              <w:t>编制应急预案，设医疗废物台账，加强管理，设废水应急池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1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pacing w:val="-8"/>
                <w:szCs w:val="21"/>
              </w:rPr>
            </w:pPr>
            <w:r>
              <w:rPr>
                <w:rFonts w:hint="default" w:ascii="Times New Roman" w:hAnsi="Times New Roman" w:cs="Times New Roman"/>
                <w:spacing w:val="-8"/>
                <w:szCs w:val="21"/>
              </w:rPr>
              <w:t>其他环境管理要求</w:t>
            </w:r>
          </w:p>
        </w:tc>
        <w:tc>
          <w:tcPr>
            <w:tcW w:w="8080"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Cs w:val="21"/>
              </w:rPr>
            </w:pPr>
            <w:r>
              <w:rPr>
                <w:rFonts w:hint="default" w:ascii="Times New Roman" w:hAnsi="Times New Roman" w:cs="Times New Roman"/>
                <w:szCs w:val="21"/>
              </w:rPr>
              <w:t>/</w:t>
            </w:r>
          </w:p>
        </w:tc>
      </w:tr>
    </w:tbl>
    <w:p>
      <w:pPr>
        <w:adjustRightInd w:val="0"/>
        <w:snapToGrid w:val="0"/>
        <w:spacing w:line="360" w:lineRule="auto"/>
        <w:ind w:firstLine="420" w:firstLineChars="200"/>
        <w:jc w:val="left"/>
        <w:rPr>
          <w:rFonts w:ascii="Times New Roman" w:hAnsi="Times New Roman" w:eastAsia="黑体"/>
          <w:snapToGrid w:val="0"/>
          <w:sz w:val="30"/>
          <w:szCs w:val="30"/>
        </w:rPr>
      </w:pPr>
      <w:r>
        <w:rPr>
          <w:rFonts w:ascii="Times New Roman" w:hAnsi="Times New Roman"/>
          <w:snapToGrid w:val="0"/>
        </w:rPr>
        <w:br w:type="page"/>
      </w:r>
      <w:r>
        <w:rPr>
          <w:rFonts w:ascii="Times New Roman" w:hAnsi="Times New Roman"/>
          <w:b/>
          <w:bCs/>
          <w:snapToGrid w:val="0"/>
          <w:sz w:val="30"/>
          <w:szCs w:val="30"/>
        </w:rPr>
        <w:t>六、结论</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firstLineChars="200"/>
              <w:rPr>
                <w:sz w:val="24"/>
              </w:rPr>
            </w:pPr>
            <w:r>
              <w:rPr>
                <w:sz w:val="24"/>
                <w:szCs w:val="32"/>
              </w:rPr>
              <w:t>综上所述，项目的建设目前符合国家产业政策要求，拟采取的污染防治措施技术可行、经济合理、在严格落实各项污染治理措施的前提下，各污染物均能够稳定达标排放，满足相应环境功能区要求，对区域环境质量影响在可接受范围内。从环境保护角度考虑，项目的建设是可行的。</w:t>
            </w:r>
          </w:p>
        </w:tc>
      </w:tr>
    </w:tbl>
    <w:p>
      <w:pPr>
        <w:sectPr>
          <w:pgSz w:w="11906" w:h="16838"/>
          <w:pgMar w:top="1701" w:right="1531" w:bottom="1701" w:left="1531" w:header="851" w:footer="851" w:gutter="0"/>
          <w:pgNumType w:fmt="decimal"/>
          <w:cols w:space="720" w:num="1"/>
          <w:docGrid w:linePitch="312" w:charSpace="0"/>
        </w:sectPr>
      </w:pPr>
    </w:p>
    <w:p>
      <w:pPr>
        <w:pStyle w:val="24"/>
        <w:adjustRightInd w:val="0"/>
        <w:snapToGrid w:val="0"/>
        <w:spacing w:before="0" w:beforeAutospacing="0" w:after="0" w:afterAutospacing="0"/>
        <w:ind w:firstLine="640" w:firstLineChars="200"/>
        <w:rPr>
          <w:rFonts w:ascii="Times New Roman" w:hAnsi="Times New Roman" w:eastAsia="黑体"/>
          <w:snapToGrid w:val="0"/>
          <w:sz w:val="32"/>
          <w:szCs w:val="32"/>
        </w:rPr>
      </w:pPr>
      <w:r>
        <w:rPr>
          <w:rFonts w:hint="eastAsia" w:ascii="Times New Roman" w:hAnsi="Times New Roman" w:eastAsia="黑体"/>
          <w:snapToGrid w:val="0"/>
          <w:sz w:val="32"/>
          <w:szCs w:val="32"/>
        </w:rPr>
        <w:t>附表</w:t>
      </w:r>
    </w:p>
    <w:p>
      <w:pPr>
        <w:pStyle w:val="24"/>
        <w:adjustRightInd w:val="0"/>
        <w:snapToGrid w:val="0"/>
        <w:spacing w:before="0" w:beforeAutospacing="0" w:after="0" w:afterAutospacing="0"/>
        <w:ind w:firstLine="760" w:firstLineChars="200"/>
        <w:jc w:val="center"/>
        <w:rPr>
          <w:rFonts w:hint="eastAsia" w:ascii="Times New Roman" w:hAnsi="Times New Roman" w:eastAsia="方正小标宋_GBK"/>
          <w:snapToGrid w:val="0"/>
          <w:sz w:val="38"/>
          <w:szCs w:val="38"/>
        </w:rPr>
      </w:pPr>
      <w:r>
        <w:rPr>
          <w:rFonts w:hint="eastAsia" w:ascii="Times New Roman" w:hAnsi="Times New Roman" w:eastAsia="方正小标宋_GBK"/>
          <w:snapToGrid w:val="0"/>
          <w:sz w:val="38"/>
          <w:szCs w:val="38"/>
        </w:rPr>
        <w:t>建设项目污染物排放量汇总表</w:t>
      </w:r>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287"/>
        <w:gridCol w:w="1575"/>
        <w:gridCol w:w="1365"/>
        <w:gridCol w:w="1490"/>
        <w:gridCol w:w="1660"/>
        <w:gridCol w:w="1605"/>
        <w:gridCol w:w="1845"/>
        <w:gridCol w:w="13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pPr>
              <w:pStyle w:val="106"/>
              <w:spacing w:beforeLines="0" w:afterLines="0" w:line="240" w:lineRule="auto"/>
              <w:rPr>
                <w:rFonts w:hint="eastAsia" w:ascii="Times New Roman" w:eastAsia="黑体" w:cs="宋体"/>
                <w:snapToGrid w:val="0"/>
                <w:spacing w:val="-6"/>
                <w:kern w:val="21"/>
                <w:szCs w:val="21"/>
                <w:lang w:val="en-US" w:eastAsia="zh-CN"/>
              </w:rPr>
            </w:pPr>
            <w:r>
              <w:rPr>
                <w:rFonts w:hint="eastAsia" w:ascii="Times New Roman" w:eastAsia="黑体" w:cs="宋体"/>
                <w:snapToGrid w:val="0"/>
                <w:spacing w:val="-6"/>
                <w:kern w:val="21"/>
                <w:szCs w:val="21"/>
                <w:lang w:val="en-US" w:eastAsia="zh-CN"/>
              </w:rPr>
              <w:t xml:space="preserve">      项目</w:t>
            </w:r>
          </w:p>
          <w:p>
            <w:pPr>
              <w:pStyle w:val="106"/>
              <w:spacing w:beforeLines="0" w:afterLines="0" w:line="240" w:lineRule="auto"/>
              <w:jc w:val="both"/>
              <w:rPr>
                <w:rFonts w:hint="eastAsia" w:ascii="Times New Roman" w:eastAsia="黑体" w:cs="宋体"/>
                <w:snapToGrid w:val="0"/>
                <w:spacing w:val="-6"/>
                <w:kern w:val="21"/>
                <w:szCs w:val="21"/>
                <w:lang w:val="en-US" w:eastAsia="zh-CN"/>
              </w:rPr>
            </w:pPr>
            <w:r>
              <w:rPr>
                <w:rFonts w:hint="eastAsia" w:ascii="Times New Roman" w:eastAsia="黑体" w:cs="宋体"/>
                <w:snapToGrid w:val="0"/>
                <w:spacing w:val="-6"/>
                <w:kern w:val="21"/>
                <w:szCs w:val="21"/>
                <w:lang w:val="en-US" w:eastAsia="zh-CN"/>
              </w:rPr>
              <w:t>分类</w:t>
            </w:r>
          </w:p>
        </w:tc>
        <w:tc>
          <w:tcPr>
            <w:tcW w:w="1287" w:type="dxa"/>
            <w:noWrap w:val="0"/>
            <w:tcMar>
              <w:left w:w="28" w:type="dxa"/>
              <w:right w:w="28" w:type="dxa"/>
            </w:tcMar>
            <w:vAlign w:val="center"/>
          </w:tcPr>
          <w:p>
            <w:pPr>
              <w:pStyle w:val="106"/>
              <w:spacing w:beforeLines="0" w:afterLines="0" w:line="240" w:lineRule="auto"/>
              <w:rPr>
                <w:rFonts w:hint="eastAsia" w:ascii="Times New Roman" w:eastAsia="黑体" w:cs="宋体"/>
                <w:snapToGrid w:val="0"/>
                <w:spacing w:val="-6"/>
                <w:kern w:val="21"/>
                <w:szCs w:val="21"/>
                <w:lang w:val="en-US" w:eastAsia="zh-CN"/>
              </w:rPr>
            </w:pPr>
            <w:r>
              <w:rPr>
                <w:rFonts w:hint="eastAsia" w:ascii="Times New Roman" w:eastAsia="黑体" w:cs="宋体"/>
                <w:snapToGrid w:val="0"/>
                <w:spacing w:val="-6"/>
                <w:kern w:val="21"/>
                <w:szCs w:val="21"/>
                <w:lang w:val="en-US" w:eastAsia="zh-CN"/>
              </w:rPr>
              <w:t>污染物名称</w:t>
            </w:r>
          </w:p>
        </w:tc>
        <w:tc>
          <w:tcPr>
            <w:tcW w:w="1575" w:type="dxa"/>
            <w:noWrap w:val="0"/>
            <w:tcMar>
              <w:left w:w="28" w:type="dxa"/>
              <w:right w:w="28" w:type="dxa"/>
            </w:tcMar>
            <w:vAlign w:val="center"/>
          </w:tcPr>
          <w:p>
            <w:pPr>
              <w:pStyle w:val="106"/>
              <w:spacing w:beforeLines="0" w:afterLines="0" w:line="240" w:lineRule="auto"/>
              <w:rPr>
                <w:rFonts w:hint="eastAsia"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现有工程</w:t>
            </w:r>
          </w:p>
          <w:p>
            <w:pPr>
              <w:pStyle w:val="106"/>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排放量（固</w:t>
            </w:r>
            <w:r>
              <w:rPr>
                <w:rFonts w:hint="eastAsia" w:ascii="Times New Roman" w:eastAsia="黑体"/>
                <w:snapToGrid w:val="0"/>
                <w:spacing w:val="-6"/>
                <w:kern w:val="21"/>
                <w:szCs w:val="21"/>
                <w:lang w:val="en-US" w:eastAsia="zh-CN"/>
              </w:rPr>
              <w:t>体</w:t>
            </w:r>
            <w:r>
              <w:rPr>
                <w:rFonts w:ascii="Times New Roman" w:eastAsia="黑体"/>
                <w:snapToGrid w:val="0"/>
                <w:spacing w:val="-6"/>
                <w:kern w:val="21"/>
                <w:szCs w:val="21"/>
                <w:lang w:val="en-US" w:eastAsia="zh-CN"/>
              </w:rPr>
              <w:t>废</w:t>
            </w:r>
            <w:r>
              <w:rPr>
                <w:rFonts w:hint="eastAsia" w:ascii="Times New Roman" w:eastAsia="黑体"/>
                <w:snapToGrid w:val="0"/>
                <w:spacing w:val="-6"/>
                <w:kern w:val="21"/>
                <w:szCs w:val="21"/>
                <w:lang w:val="en-US" w:eastAsia="zh-CN"/>
              </w:rPr>
              <w:t>物</w:t>
            </w:r>
            <w:r>
              <w:rPr>
                <w:rFonts w:ascii="Times New Roman" w:eastAsia="黑体"/>
                <w:snapToGrid w:val="0"/>
                <w:spacing w:val="-6"/>
                <w:kern w:val="21"/>
                <w:szCs w:val="21"/>
                <w:lang w:val="en-US" w:eastAsia="zh-CN"/>
              </w:rPr>
              <w:t>产生量）</w:t>
            </w:r>
            <w:r>
              <w:rPr>
                <w:rFonts w:ascii="Times New Roman" w:eastAsia="黑体"/>
                <w:snapToGrid w:val="0"/>
                <w:spacing w:val="-6"/>
                <w:kern w:val="21"/>
                <w:szCs w:val="21"/>
                <w:lang w:val="en-US" w:eastAsia="zh-CN"/>
              </w:rPr>
              <w:fldChar w:fldCharType="begin"/>
            </w:r>
            <w:r>
              <w:rPr>
                <w:rFonts w:ascii="Times New Roman" w:eastAsia="黑体"/>
                <w:snapToGrid w:val="0"/>
                <w:spacing w:val="-6"/>
                <w:kern w:val="21"/>
                <w:szCs w:val="21"/>
                <w:lang w:val="en-US" w:eastAsia="zh-CN"/>
              </w:rPr>
              <w:instrText xml:space="preserve"> = 1 \* GB3 \* MERGEFORMAT </w:instrText>
            </w:r>
            <w:r>
              <w:rPr>
                <w:rFonts w:ascii="Times New Roman" w:eastAsia="黑体"/>
                <w:snapToGrid w:val="0"/>
                <w:spacing w:val="-6"/>
                <w:kern w:val="21"/>
                <w:szCs w:val="21"/>
                <w:lang w:val="en-US" w:eastAsia="zh-CN"/>
              </w:rPr>
              <w:fldChar w:fldCharType="separate"/>
            </w:r>
            <w:r>
              <w:rPr>
                <w:rFonts w:hint="eastAsia" w:ascii="Times New Roman" w:eastAsia="黑体" w:cs="宋体"/>
                <w:kern w:val="2"/>
                <w:szCs w:val="21"/>
                <w:lang w:val="en-US" w:eastAsia="zh-CN"/>
              </w:rPr>
              <w:t>①</w:t>
            </w:r>
            <w:r>
              <w:rPr>
                <w:rFonts w:ascii="Times New Roman" w:eastAsia="黑体"/>
                <w:snapToGrid w:val="0"/>
                <w:spacing w:val="-6"/>
                <w:kern w:val="21"/>
                <w:szCs w:val="21"/>
                <w:lang w:val="en-US" w:eastAsia="zh-CN"/>
              </w:rPr>
              <w:fldChar w:fldCharType="end"/>
            </w:r>
          </w:p>
        </w:tc>
        <w:tc>
          <w:tcPr>
            <w:tcW w:w="1365" w:type="dxa"/>
            <w:noWrap w:val="0"/>
            <w:tcMar>
              <w:left w:w="28" w:type="dxa"/>
              <w:right w:w="28" w:type="dxa"/>
            </w:tcMar>
            <w:vAlign w:val="center"/>
          </w:tcPr>
          <w:p>
            <w:pPr>
              <w:pStyle w:val="106"/>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现有工程</w:t>
            </w:r>
          </w:p>
          <w:p>
            <w:pPr>
              <w:pStyle w:val="106"/>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许可排放量</w:t>
            </w:r>
          </w:p>
          <w:p>
            <w:pPr>
              <w:pStyle w:val="106"/>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fldChar w:fldCharType="begin"/>
            </w:r>
            <w:r>
              <w:rPr>
                <w:rFonts w:ascii="Times New Roman" w:eastAsia="黑体"/>
                <w:snapToGrid w:val="0"/>
                <w:spacing w:val="-6"/>
                <w:kern w:val="21"/>
                <w:szCs w:val="21"/>
                <w:lang w:val="en-US" w:eastAsia="zh-CN"/>
              </w:rPr>
              <w:instrText xml:space="preserve"> = 2 \* GB3 \* MERGEFORMAT </w:instrText>
            </w:r>
            <w:r>
              <w:rPr>
                <w:rFonts w:ascii="Times New Roman" w:eastAsia="黑体"/>
                <w:snapToGrid w:val="0"/>
                <w:spacing w:val="-6"/>
                <w:kern w:val="21"/>
                <w:szCs w:val="21"/>
                <w:lang w:val="en-US" w:eastAsia="zh-CN"/>
              </w:rPr>
              <w:fldChar w:fldCharType="separate"/>
            </w:r>
            <w:r>
              <w:rPr>
                <w:rFonts w:hint="eastAsia" w:ascii="Times New Roman" w:eastAsia="黑体" w:cs="宋体"/>
                <w:snapToGrid w:val="0"/>
                <w:spacing w:val="-6"/>
                <w:kern w:val="21"/>
                <w:szCs w:val="21"/>
                <w:lang w:val="en-US" w:eastAsia="zh-CN"/>
              </w:rPr>
              <w:t>②</w:t>
            </w:r>
            <w:r>
              <w:rPr>
                <w:rFonts w:ascii="Times New Roman" w:eastAsia="黑体"/>
                <w:snapToGrid w:val="0"/>
                <w:spacing w:val="-6"/>
                <w:kern w:val="21"/>
                <w:szCs w:val="21"/>
                <w:lang w:val="en-US" w:eastAsia="zh-CN"/>
              </w:rPr>
              <w:fldChar w:fldCharType="end"/>
            </w:r>
          </w:p>
        </w:tc>
        <w:tc>
          <w:tcPr>
            <w:tcW w:w="1490" w:type="dxa"/>
            <w:noWrap w:val="0"/>
            <w:tcMar>
              <w:left w:w="28" w:type="dxa"/>
              <w:right w:w="28" w:type="dxa"/>
            </w:tcMar>
            <w:vAlign w:val="center"/>
          </w:tcPr>
          <w:p>
            <w:pPr>
              <w:pStyle w:val="106"/>
              <w:spacing w:beforeLines="0" w:afterLines="0" w:line="240" w:lineRule="auto"/>
              <w:rPr>
                <w:rFonts w:hint="eastAsia"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在建工程</w:t>
            </w:r>
          </w:p>
          <w:p>
            <w:pPr>
              <w:pStyle w:val="106"/>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排放量（固</w:t>
            </w:r>
            <w:r>
              <w:rPr>
                <w:rFonts w:hint="eastAsia" w:ascii="Times New Roman" w:eastAsia="黑体"/>
                <w:snapToGrid w:val="0"/>
                <w:spacing w:val="-6"/>
                <w:kern w:val="21"/>
                <w:szCs w:val="21"/>
                <w:lang w:val="en-US" w:eastAsia="zh-CN"/>
              </w:rPr>
              <w:t>体</w:t>
            </w:r>
            <w:r>
              <w:rPr>
                <w:rFonts w:ascii="Times New Roman" w:eastAsia="黑体"/>
                <w:snapToGrid w:val="0"/>
                <w:spacing w:val="-6"/>
                <w:kern w:val="21"/>
                <w:szCs w:val="21"/>
                <w:lang w:val="en-US" w:eastAsia="zh-CN"/>
              </w:rPr>
              <w:t>废</w:t>
            </w:r>
            <w:r>
              <w:rPr>
                <w:rFonts w:hint="eastAsia" w:ascii="Times New Roman" w:eastAsia="黑体"/>
                <w:snapToGrid w:val="0"/>
                <w:spacing w:val="-6"/>
                <w:kern w:val="21"/>
                <w:szCs w:val="21"/>
                <w:lang w:val="en-US" w:eastAsia="zh-CN"/>
              </w:rPr>
              <w:t>物</w:t>
            </w:r>
            <w:r>
              <w:rPr>
                <w:rFonts w:ascii="Times New Roman" w:eastAsia="黑体"/>
                <w:snapToGrid w:val="0"/>
                <w:spacing w:val="-6"/>
                <w:kern w:val="21"/>
                <w:szCs w:val="21"/>
                <w:lang w:val="en-US" w:eastAsia="zh-CN"/>
              </w:rPr>
              <w:t>产生量）</w:t>
            </w:r>
            <w:r>
              <w:rPr>
                <w:rFonts w:ascii="Times New Roman" w:eastAsia="黑体"/>
                <w:snapToGrid w:val="0"/>
                <w:spacing w:val="-6"/>
                <w:kern w:val="21"/>
                <w:szCs w:val="21"/>
                <w:lang w:val="en-US" w:eastAsia="zh-CN"/>
              </w:rPr>
              <w:fldChar w:fldCharType="begin"/>
            </w:r>
            <w:r>
              <w:rPr>
                <w:rFonts w:ascii="Times New Roman" w:eastAsia="黑体"/>
                <w:snapToGrid w:val="0"/>
                <w:spacing w:val="-6"/>
                <w:kern w:val="21"/>
                <w:szCs w:val="21"/>
                <w:lang w:val="en-US" w:eastAsia="zh-CN"/>
              </w:rPr>
              <w:instrText xml:space="preserve"> = 3 \* GB3 \* MERGEFORMAT </w:instrText>
            </w:r>
            <w:r>
              <w:rPr>
                <w:rFonts w:ascii="Times New Roman" w:eastAsia="黑体"/>
                <w:snapToGrid w:val="0"/>
                <w:spacing w:val="-6"/>
                <w:kern w:val="21"/>
                <w:szCs w:val="21"/>
                <w:lang w:val="en-US" w:eastAsia="zh-CN"/>
              </w:rPr>
              <w:fldChar w:fldCharType="separate"/>
            </w:r>
            <w:r>
              <w:rPr>
                <w:rFonts w:hint="eastAsia" w:ascii="Times New Roman" w:eastAsia="黑体" w:cs="宋体"/>
                <w:kern w:val="2"/>
                <w:szCs w:val="21"/>
                <w:lang w:val="en-US" w:eastAsia="zh-CN"/>
              </w:rPr>
              <w:t>③</w:t>
            </w:r>
            <w:r>
              <w:rPr>
                <w:rFonts w:ascii="Times New Roman" w:eastAsia="黑体"/>
                <w:snapToGrid w:val="0"/>
                <w:spacing w:val="-6"/>
                <w:kern w:val="21"/>
                <w:szCs w:val="21"/>
                <w:lang w:val="en-US" w:eastAsia="zh-CN"/>
              </w:rPr>
              <w:fldChar w:fldCharType="end"/>
            </w:r>
          </w:p>
        </w:tc>
        <w:tc>
          <w:tcPr>
            <w:tcW w:w="1660" w:type="dxa"/>
            <w:noWrap w:val="0"/>
            <w:tcMar>
              <w:left w:w="28" w:type="dxa"/>
              <w:right w:w="28" w:type="dxa"/>
            </w:tcMar>
            <w:vAlign w:val="center"/>
          </w:tcPr>
          <w:p>
            <w:pPr>
              <w:pStyle w:val="106"/>
              <w:spacing w:beforeLines="0" w:afterLines="0" w:line="240" w:lineRule="auto"/>
              <w:rPr>
                <w:rFonts w:hint="eastAsia"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本项目</w:t>
            </w:r>
          </w:p>
          <w:p>
            <w:pPr>
              <w:pStyle w:val="106"/>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排放量（固</w:t>
            </w:r>
            <w:r>
              <w:rPr>
                <w:rFonts w:hint="eastAsia" w:ascii="Times New Roman" w:eastAsia="黑体"/>
                <w:snapToGrid w:val="0"/>
                <w:spacing w:val="-6"/>
                <w:kern w:val="21"/>
                <w:szCs w:val="21"/>
                <w:lang w:val="en-US" w:eastAsia="zh-CN"/>
              </w:rPr>
              <w:t>体</w:t>
            </w:r>
            <w:r>
              <w:rPr>
                <w:rFonts w:ascii="Times New Roman" w:eastAsia="黑体"/>
                <w:snapToGrid w:val="0"/>
                <w:spacing w:val="-6"/>
                <w:kern w:val="21"/>
                <w:szCs w:val="21"/>
                <w:lang w:val="en-US" w:eastAsia="zh-CN"/>
              </w:rPr>
              <w:t>废</w:t>
            </w:r>
            <w:r>
              <w:rPr>
                <w:rFonts w:hint="eastAsia" w:ascii="Times New Roman" w:eastAsia="黑体"/>
                <w:snapToGrid w:val="0"/>
                <w:spacing w:val="-6"/>
                <w:kern w:val="21"/>
                <w:szCs w:val="21"/>
                <w:lang w:val="en-US" w:eastAsia="zh-CN"/>
              </w:rPr>
              <w:t>物</w:t>
            </w:r>
            <w:r>
              <w:rPr>
                <w:rFonts w:ascii="Times New Roman" w:eastAsia="黑体"/>
                <w:snapToGrid w:val="0"/>
                <w:spacing w:val="-6"/>
                <w:kern w:val="21"/>
                <w:szCs w:val="21"/>
                <w:lang w:val="en-US" w:eastAsia="zh-CN"/>
              </w:rPr>
              <w:t>产生量）</w:t>
            </w:r>
            <w:r>
              <w:rPr>
                <w:rFonts w:ascii="Times New Roman" w:eastAsia="黑体"/>
                <w:snapToGrid w:val="0"/>
                <w:spacing w:val="-6"/>
                <w:kern w:val="21"/>
                <w:szCs w:val="21"/>
                <w:lang w:val="en-US" w:eastAsia="zh-CN"/>
              </w:rPr>
              <w:fldChar w:fldCharType="begin"/>
            </w:r>
            <w:r>
              <w:rPr>
                <w:rFonts w:ascii="Times New Roman" w:eastAsia="黑体"/>
                <w:snapToGrid w:val="0"/>
                <w:spacing w:val="-6"/>
                <w:kern w:val="21"/>
                <w:szCs w:val="21"/>
                <w:lang w:val="en-US" w:eastAsia="zh-CN"/>
              </w:rPr>
              <w:instrText xml:space="preserve"> = 4 \* GB3 \* MERGEFORMAT </w:instrText>
            </w:r>
            <w:r>
              <w:rPr>
                <w:rFonts w:ascii="Times New Roman" w:eastAsia="黑体"/>
                <w:snapToGrid w:val="0"/>
                <w:spacing w:val="-6"/>
                <w:kern w:val="21"/>
                <w:szCs w:val="21"/>
                <w:lang w:val="en-US" w:eastAsia="zh-CN"/>
              </w:rPr>
              <w:fldChar w:fldCharType="separate"/>
            </w:r>
            <w:r>
              <w:rPr>
                <w:rFonts w:hint="eastAsia" w:ascii="Times New Roman" w:eastAsia="黑体" w:cs="宋体"/>
                <w:kern w:val="2"/>
                <w:szCs w:val="21"/>
                <w:lang w:val="en-US" w:eastAsia="zh-CN"/>
              </w:rPr>
              <w:t>④</w:t>
            </w:r>
            <w:r>
              <w:rPr>
                <w:rFonts w:ascii="Times New Roman" w:eastAsia="黑体"/>
                <w:snapToGrid w:val="0"/>
                <w:spacing w:val="-6"/>
                <w:kern w:val="21"/>
                <w:szCs w:val="21"/>
                <w:lang w:val="en-US" w:eastAsia="zh-CN"/>
              </w:rPr>
              <w:fldChar w:fldCharType="end"/>
            </w:r>
          </w:p>
        </w:tc>
        <w:tc>
          <w:tcPr>
            <w:tcW w:w="1605" w:type="dxa"/>
            <w:noWrap w:val="0"/>
            <w:tcMar>
              <w:left w:w="28" w:type="dxa"/>
              <w:right w:w="28" w:type="dxa"/>
            </w:tcMar>
            <w:vAlign w:val="center"/>
          </w:tcPr>
          <w:p>
            <w:pPr>
              <w:pStyle w:val="106"/>
              <w:spacing w:beforeLines="0" w:afterLines="0" w:line="240" w:lineRule="auto"/>
              <w:rPr>
                <w:rFonts w:hint="eastAsia" w:ascii="Times New Roman" w:eastAsia="黑体"/>
                <w:snapToGrid w:val="0"/>
                <w:spacing w:val="-16"/>
                <w:kern w:val="21"/>
                <w:szCs w:val="21"/>
                <w:lang w:val="en-US" w:eastAsia="zh-CN"/>
              </w:rPr>
            </w:pPr>
            <w:r>
              <w:rPr>
                <w:rFonts w:ascii="Times New Roman" w:eastAsia="黑体"/>
                <w:snapToGrid w:val="0"/>
                <w:spacing w:val="-16"/>
                <w:kern w:val="21"/>
                <w:szCs w:val="21"/>
                <w:lang w:val="en-US" w:eastAsia="zh-CN"/>
              </w:rPr>
              <w:t>以新带老削减量</w:t>
            </w:r>
          </w:p>
          <w:p>
            <w:pPr>
              <w:pStyle w:val="106"/>
              <w:spacing w:beforeLines="0" w:afterLines="0" w:line="240" w:lineRule="auto"/>
              <w:rPr>
                <w:rFonts w:ascii="Times New Roman" w:eastAsia="黑体"/>
                <w:snapToGrid w:val="0"/>
                <w:spacing w:val="-16"/>
                <w:kern w:val="21"/>
                <w:szCs w:val="21"/>
                <w:lang w:val="en-US" w:eastAsia="zh-CN"/>
              </w:rPr>
            </w:pPr>
            <w:r>
              <w:rPr>
                <w:rFonts w:ascii="Times New Roman" w:eastAsia="黑体"/>
                <w:snapToGrid w:val="0"/>
                <w:spacing w:val="-16"/>
                <w:kern w:val="21"/>
                <w:szCs w:val="21"/>
                <w:lang w:val="en-US" w:eastAsia="zh-CN"/>
              </w:rPr>
              <w:t>（新建项目不填）</w:t>
            </w:r>
            <w:r>
              <w:rPr>
                <w:rFonts w:ascii="Times New Roman" w:eastAsia="黑体"/>
                <w:snapToGrid w:val="0"/>
                <w:spacing w:val="-16"/>
                <w:kern w:val="21"/>
                <w:szCs w:val="21"/>
                <w:lang w:val="en-US" w:eastAsia="zh-CN"/>
              </w:rPr>
              <w:fldChar w:fldCharType="begin"/>
            </w:r>
            <w:r>
              <w:rPr>
                <w:rFonts w:ascii="Times New Roman" w:eastAsia="黑体"/>
                <w:snapToGrid w:val="0"/>
                <w:spacing w:val="-16"/>
                <w:kern w:val="21"/>
                <w:szCs w:val="21"/>
                <w:lang w:val="en-US" w:eastAsia="zh-CN"/>
              </w:rPr>
              <w:instrText xml:space="preserve"> = 5 \* GB3 \* MERGEFORMAT </w:instrText>
            </w:r>
            <w:r>
              <w:rPr>
                <w:rFonts w:ascii="Times New Roman" w:eastAsia="黑体"/>
                <w:snapToGrid w:val="0"/>
                <w:spacing w:val="-16"/>
                <w:kern w:val="21"/>
                <w:szCs w:val="21"/>
                <w:lang w:val="en-US" w:eastAsia="zh-CN"/>
              </w:rPr>
              <w:fldChar w:fldCharType="separate"/>
            </w:r>
            <w:r>
              <w:rPr>
                <w:rFonts w:hint="eastAsia" w:ascii="Times New Roman" w:eastAsia="黑体" w:cs="宋体"/>
                <w:kern w:val="2"/>
                <w:szCs w:val="21"/>
                <w:lang w:val="en-US" w:eastAsia="zh-CN"/>
              </w:rPr>
              <w:t>⑤</w:t>
            </w:r>
            <w:r>
              <w:rPr>
                <w:rFonts w:ascii="Times New Roman" w:eastAsia="黑体"/>
                <w:snapToGrid w:val="0"/>
                <w:spacing w:val="-16"/>
                <w:kern w:val="21"/>
                <w:szCs w:val="21"/>
                <w:lang w:val="en-US" w:eastAsia="zh-CN"/>
              </w:rPr>
              <w:fldChar w:fldCharType="end"/>
            </w:r>
          </w:p>
        </w:tc>
        <w:tc>
          <w:tcPr>
            <w:tcW w:w="1845" w:type="dxa"/>
            <w:noWrap w:val="0"/>
            <w:tcMar>
              <w:left w:w="28" w:type="dxa"/>
              <w:right w:w="28" w:type="dxa"/>
            </w:tcMar>
            <w:vAlign w:val="center"/>
          </w:tcPr>
          <w:p>
            <w:pPr>
              <w:pStyle w:val="106"/>
              <w:spacing w:beforeLines="0" w:afterLines="0" w:line="240" w:lineRule="auto"/>
              <w:rPr>
                <w:rFonts w:hint="eastAsia" w:ascii="Times New Roman" w:eastAsia="黑体"/>
                <w:snapToGrid w:val="0"/>
                <w:spacing w:val="-16"/>
                <w:kern w:val="21"/>
                <w:szCs w:val="21"/>
                <w:lang w:val="en-US" w:eastAsia="zh-CN"/>
              </w:rPr>
            </w:pPr>
            <w:r>
              <w:rPr>
                <w:rFonts w:ascii="Times New Roman" w:eastAsia="黑体"/>
                <w:snapToGrid w:val="0"/>
                <w:spacing w:val="-16"/>
                <w:kern w:val="21"/>
                <w:szCs w:val="21"/>
                <w:lang w:val="en-US" w:eastAsia="zh-CN"/>
              </w:rPr>
              <w:t>本项目建成后</w:t>
            </w:r>
          </w:p>
          <w:p>
            <w:pPr>
              <w:pStyle w:val="106"/>
              <w:spacing w:beforeLines="0" w:afterLines="0" w:line="240" w:lineRule="auto"/>
              <w:rPr>
                <w:rFonts w:ascii="Times New Roman" w:eastAsia="黑体"/>
                <w:snapToGrid w:val="0"/>
                <w:spacing w:val="-16"/>
                <w:kern w:val="21"/>
                <w:szCs w:val="21"/>
                <w:lang w:val="en-US" w:eastAsia="zh-CN"/>
              </w:rPr>
            </w:pPr>
            <w:r>
              <w:rPr>
                <w:rFonts w:hint="eastAsia" w:ascii="Times New Roman" w:eastAsia="黑体"/>
                <w:snapToGrid w:val="0"/>
                <w:spacing w:val="-16"/>
                <w:kern w:val="21"/>
                <w:szCs w:val="21"/>
                <w:lang w:val="en-US" w:eastAsia="zh-CN"/>
              </w:rPr>
              <w:t>全厂</w:t>
            </w:r>
            <w:r>
              <w:rPr>
                <w:rFonts w:ascii="Times New Roman" w:eastAsia="黑体"/>
                <w:snapToGrid w:val="0"/>
                <w:spacing w:val="-16"/>
                <w:kern w:val="21"/>
                <w:szCs w:val="21"/>
                <w:lang w:val="en-US" w:eastAsia="zh-CN"/>
              </w:rPr>
              <w:t>排放量（固</w:t>
            </w:r>
            <w:r>
              <w:rPr>
                <w:rFonts w:hint="eastAsia" w:ascii="Times New Roman" w:eastAsia="黑体"/>
                <w:snapToGrid w:val="0"/>
                <w:spacing w:val="-16"/>
                <w:kern w:val="21"/>
                <w:szCs w:val="21"/>
                <w:lang w:val="en-US" w:eastAsia="zh-CN"/>
              </w:rPr>
              <w:t>体</w:t>
            </w:r>
            <w:r>
              <w:rPr>
                <w:rFonts w:ascii="Times New Roman" w:eastAsia="黑体"/>
                <w:snapToGrid w:val="0"/>
                <w:spacing w:val="-16"/>
                <w:kern w:val="21"/>
                <w:szCs w:val="21"/>
                <w:lang w:val="en-US" w:eastAsia="zh-CN"/>
              </w:rPr>
              <w:t>废</w:t>
            </w:r>
            <w:r>
              <w:rPr>
                <w:rFonts w:hint="eastAsia" w:ascii="Times New Roman" w:eastAsia="黑体"/>
                <w:snapToGrid w:val="0"/>
                <w:spacing w:val="-16"/>
                <w:kern w:val="21"/>
                <w:szCs w:val="21"/>
                <w:lang w:val="en-US" w:eastAsia="zh-CN"/>
              </w:rPr>
              <w:t>物</w:t>
            </w:r>
            <w:r>
              <w:rPr>
                <w:rFonts w:ascii="Times New Roman" w:eastAsia="黑体"/>
                <w:snapToGrid w:val="0"/>
                <w:spacing w:val="-16"/>
                <w:kern w:val="21"/>
                <w:szCs w:val="21"/>
                <w:lang w:val="en-US" w:eastAsia="zh-CN"/>
              </w:rPr>
              <w:t>产生量）</w:t>
            </w:r>
            <w:r>
              <w:rPr>
                <w:rFonts w:ascii="Times New Roman" w:eastAsia="黑体"/>
                <w:snapToGrid w:val="0"/>
                <w:spacing w:val="-16"/>
                <w:kern w:val="21"/>
                <w:szCs w:val="21"/>
                <w:lang w:val="en-US" w:eastAsia="zh-CN"/>
              </w:rPr>
              <w:fldChar w:fldCharType="begin"/>
            </w:r>
            <w:r>
              <w:rPr>
                <w:rFonts w:ascii="Times New Roman" w:eastAsia="黑体"/>
                <w:snapToGrid w:val="0"/>
                <w:spacing w:val="-16"/>
                <w:kern w:val="21"/>
                <w:szCs w:val="21"/>
                <w:lang w:val="en-US" w:eastAsia="zh-CN"/>
              </w:rPr>
              <w:instrText xml:space="preserve"> = 6 \* GB3 \* MERGEFORMAT </w:instrText>
            </w:r>
            <w:r>
              <w:rPr>
                <w:rFonts w:ascii="Times New Roman" w:eastAsia="黑体"/>
                <w:snapToGrid w:val="0"/>
                <w:spacing w:val="-16"/>
                <w:kern w:val="21"/>
                <w:szCs w:val="21"/>
                <w:lang w:val="en-US" w:eastAsia="zh-CN"/>
              </w:rPr>
              <w:fldChar w:fldCharType="separate"/>
            </w:r>
            <w:r>
              <w:rPr>
                <w:rFonts w:hint="eastAsia" w:ascii="Times New Roman" w:eastAsia="黑体" w:cs="宋体"/>
                <w:kern w:val="2"/>
                <w:szCs w:val="21"/>
                <w:lang w:val="en-US" w:eastAsia="zh-CN"/>
              </w:rPr>
              <w:t>⑥</w:t>
            </w:r>
            <w:r>
              <w:rPr>
                <w:rFonts w:ascii="Times New Roman" w:eastAsia="黑体"/>
                <w:snapToGrid w:val="0"/>
                <w:spacing w:val="-16"/>
                <w:kern w:val="21"/>
                <w:szCs w:val="21"/>
                <w:lang w:val="en-US" w:eastAsia="zh-CN"/>
              </w:rPr>
              <w:fldChar w:fldCharType="end"/>
            </w:r>
          </w:p>
        </w:tc>
        <w:tc>
          <w:tcPr>
            <w:tcW w:w="1373" w:type="dxa"/>
            <w:noWrap w:val="0"/>
            <w:tcMar>
              <w:left w:w="28" w:type="dxa"/>
              <w:right w:w="28" w:type="dxa"/>
            </w:tcMar>
            <w:vAlign w:val="center"/>
          </w:tcPr>
          <w:p>
            <w:pPr>
              <w:pStyle w:val="106"/>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t>变化量</w:t>
            </w:r>
          </w:p>
          <w:p>
            <w:pPr>
              <w:pStyle w:val="106"/>
              <w:spacing w:beforeLines="0" w:afterLines="0" w:line="240" w:lineRule="auto"/>
              <w:rPr>
                <w:rFonts w:ascii="Times New Roman" w:eastAsia="黑体"/>
                <w:snapToGrid w:val="0"/>
                <w:spacing w:val="-6"/>
                <w:kern w:val="21"/>
                <w:szCs w:val="21"/>
                <w:lang w:val="en-US" w:eastAsia="zh-CN"/>
              </w:rPr>
            </w:pPr>
            <w:r>
              <w:rPr>
                <w:rFonts w:ascii="Times New Roman" w:eastAsia="黑体"/>
                <w:snapToGrid w:val="0"/>
                <w:spacing w:val="-6"/>
                <w:kern w:val="21"/>
                <w:szCs w:val="21"/>
                <w:lang w:val="en-US" w:eastAsia="zh-CN"/>
              </w:rPr>
              <w:fldChar w:fldCharType="begin"/>
            </w:r>
            <w:r>
              <w:rPr>
                <w:rFonts w:ascii="Times New Roman" w:eastAsia="黑体"/>
                <w:snapToGrid w:val="0"/>
                <w:spacing w:val="-6"/>
                <w:kern w:val="21"/>
                <w:szCs w:val="21"/>
                <w:lang w:val="en-US" w:eastAsia="zh-CN"/>
              </w:rPr>
              <w:instrText xml:space="preserve"> = 7 \* GB3 \* MERGEFORMAT </w:instrText>
            </w:r>
            <w:r>
              <w:rPr>
                <w:rFonts w:ascii="Times New Roman" w:eastAsia="黑体"/>
                <w:snapToGrid w:val="0"/>
                <w:spacing w:val="-6"/>
                <w:kern w:val="21"/>
                <w:szCs w:val="21"/>
                <w:lang w:val="en-US" w:eastAsia="zh-CN"/>
              </w:rPr>
              <w:fldChar w:fldCharType="separate"/>
            </w:r>
            <w:r>
              <w:rPr>
                <w:rFonts w:hint="eastAsia" w:ascii="Times New Roman" w:eastAsia="黑体" w:cs="宋体"/>
                <w:kern w:val="2"/>
                <w:szCs w:val="21"/>
                <w:lang w:val="en-US" w:eastAsia="zh-CN"/>
              </w:rPr>
              <w:t>⑦</w:t>
            </w:r>
            <w:r>
              <w:rPr>
                <w:rFonts w:ascii="Times New Roman" w:eastAsia="黑体"/>
                <w:snapToGrid w:val="0"/>
                <w:spacing w:val="-6"/>
                <w:kern w:val="21"/>
                <w:szCs w:val="21"/>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pPr>
              <w:pStyle w:val="106"/>
              <w:spacing w:beforeLines="0" w:afterLines="0" w:line="240" w:lineRule="auto"/>
              <w:rPr>
                <w:rFonts w:hint="eastAsia" w:ascii="Times New Roman" w:cs="宋体"/>
                <w:snapToGrid w:val="0"/>
                <w:kern w:val="21"/>
                <w:szCs w:val="21"/>
                <w:lang w:val="en-US" w:eastAsia="zh-CN"/>
              </w:rPr>
            </w:pPr>
            <w:r>
              <w:rPr>
                <w:rFonts w:hint="eastAsia" w:ascii="Times New Roman" w:cs="宋体"/>
                <w:snapToGrid w:val="0"/>
                <w:kern w:val="21"/>
                <w:szCs w:val="21"/>
                <w:lang w:val="en-US" w:eastAsia="zh-CN"/>
              </w:rPr>
              <w:t>废气</w:t>
            </w:r>
          </w:p>
        </w:tc>
        <w:tc>
          <w:tcPr>
            <w:tcW w:w="1287" w:type="dxa"/>
            <w:noWrap w:val="0"/>
            <w:vAlign w:val="center"/>
          </w:tcPr>
          <w:p>
            <w:pPr>
              <w:pStyle w:val="106"/>
              <w:spacing w:beforeLines="0" w:afterLines="0" w:line="240" w:lineRule="auto"/>
              <w:rPr>
                <w:rFonts w:ascii="Times New Roman" w:cs="宋体"/>
                <w:snapToGrid w:val="0"/>
                <w:kern w:val="21"/>
                <w:szCs w:val="21"/>
                <w:lang w:val="en-US" w:eastAsia="zh-CN"/>
              </w:rPr>
            </w:pPr>
            <w:r>
              <w:rPr>
                <w:rFonts w:hint="eastAsia" w:ascii="Times New Roman" w:cs="宋体"/>
                <w:snapToGrid w:val="0"/>
                <w:kern w:val="21"/>
                <w:szCs w:val="21"/>
                <w:lang w:val="en-US" w:eastAsia="zh-CN"/>
              </w:rPr>
              <w:t>颗粒物</w:t>
            </w:r>
          </w:p>
        </w:tc>
        <w:tc>
          <w:tcPr>
            <w:tcW w:w="1575" w:type="dxa"/>
            <w:noWrap w:val="0"/>
            <w:vAlign w:val="center"/>
          </w:tcPr>
          <w:p>
            <w:pPr>
              <w:jc w:val="center"/>
            </w:pPr>
            <w:r>
              <w:rPr>
                <w:rFonts w:hint="eastAsia" w:cs="宋体"/>
                <w:snapToGrid w:val="0"/>
                <w:kern w:val="21"/>
                <w:szCs w:val="21"/>
              </w:rPr>
              <w:t>0</w:t>
            </w:r>
          </w:p>
        </w:tc>
        <w:tc>
          <w:tcPr>
            <w:tcW w:w="1365" w:type="dxa"/>
            <w:noWrap w:val="0"/>
            <w:vAlign w:val="center"/>
          </w:tcPr>
          <w:p>
            <w:pPr>
              <w:jc w:val="center"/>
            </w:pPr>
            <w:r>
              <w:rPr>
                <w:rFonts w:hint="eastAsia" w:cs="宋体"/>
                <w:snapToGrid w:val="0"/>
                <w:kern w:val="21"/>
                <w:szCs w:val="21"/>
              </w:rPr>
              <w:t>0</w:t>
            </w:r>
          </w:p>
        </w:tc>
        <w:tc>
          <w:tcPr>
            <w:tcW w:w="1490" w:type="dxa"/>
            <w:noWrap w:val="0"/>
            <w:vAlign w:val="center"/>
          </w:tcPr>
          <w:p>
            <w:pPr>
              <w:jc w:val="center"/>
            </w:pPr>
            <w:r>
              <w:rPr>
                <w:rFonts w:hint="eastAsia" w:cs="宋体"/>
                <w:snapToGrid w:val="0"/>
                <w:kern w:val="21"/>
                <w:szCs w:val="21"/>
              </w:rPr>
              <w:t>0</w:t>
            </w:r>
          </w:p>
        </w:tc>
        <w:tc>
          <w:tcPr>
            <w:tcW w:w="1660" w:type="dxa"/>
            <w:noWrap w:val="0"/>
            <w:vAlign w:val="center"/>
          </w:tcPr>
          <w:p>
            <w:pPr>
              <w:pStyle w:val="106"/>
              <w:spacing w:beforeLines="0" w:afterLines="0" w:line="240" w:lineRule="auto"/>
              <w:rPr>
                <w:rFonts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0.05t/a</w:t>
            </w:r>
          </w:p>
        </w:tc>
        <w:tc>
          <w:tcPr>
            <w:tcW w:w="1605" w:type="dxa"/>
            <w:noWrap w:val="0"/>
            <w:vAlign w:val="center"/>
          </w:tcPr>
          <w:p>
            <w:pPr>
              <w:jc w:val="center"/>
              <w:rPr>
                <w:color w:val="auto"/>
              </w:rPr>
            </w:pPr>
            <w:r>
              <w:rPr>
                <w:rFonts w:hint="eastAsia" w:cs="宋体"/>
                <w:snapToGrid w:val="0"/>
                <w:color w:val="auto"/>
                <w:kern w:val="21"/>
                <w:szCs w:val="21"/>
              </w:rPr>
              <w:t>0</w:t>
            </w:r>
          </w:p>
        </w:tc>
        <w:tc>
          <w:tcPr>
            <w:tcW w:w="1845" w:type="dxa"/>
            <w:noWrap w:val="0"/>
            <w:vAlign w:val="center"/>
          </w:tcPr>
          <w:p>
            <w:pPr>
              <w:pStyle w:val="106"/>
              <w:spacing w:beforeLines="0" w:afterLines="0" w:line="240" w:lineRule="auto"/>
              <w:rPr>
                <w:rFonts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0.05t/a</w:t>
            </w:r>
          </w:p>
        </w:tc>
        <w:tc>
          <w:tcPr>
            <w:tcW w:w="1373" w:type="dxa"/>
            <w:noWrap w:val="0"/>
            <w:vAlign w:val="center"/>
          </w:tcPr>
          <w:p>
            <w:pPr>
              <w:pStyle w:val="106"/>
              <w:spacing w:beforeLines="0" w:afterLines="0" w:line="240" w:lineRule="auto"/>
              <w:rPr>
                <w:rFonts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588" w:type="dxa"/>
            <w:vMerge w:val="restart"/>
            <w:noWrap w:val="0"/>
            <w:vAlign w:val="center"/>
          </w:tcPr>
          <w:p>
            <w:pPr>
              <w:pStyle w:val="106"/>
              <w:spacing w:beforeLines="0" w:afterLines="0" w:line="240" w:lineRule="auto"/>
              <w:rPr>
                <w:rFonts w:hint="eastAsia" w:ascii="Times New Roman" w:cs="宋体"/>
                <w:snapToGrid w:val="0"/>
                <w:kern w:val="21"/>
                <w:szCs w:val="21"/>
                <w:lang w:val="en-US" w:eastAsia="zh-CN"/>
              </w:rPr>
            </w:pPr>
            <w:r>
              <w:rPr>
                <w:rFonts w:hint="eastAsia" w:ascii="Times New Roman" w:cs="宋体"/>
                <w:snapToGrid w:val="0"/>
                <w:kern w:val="21"/>
                <w:szCs w:val="21"/>
                <w:lang w:val="en-US" w:eastAsia="zh-CN"/>
              </w:rPr>
              <w:t>废水</w:t>
            </w:r>
          </w:p>
        </w:tc>
        <w:tc>
          <w:tcPr>
            <w:tcW w:w="1287" w:type="dxa"/>
            <w:noWrap w:val="0"/>
            <w:vAlign w:val="center"/>
          </w:tcPr>
          <w:p>
            <w:pPr>
              <w:pStyle w:val="106"/>
              <w:spacing w:beforeLines="0" w:afterLines="0" w:line="240" w:lineRule="auto"/>
              <w:rPr>
                <w:rFonts w:ascii="Times New Roman" w:cs="宋体"/>
                <w:snapToGrid w:val="0"/>
                <w:kern w:val="21"/>
                <w:szCs w:val="21"/>
                <w:lang w:val="en-US" w:eastAsia="zh-CN"/>
              </w:rPr>
            </w:pPr>
            <w:r>
              <w:rPr>
                <w:rFonts w:hint="eastAsia" w:ascii="Times New Roman" w:cs="宋体"/>
                <w:snapToGrid w:val="0"/>
                <w:kern w:val="21"/>
                <w:szCs w:val="21"/>
                <w:lang w:val="en-US" w:eastAsia="zh-CN"/>
              </w:rPr>
              <w:t>水量</w:t>
            </w:r>
          </w:p>
        </w:tc>
        <w:tc>
          <w:tcPr>
            <w:tcW w:w="1575" w:type="dxa"/>
            <w:noWrap w:val="0"/>
            <w:vAlign w:val="center"/>
          </w:tcPr>
          <w:p>
            <w:pPr>
              <w:jc w:val="center"/>
            </w:pPr>
            <w:r>
              <w:rPr>
                <w:rFonts w:hint="eastAsia" w:ascii="Times New Roman" w:hAnsi="Times New Roman" w:eastAsia="宋体" w:cs="Times New Roman"/>
                <w:color w:val="auto"/>
                <w:lang w:val="en-US" w:eastAsia="zh-CN"/>
              </w:rPr>
              <w:t>0</w:t>
            </w:r>
          </w:p>
        </w:tc>
        <w:tc>
          <w:tcPr>
            <w:tcW w:w="1365" w:type="dxa"/>
            <w:noWrap w:val="0"/>
            <w:vAlign w:val="center"/>
          </w:tcPr>
          <w:p>
            <w:pPr>
              <w:jc w:val="center"/>
            </w:pPr>
            <w:r>
              <w:rPr>
                <w:rFonts w:hint="eastAsia" w:cs="宋体"/>
                <w:snapToGrid w:val="0"/>
                <w:kern w:val="21"/>
                <w:szCs w:val="21"/>
              </w:rPr>
              <w:t>0</w:t>
            </w:r>
          </w:p>
        </w:tc>
        <w:tc>
          <w:tcPr>
            <w:tcW w:w="1490" w:type="dxa"/>
            <w:noWrap w:val="0"/>
            <w:vAlign w:val="center"/>
          </w:tcPr>
          <w:p>
            <w:pPr>
              <w:jc w:val="center"/>
              <w:rPr>
                <w:color w:val="auto"/>
              </w:rPr>
            </w:pPr>
            <w:r>
              <w:rPr>
                <w:rFonts w:hint="eastAsia" w:cs="宋体"/>
                <w:snapToGrid w:val="0"/>
                <w:color w:val="auto"/>
                <w:kern w:val="21"/>
                <w:szCs w:val="21"/>
              </w:rPr>
              <w:t>0</w:t>
            </w:r>
          </w:p>
        </w:tc>
        <w:tc>
          <w:tcPr>
            <w:tcW w:w="1660" w:type="dxa"/>
            <w:noWrap w:val="0"/>
            <w:vAlign w:val="center"/>
          </w:tcPr>
          <w:p>
            <w:pPr>
              <w:pStyle w:val="106"/>
              <w:spacing w:beforeLines="0" w:afterLines="0" w:line="240" w:lineRule="auto"/>
              <w:rPr>
                <w:rFonts w:hint="default"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13512.3t/a</w:t>
            </w:r>
          </w:p>
        </w:tc>
        <w:tc>
          <w:tcPr>
            <w:tcW w:w="1605" w:type="dxa"/>
            <w:noWrap w:val="0"/>
            <w:vAlign w:val="center"/>
          </w:tcPr>
          <w:p>
            <w:pPr>
              <w:jc w:val="center"/>
              <w:rPr>
                <w:color w:val="auto"/>
              </w:rPr>
            </w:pPr>
            <w:r>
              <w:rPr>
                <w:rFonts w:hint="eastAsia" w:cs="宋体"/>
                <w:snapToGrid w:val="0"/>
                <w:color w:val="auto"/>
                <w:kern w:val="21"/>
                <w:szCs w:val="21"/>
              </w:rPr>
              <w:t>0</w:t>
            </w:r>
          </w:p>
        </w:tc>
        <w:tc>
          <w:tcPr>
            <w:tcW w:w="1845" w:type="dxa"/>
            <w:noWrap w:val="0"/>
            <w:vAlign w:val="center"/>
          </w:tcPr>
          <w:p>
            <w:pPr>
              <w:pStyle w:val="106"/>
              <w:spacing w:beforeLines="0" w:afterLines="0" w:line="240" w:lineRule="auto"/>
              <w:rPr>
                <w:rFonts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13512.3t/a</w:t>
            </w:r>
          </w:p>
        </w:tc>
        <w:tc>
          <w:tcPr>
            <w:tcW w:w="1373" w:type="dxa"/>
            <w:noWrap w:val="0"/>
            <w:vAlign w:val="center"/>
          </w:tcPr>
          <w:p>
            <w:pPr>
              <w:pStyle w:val="106"/>
              <w:spacing w:beforeLines="0" w:afterLines="0" w:line="240" w:lineRule="auto"/>
              <w:rPr>
                <w:rFonts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+13512.3m</w:t>
            </w:r>
            <w:r>
              <w:rPr>
                <w:rFonts w:hint="eastAsia" w:ascii="Times New Roman" w:cs="宋体"/>
                <w:snapToGrid w:val="0"/>
                <w:color w:val="auto"/>
                <w:kern w:val="21"/>
                <w:szCs w:val="21"/>
                <w:vertAlign w:val="superscript"/>
                <w:lang w:val="en-US" w:eastAsia="zh-CN"/>
              </w:rPr>
              <w:t>3</w:t>
            </w:r>
            <w:r>
              <w:rPr>
                <w:rFonts w:hint="eastAsia" w:ascii="Times New Roman" w:cs="宋体"/>
                <w:snapToGrid w:val="0"/>
                <w:color w:val="auto"/>
                <w:kern w:val="21"/>
                <w:szCs w:val="21"/>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588" w:type="dxa"/>
            <w:vMerge w:val="continue"/>
            <w:noWrap w:val="0"/>
            <w:vAlign w:val="center"/>
          </w:tcPr>
          <w:p>
            <w:pPr>
              <w:pStyle w:val="106"/>
              <w:spacing w:beforeLines="0" w:afterLines="0" w:line="240" w:lineRule="auto"/>
              <w:rPr>
                <w:rFonts w:hint="eastAsia" w:ascii="Times New Roman" w:cs="宋体"/>
                <w:snapToGrid w:val="0"/>
                <w:kern w:val="21"/>
                <w:szCs w:val="21"/>
                <w:lang w:val="en-US" w:eastAsia="zh-CN"/>
              </w:rPr>
            </w:pPr>
          </w:p>
        </w:tc>
        <w:tc>
          <w:tcPr>
            <w:tcW w:w="1287" w:type="dxa"/>
            <w:noWrap w:val="0"/>
            <w:vAlign w:val="center"/>
          </w:tcPr>
          <w:p>
            <w:pPr>
              <w:pStyle w:val="106"/>
              <w:spacing w:beforeLines="0" w:afterLines="0" w:line="240" w:lineRule="auto"/>
              <w:rPr>
                <w:rFonts w:hint="eastAsia" w:ascii="Times New Roman" w:cs="宋体"/>
                <w:snapToGrid w:val="0"/>
                <w:kern w:val="21"/>
                <w:szCs w:val="21"/>
                <w:lang w:val="en-US" w:eastAsia="zh-CN"/>
              </w:rPr>
            </w:pPr>
            <w:r>
              <w:rPr>
                <w:rFonts w:hint="eastAsia" w:ascii="Times New Roman" w:cs="宋体"/>
                <w:snapToGrid w:val="0"/>
                <w:kern w:val="21"/>
                <w:szCs w:val="21"/>
                <w:lang w:val="en-US" w:eastAsia="zh-CN"/>
              </w:rPr>
              <w:t>COD</w:t>
            </w:r>
          </w:p>
        </w:tc>
        <w:tc>
          <w:tcPr>
            <w:tcW w:w="1575" w:type="dxa"/>
            <w:noWrap w:val="0"/>
            <w:vAlign w:val="center"/>
          </w:tcPr>
          <w:p>
            <w:pPr>
              <w:jc w:val="center"/>
              <w:rPr>
                <w:rFonts w:hint="eastAsia" w:eastAsia="宋体" w:cs="宋体"/>
                <w:snapToGrid w:val="0"/>
                <w:kern w:val="21"/>
                <w:szCs w:val="21"/>
                <w:lang w:eastAsia="zh-CN"/>
              </w:rPr>
            </w:pPr>
            <w:r>
              <w:rPr>
                <w:rFonts w:hint="eastAsia" w:cs="宋体"/>
                <w:snapToGrid w:val="0"/>
                <w:kern w:val="21"/>
                <w:szCs w:val="21"/>
                <w:lang w:val="en-US" w:eastAsia="zh-CN"/>
              </w:rPr>
              <w:t>0</w:t>
            </w:r>
          </w:p>
        </w:tc>
        <w:tc>
          <w:tcPr>
            <w:tcW w:w="1365" w:type="dxa"/>
            <w:noWrap w:val="0"/>
            <w:vAlign w:val="center"/>
          </w:tcPr>
          <w:p>
            <w:pPr>
              <w:jc w:val="center"/>
              <w:rPr>
                <w:rFonts w:hint="eastAsia" w:cs="宋体"/>
                <w:snapToGrid w:val="0"/>
                <w:kern w:val="21"/>
                <w:szCs w:val="21"/>
              </w:rPr>
            </w:pPr>
            <w:r>
              <w:rPr>
                <w:rFonts w:hint="eastAsia" w:cs="宋体"/>
                <w:snapToGrid w:val="0"/>
                <w:kern w:val="21"/>
                <w:szCs w:val="21"/>
              </w:rPr>
              <w:t>0</w:t>
            </w:r>
          </w:p>
        </w:tc>
        <w:tc>
          <w:tcPr>
            <w:tcW w:w="1490" w:type="dxa"/>
            <w:noWrap w:val="0"/>
            <w:vAlign w:val="center"/>
          </w:tcPr>
          <w:p>
            <w:pPr>
              <w:jc w:val="center"/>
              <w:rPr>
                <w:rFonts w:hint="eastAsia" w:cs="宋体"/>
                <w:snapToGrid w:val="0"/>
                <w:kern w:val="21"/>
                <w:szCs w:val="21"/>
              </w:rPr>
            </w:pPr>
            <w:r>
              <w:rPr>
                <w:rFonts w:hint="eastAsia" w:cs="宋体"/>
                <w:snapToGrid w:val="0"/>
                <w:kern w:val="21"/>
                <w:szCs w:val="21"/>
              </w:rPr>
              <w:t>0</w:t>
            </w:r>
          </w:p>
        </w:tc>
        <w:tc>
          <w:tcPr>
            <w:tcW w:w="1660" w:type="dxa"/>
            <w:noWrap w:val="0"/>
            <w:vAlign w:val="center"/>
          </w:tcPr>
          <w:p>
            <w:pPr>
              <w:pStyle w:val="106"/>
              <w:spacing w:beforeLines="0" w:afterLines="0" w:line="240" w:lineRule="auto"/>
              <w:rPr>
                <w:rFonts w:hint="default"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1.143t/a</w:t>
            </w:r>
          </w:p>
        </w:tc>
        <w:tc>
          <w:tcPr>
            <w:tcW w:w="1605" w:type="dxa"/>
            <w:noWrap w:val="0"/>
            <w:vAlign w:val="center"/>
          </w:tcPr>
          <w:p>
            <w:pPr>
              <w:jc w:val="center"/>
              <w:rPr>
                <w:rFonts w:hint="eastAsia" w:cs="宋体"/>
                <w:snapToGrid w:val="0"/>
                <w:color w:val="auto"/>
                <w:kern w:val="21"/>
                <w:szCs w:val="21"/>
              </w:rPr>
            </w:pPr>
            <w:r>
              <w:rPr>
                <w:rFonts w:hint="eastAsia" w:cs="宋体"/>
                <w:snapToGrid w:val="0"/>
                <w:color w:val="auto"/>
                <w:kern w:val="21"/>
                <w:szCs w:val="21"/>
              </w:rPr>
              <w:t>0</w:t>
            </w:r>
          </w:p>
        </w:tc>
        <w:tc>
          <w:tcPr>
            <w:tcW w:w="1845" w:type="dxa"/>
            <w:noWrap w:val="0"/>
            <w:vAlign w:val="center"/>
          </w:tcPr>
          <w:p>
            <w:pPr>
              <w:pStyle w:val="106"/>
              <w:spacing w:beforeLines="0" w:afterLines="0" w:line="240" w:lineRule="auto"/>
              <w:rPr>
                <w:rFonts w:hint="eastAsia"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1.143t/a</w:t>
            </w:r>
          </w:p>
        </w:tc>
        <w:tc>
          <w:tcPr>
            <w:tcW w:w="1373" w:type="dxa"/>
            <w:noWrap w:val="0"/>
            <w:vAlign w:val="center"/>
          </w:tcPr>
          <w:p>
            <w:pPr>
              <w:pStyle w:val="106"/>
              <w:spacing w:beforeLines="0" w:afterLines="0" w:line="240" w:lineRule="auto"/>
              <w:rPr>
                <w:rFonts w:hint="eastAsia"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+1.143t/a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1588" w:type="dxa"/>
            <w:vMerge w:val="continue"/>
            <w:noWrap w:val="0"/>
            <w:vAlign w:val="center"/>
          </w:tcPr>
          <w:p>
            <w:pPr>
              <w:pStyle w:val="106"/>
              <w:spacing w:beforeLines="0" w:afterLines="0" w:line="240" w:lineRule="auto"/>
              <w:rPr>
                <w:rFonts w:hint="eastAsia" w:ascii="Times New Roman" w:cs="宋体"/>
                <w:snapToGrid w:val="0"/>
                <w:kern w:val="21"/>
                <w:szCs w:val="21"/>
                <w:lang w:val="en-US" w:eastAsia="zh-CN"/>
              </w:rPr>
            </w:pPr>
          </w:p>
        </w:tc>
        <w:tc>
          <w:tcPr>
            <w:tcW w:w="1287" w:type="dxa"/>
            <w:noWrap w:val="0"/>
            <w:vAlign w:val="center"/>
          </w:tcPr>
          <w:p>
            <w:pPr>
              <w:pStyle w:val="106"/>
              <w:spacing w:beforeLines="0" w:afterLines="0" w:line="240" w:lineRule="auto"/>
              <w:rPr>
                <w:rFonts w:hint="eastAsia" w:ascii="Times New Roman" w:cs="宋体"/>
                <w:snapToGrid w:val="0"/>
                <w:kern w:val="21"/>
                <w:szCs w:val="21"/>
                <w:lang w:val="en-US" w:eastAsia="zh-CN"/>
              </w:rPr>
            </w:pPr>
            <w:r>
              <w:rPr>
                <w:rFonts w:hint="eastAsia" w:ascii="Times New Roman" w:cs="宋体"/>
                <w:snapToGrid w:val="0"/>
                <w:kern w:val="21"/>
                <w:szCs w:val="21"/>
                <w:lang w:val="en-US" w:eastAsia="zh-CN"/>
              </w:rPr>
              <w:t>氨氮</w:t>
            </w:r>
          </w:p>
        </w:tc>
        <w:tc>
          <w:tcPr>
            <w:tcW w:w="1575" w:type="dxa"/>
            <w:noWrap w:val="0"/>
            <w:vAlign w:val="center"/>
          </w:tcPr>
          <w:p>
            <w:pPr>
              <w:jc w:val="center"/>
              <w:rPr>
                <w:rFonts w:hint="eastAsia" w:eastAsia="宋体" w:cs="宋体"/>
                <w:snapToGrid w:val="0"/>
                <w:kern w:val="21"/>
                <w:szCs w:val="21"/>
                <w:lang w:eastAsia="zh-CN"/>
              </w:rPr>
            </w:pPr>
            <w:r>
              <w:rPr>
                <w:rFonts w:hint="eastAsia" w:cs="宋体"/>
                <w:snapToGrid w:val="0"/>
                <w:kern w:val="21"/>
                <w:szCs w:val="21"/>
                <w:lang w:val="en-US" w:eastAsia="zh-CN"/>
              </w:rPr>
              <w:t>0</w:t>
            </w:r>
          </w:p>
        </w:tc>
        <w:tc>
          <w:tcPr>
            <w:tcW w:w="1365" w:type="dxa"/>
            <w:noWrap w:val="0"/>
            <w:vAlign w:val="center"/>
          </w:tcPr>
          <w:p>
            <w:pPr>
              <w:jc w:val="center"/>
              <w:rPr>
                <w:rFonts w:hint="eastAsia" w:cs="宋体"/>
                <w:snapToGrid w:val="0"/>
                <w:kern w:val="21"/>
                <w:szCs w:val="21"/>
              </w:rPr>
            </w:pPr>
            <w:r>
              <w:rPr>
                <w:rFonts w:hint="eastAsia" w:cs="宋体"/>
                <w:snapToGrid w:val="0"/>
                <w:kern w:val="21"/>
                <w:szCs w:val="21"/>
              </w:rPr>
              <w:t>0</w:t>
            </w:r>
          </w:p>
        </w:tc>
        <w:tc>
          <w:tcPr>
            <w:tcW w:w="1490" w:type="dxa"/>
            <w:noWrap w:val="0"/>
            <w:vAlign w:val="center"/>
          </w:tcPr>
          <w:p>
            <w:pPr>
              <w:jc w:val="center"/>
              <w:rPr>
                <w:rFonts w:hint="eastAsia" w:cs="宋体"/>
                <w:snapToGrid w:val="0"/>
                <w:kern w:val="21"/>
                <w:szCs w:val="21"/>
              </w:rPr>
            </w:pPr>
            <w:r>
              <w:rPr>
                <w:rFonts w:hint="eastAsia" w:cs="宋体"/>
                <w:snapToGrid w:val="0"/>
                <w:kern w:val="21"/>
                <w:szCs w:val="21"/>
              </w:rPr>
              <w:t>0</w:t>
            </w:r>
          </w:p>
        </w:tc>
        <w:tc>
          <w:tcPr>
            <w:tcW w:w="1660" w:type="dxa"/>
            <w:noWrap w:val="0"/>
            <w:vAlign w:val="center"/>
          </w:tcPr>
          <w:p>
            <w:pPr>
              <w:pStyle w:val="106"/>
              <w:spacing w:beforeLines="0" w:afterLines="0" w:line="240" w:lineRule="auto"/>
              <w:rPr>
                <w:rFonts w:hint="default"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1.143t/a</w:t>
            </w:r>
          </w:p>
        </w:tc>
        <w:tc>
          <w:tcPr>
            <w:tcW w:w="1605" w:type="dxa"/>
            <w:noWrap w:val="0"/>
            <w:vAlign w:val="center"/>
          </w:tcPr>
          <w:p>
            <w:pPr>
              <w:jc w:val="center"/>
              <w:rPr>
                <w:rFonts w:hint="eastAsia" w:cs="宋体"/>
                <w:snapToGrid w:val="0"/>
                <w:color w:val="auto"/>
                <w:kern w:val="21"/>
                <w:szCs w:val="21"/>
              </w:rPr>
            </w:pPr>
            <w:r>
              <w:rPr>
                <w:rFonts w:hint="eastAsia" w:cs="宋体"/>
                <w:snapToGrid w:val="0"/>
                <w:color w:val="auto"/>
                <w:kern w:val="21"/>
                <w:szCs w:val="21"/>
              </w:rPr>
              <w:t>0</w:t>
            </w:r>
          </w:p>
        </w:tc>
        <w:tc>
          <w:tcPr>
            <w:tcW w:w="1845" w:type="dxa"/>
            <w:noWrap w:val="0"/>
            <w:vAlign w:val="center"/>
          </w:tcPr>
          <w:p>
            <w:pPr>
              <w:pStyle w:val="106"/>
              <w:spacing w:beforeLines="0" w:afterLines="0" w:line="240" w:lineRule="auto"/>
              <w:rPr>
                <w:rFonts w:hint="eastAsia"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0.204t/a</w:t>
            </w:r>
          </w:p>
        </w:tc>
        <w:tc>
          <w:tcPr>
            <w:tcW w:w="1373" w:type="dxa"/>
            <w:noWrap w:val="0"/>
            <w:vAlign w:val="center"/>
          </w:tcPr>
          <w:p>
            <w:pPr>
              <w:pStyle w:val="106"/>
              <w:spacing w:beforeLines="0" w:afterLines="0" w:line="240" w:lineRule="auto"/>
              <w:rPr>
                <w:rFonts w:hint="eastAsia"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+0.204t/a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pPr>
              <w:pStyle w:val="106"/>
              <w:spacing w:beforeLines="0" w:afterLines="0" w:line="240" w:lineRule="auto"/>
              <w:rPr>
                <w:rFonts w:ascii="Times New Roman" w:cs="宋体"/>
                <w:snapToGrid w:val="0"/>
                <w:kern w:val="21"/>
                <w:szCs w:val="21"/>
                <w:lang w:val="en-US" w:eastAsia="zh-CN"/>
              </w:rPr>
            </w:pPr>
            <w:r>
              <w:rPr>
                <w:rFonts w:hint="eastAsia" w:ascii="Times New Roman" w:cs="宋体"/>
                <w:snapToGrid w:val="0"/>
                <w:kern w:val="21"/>
                <w:szCs w:val="21"/>
                <w:lang w:val="en-US" w:eastAsia="zh-CN"/>
              </w:rPr>
              <w:t>一般工业</w:t>
            </w:r>
          </w:p>
          <w:p>
            <w:pPr>
              <w:pStyle w:val="106"/>
              <w:spacing w:beforeLines="0" w:afterLines="0" w:line="240" w:lineRule="auto"/>
              <w:rPr>
                <w:rFonts w:hint="eastAsia" w:ascii="Times New Roman" w:cs="宋体"/>
                <w:snapToGrid w:val="0"/>
                <w:kern w:val="21"/>
                <w:szCs w:val="21"/>
                <w:lang w:val="en-US" w:eastAsia="zh-CN"/>
              </w:rPr>
            </w:pPr>
            <w:r>
              <w:rPr>
                <w:rFonts w:hint="eastAsia" w:ascii="Times New Roman" w:cs="宋体"/>
                <w:snapToGrid w:val="0"/>
                <w:kern w:val="21"/>
                <w:szCs w:val="21"/>
                <w:lang w:val="en-US" w:eastAsia="zh-CN"/>
              </w:rPr>
              <w:t>固体废物</w:t>
            </w:r>
          </w:p>
        </w:tc>
        <w:tc>
          <w:tcPr>
            <w:tcW w:w="1287" w:type="dxa"/>
            <w:noWrap w:val="0"/>
            <w:vAlign w:val="center"/>
          </w:tcPr>
          <w:p>
            <w:pPr>
              <w:pStyle w:val="106"/>
              <w:spacing w:beforeLines="0" w:afterLines="0" w:line="240" w:lineRule="auto"/>
              <w:rPr>
                <w:rFonts w:ascii="Times New Roman" w:cs="宋体"/>
                <w:snapToGrid w:val="0"/>
                <w:kern w:val="21"/>
                <w:szCs w:val="21"/>
                <w:lang w:val="en-US" w:eastAsia="zh-CN"/>
              </w:rPr>
            </w:pPr>
            <w:r>
              <w:rPr>
                <w:rFonts w:ascii="Times New Roman" w:cs="宋体"/>
                <w:snapToGrid w:val="0"/>
                <w:kern w:val="21"/>
                <w:szCs w:val="21"/>
                <w:lang w:val="en-US" w:eastAsia="zh-CN"/>
              </w:rPr>
              <w:t>废包装物</w:t>
            </w:r>
          </w:p>
        </w:tc>
        <w:tc>
          <w:tcPr>
            <w:tcW w:w="1575" w:type="dxa"/>
            <w:noWrap w:val="0"/>
            <w:vAlign w:val="center"/>
          </w:tcPr>
          <w:p>
            <w:pPr>
              <w:jc w:val="center"/>
            </w:pPr>
            <w:r>
              <w:rPr>
                <w:rFonts w:hint="eastAsia" w:cs="宋体"/>
                <w:snapToGrid w:val="0"/>
                <w:kern w:val="21"/>
                <w:szCs w:val="21"/>
              </w:rPr>
              <w:t>0</w:t>
            </w:r>
          </w:p>
        </w:tc>
        <w:tc>
          <w:tcPr>
            <w:tcW w:w="1365" w:type="dxa"/>
            <w:noWrap w:val="0"/>
            <w:vAlign w:val="center"/>
          </w:tcPr>
          <w:p>
            <w:pPr>
              <w:jc w:val="center"/>
            </w:pPr>
            <w:r>
              <w:rPr>
                <w:rFonts w:hint="eastAsia" w:cs="宋体"/>
                <w:snapToGrid w:val="0"/>
                <w:kern w:val="21"/>
                <w:szCs w:val="21"/>
              </w:rPr>
              <w:t>0</w:t>
            </w:r>
          </w:p>
        </w:tc>
        <w:tc>
          <w:tcPr>
            <w:tcW w:w="1490" w:type="dxa"/>
            <w:noWrap w:val="0"/>
            <w:vAlign w:val="center"/>
          </w:tcPr>
          <w:p>
            <w:pPr>
              <w:jc w:val="center"/>
            </w:pPr>
            <w:r>
              <w:rPr>
                <w:rFonts w:hint="eastAsia" w:cs="宋体"/>
                <w:snapToGrid w:val="0"/>
                <w:kern w:val="21"/>
                <w:szCs w:val="21"/>
              </w:rPr>
              <w:t>0</w:t>
            </w:r>
          </w:p>
        </w:tc>
        <w:tc>
          <w:tcPr>
            <w:tcW w:w="1660" w:type="dxa"/>
            <w:noWrap w:val="0"/>
            <w:vAlign w:val="center"/>
          </w:tcPr>
          <w:p>
            <w:pPr>
              <w:pStyle w:val="106"/>
              <w:spacing w:beforeLines="0" w:afterLines="0" w:line="240" w:lineRule="auto"/>
              <w:rPr>
                <w:rFonts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0.2t/a</w:t>
            </w:r>
          </w:p>
        </w:tc>
        <w:tc>
          <w:tcPr>
            <w:tcW w:w="1605" w:type="dxa"/>
            <w:noWrap w:val="0"/>
            <w:vAlign w:val="center"/>
          </w:tcPr>
          <w:p>
            <w:pPr>
              <w:jc w:val="center"/>
              <w:rPr>
                <w:color w:val="auto"/>
              </w:rPr>
            </w:pPr>
            <w:r>
              <w:rPr>
                <w:rFonts w:hint="eastAsia" w:cs="宋体"/>
                <w:snapToGrid w:val="0"/>
                <w:color w:val="auto"/>
                <w:kern w:val="21"/>
                <w:szCs w:val="21"/>
              </w:rPr>
              <w:t>0</w:t>
            </w:r>
          </w:p>
        </w:tc>
        <w:tc>
          <w:tcPr>
            <w:tcW w:w="1845" w:type="dxa"/>
            <w:noWrap w:val="0"/>
            <w:vAlign w:val="center"/>
          </w:tcPr>
          <w:p>
            <w:pPr>
              <w:pStyle w:val="106"/>
              <w:spacing w:beforeLines="0" w:afterLines="0" w:line="240" w:lineRule="auto"/>
              <w:rPr>
                <w:rFonts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0.2t/a</w:t>
            </w:r>
          </w:p>
        </w:tc>
        <w:tc>
          <w:tcPr>
            <w:tcW w:w="1373" w:type="dxa"/>
            <w:noWrap w:val="0"/>
            <w:vAlign w:val="center"/>
          </w:tcPr>
          <w:p>
            <w:pPr>
              <w:pStyle w:val="106"/>
              <w:spacing w:beforeLines="0" w:afterLines="0" w:line="240" w:lineRule="auto"/>
              <w:rPr>
                <w:rFonts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106"/>
              <w:spacing w:beforeLines="0" w:afterLines="0" w:line="240" w:lineRule="auto"/>
              <w:rPr>
                <w:rFonts w:hint="eastAsia" w:ascii="Times New Roman" w:cs="宋体"/>
                <w:snapToGrid w:val="0"/>
                <w:color w:val="0000FF"/>
                <w:kern w:val="21"/>
                <w:szCs w:val="21"/>
                <w:lang w:val="en-US" w:eastAsia="zh-CN"/>
              </w:rPr>
            </w:pPr>
          </w:p>
        </w:tc>
        <w:tc>
          <w:tcPr>
            <w:tcW w:w="1287" w:type="dxa"/>
            <w:noWrap w:val="0"/>
            <w:vAlign w:val="center"/>
          </w:tcPr>
          <w:p>
            <w:pPr>
              <w:pStyle w:val="106"/>
              <w:spacing w:beforeLines="0" w:afterLines="0" w:line="240" w:lineRule="auto"/>
              <w:rPr>
                <w:rFonts w:hint="eastAsia"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中药粉尘</w:t>
            </w:r>
          </w:p>
        </w:tc>
        <w:tc>
          <w:tcPr>
            <w:tcW w:w="1575" w:type="dxa"/>
            <w:noWrap w:val="0"/>
            <w:vAlign w:val="center"/>
          </w:tcPr>
          <w:p>
            <w:pPr>
              <w:jc w:val="center"/>
              <w:rPr>
                <w:rFonts w:hint="eastAsia" w:cs="宋体"/>
                <w:snapToGrid w:val="0"/>
                <w:color w:val="auto"/>
                <w:kern w:val="21"/>
                <w:szCs w:val="21"/>
              </w:rPr>
            </w:pPr>
            <w:r>
              <w:rPr>
                <w:rFonts w:hint="eastAsia" w:cs="宋体"/>
                <w:snapToGrid w:val="0"/>
                <w:color w:val="auto"/>
                <w:kern w:val="21"/>
                <w:szCs w:val="21"/>
              </w:rPr>
              <w:t>0</w:t>
            </w:r>
          </w:p>
        </w:tc>
        <w:tc>
          <w:tcPr>
            <w:tcW w:w="1365" w:type="dxa"/>
            <w:noWrap w:val="0"/>
            <w:vAlign w:val="center"/>
          </w:tcPr>
          <w:p>
            <w:pPr>
              <w:jc w:val="center"/>
              <w:rPr>
                <w:rFonts w:hint="eastAsia" w:cs="宋体"/>
                <w:snapToGrid w:val="0"/>
                <w:color w:val="auto"/>
                <w:kern w:val="21"/>
                <w:szCs w:val="21"/>
              </w:rPr>
            </w:pPr>
            <w:r>
              <w:rPr>
                <w:rFonts w:hint="eastAsia" w:cs="宋体"/>
                <w:snapToGrid w:val="0"/>
                <w:color w:val="auto"/>
                <w:kern w:val="21"/>
                <w:szCs w:val="21"/>
              </w:rPr>
              <w:t>0</w:t>
            </w:r>
          </w:p>
        </w:tc>
        <w:tc>
          <w:tcPr>
            <w:tcW w:w="1490" w:type="dxa"/>
            <w:noWrap w:val="0"/>
            <w:vAlign w:val="center"/>
          </w:tcPr>
          <w:p>
            <w:pPr>
              <w:jc w:val="center"/>
              <w:rPr>
                <w:rFonts w:hint="eastAsia" w:cs="宋体"/>
                <w:snapToGrid w:val="0"/>
                <w:color w:val="auto"/>
                <w:kern w:val="21"/>
                <w:szCs w:val="21"/>
              </w:rPr>
            </w:pPr>
            <w:r>
              <w:rPr>
                <w:rFonts w:hint="eastAsia" w:cs="宋体"/>
                <w:snapToGrid w:val="0"/>
                <w:color w:val="auto"/>
                <w:kern w:val="21"/>
                <w:szCs w:val="21"/>
              </w:rPr>
              <w:t>0</w:t>
            </w:r>
          </w:p>
        </w:tc>
        <w:tc>
          <w:tcPr>
            <w:tcW w:w="1660" w:type="dxa"/>
            <w:noWrap w:val="0"/>
            <w:vAlign w:val="center"/>
          </w:tcPr>
          <w:p>
            <w:pPr>
              <w:pStyle w:val="106"/>
              <w:spacing w:beforeLines="0" w:afterLines="0" w:line="240" w:lineRule="auto"/>
              <w:rPr>
                <w:rFonts w:hint="default"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0.52t/a</w:t>
            </w:r>
          </w:p>
        </w:tc>
        <w:tc>
          <w:tcPr>
            <w:tcW w:w="1605" w:type="dxa"/>
            <w:noWrap w:val="0"/>
            <w:vAlign w:val="center"/>
          </w:tcPr>
          <w:p>
            <w:pPr>
              <w:jc w:val="center"/>
              <w:rPr>
                <w:rFonts w:hint="eastAsia" w:cs="宋体"/>
                <w:snapToGrid w:val="0"/>
                <w:color w:val="auto"/>
                <w:kern w:val="21"/>
                <w:szCs w:val="21"/>
              </w:rPr>
            </w:pPr>
            <w:r>
              <w:rPr>
                <w:rFonts w:hint="eastAsia" w:cs="宋体"/>
                <w:snapToGrid w:val="0"/>
                <w:color w:val="auto"/>
                <w:kern w:val="21"/>
                <w:szCs w:val="21"/>
              </w:rPr>
              <w:t>0</w:t>
            </w:r>
          </w:p>
        </w:tc>
        <w:tc>
          <w:tcPr>
            <w:tcW w:w="1845" w:type="dxa"/>
            <w:noWrap w:val="0"/>
            <w:vAlign w:val="center"/>
          </w:tcPr>
          <w:p>
            <w:pPr>
              <w:pStyle w:val="106"/>
              <w:spacing w:beforeLines="0" w:afterLines="0" w:line="240" w:lineRule="auto"/>
              <w:rPr>
                <w:rFonts w:hint="eastAsia"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0.52t/a</w:t>
            </w:r>
          </w:p>
        </w:tc>
        <w:tc>
          <w:tcPr>
            <w:tcW w:w="1373" w:type="dxa"/>
            <w:noWrap w:val="0"/>
            <w:vAlign w:val="center"/>
          </w:tcPr>
          <w:p>
            <w:pPr>
              <w:pStyle w:val="106"/>
              <w:spacing w:beforeLines="0" w:afterLines="0" w:line="240" w:lineRule="auto"/>
              <w:rPr>
                <w:rFonts w:hint="eastAsia"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+0.52t/a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106"/>
              <w:spacing w:beforeLines="0" w:afterLines="0" w:line="240" w:lineRule="auto"/>
              <w:rPr>
                <w:rFonts w:hint="eastAsia" w:ascii="Times New Roman" w:cs="宋体"/>
                <w:snapToGrid w:val="0"/>
                <w:kern w:val="21"/>
                <w:szCs w:val="21"/>
                <w:lang w:val="en-US" w:eastAsia="zh-CN"/>
              </w:rPr>
            </w:pPr>
          </w:p>
        </w:tc>
        <w:tc>
          <w:tcPr>
            <w:tcW w:w="1287" w:type="dxa"/>
            <w:noWrap w:val="0"/>
            <w:vAlign w:val="center"/>
          </w:tcPr>
          <w:p>
            <w:pPr>
              <w:pStyle w:val="106"/>
              <w:spacing w:beforeLines="0" w:afterLines="0" w:line="240" w:lineRule="auto"/>
              <w:rPr>
                <w:rFonts w:hint="eastAsia" w:ascii="Times New Roman" w:cs="宋体"/>
                <w:snapToGrid w:val="0"/>
                <w:kern w:val="21"/>
                <w:szCs w:val="21"/>
                <w:lang w:val="en-US" w:eastAsia="zh-CN"/>
              </w:rPr>
            </w:pPr>
            <w:r>
              <w:rPr>
                <w:rFonts w:hint="eastAsia" w:ascii="Times New Roman" w:cs="宋体"/>
                <w:snapToGrid w:val="0"/>
                <w:kern w:val="21"/>
                <w:szCs w:val="21"/>
                <w:lang w:val="en-US" w:eastAsia="zh-CN"/>
              </w:rPr>
              <w:t>中药渣</w:t>
            </w:r>
          </w:p>
        </w:tc>
        <w:tc>
          <w:tcPr>
            <w:tcW w:w="1575" w:type="dxa"/>
            <w:noWrap w:val="0"/>
            <w:vAlign w:val="center"/>
          </w:tcPr>
          <w:p>
            <w:pPr>
              <w:jc w:val="center"/>
              <w:rPr>
                <w:rFonts w:hint="eastAsia" w:cs="宋体"/>
                <w:snapToGrid w:val="0"/>
                <w:kern w:val="21"/>
                <w:szCs w:val="21"/>
              </w:rPr>
            </w:pPr>
            <w:r>
              <w:rPr>
                <w:rFonts w:hint="eastAsia" w:cs="宋体"/>
                <w:snapToGrid w:val="0"/>
                <w:kern w:val="21"/>
                <w:szCs w:val="21"/>
              </w:rPr>
              <w:t>0</w:t>
            </w:r>
          </w:p>
        </w:tc>
        <w:tc>
          <w:tcPr>
            <w:tcW w:w="1365" w:type="dxa"/>
            <w:noWrap w:val="0"/>
            <w:vAlign w:val="center"/>
          </w:tcPr>
          <w:p>
            <w:pPr>
              <w:jc w:val="center"/>
              <w:rPr>
                <w:rFonts w:hint="eastAsia" w:cs="宋体"/>
                <w:snapToGrid w:val="0"/>
                <w:kern w:val="21"/>
                <w:szCs w:val="21"/>
              </w:rPr>
            </w:pPr>
            <w:r>
              <w:rPr>
                <w:rFonts w:hint="eastAsia" w:cs="宋体"/>
                <w:snapToGrid w:val="0"/>
                <w:kern w:val="21"/>
                <w:szCs w:val="21"/>
              </w:rPr>
              <w:t>0</w:t>
            </w:r>
          </w:p>
        </w:tc>
        <w:tc>
          <w:tcPr>
            <w:tcW w:w="1490" w:type="dxa"/>
            <w:noWrap w:val="0"/>
            <w:vAlign w:val="center"/>
          </w:tcPr>
          <w:p>
            <w:pPr>
              <w:jc w:val="center"/>
              <w:rPr>
                <w:rFonts w:hint="eastAsia" w:cs="宋体"/>
                <w:snapToGrid w:val="0"/>
                <w:kern w:val="21"/>
                <w:szCs w:val="21"/>
              </w:rPr>
            </w:pPr>
            <w:r>
              <w:rPr>
                <w:rFonts w:hint="eastAsia" w:cs="宋体"/>
                <w:snapToGrid w:val="0"/>
                <w:kern w:val="21"/>
                <w:szCs w:val="21"/>
              </w:rPr>
              <w:t>0</w:t>
            </w:r>
          </w:p>
        </w:tc>
        <w:tc>
          <w:tcPr>
            <w:tcW w:w="1660" w:type="dxa"/>
            <w:noWrap w:val="0"/>
            <w:vAlign w:val="center"/>
          </w:tcPr>
          <w:p>
            <w:pPr>
              <w:pStyle w:val="106"/>
              <w:spacing w:beforeLines="0" w:afterLines="0" w:line="240" w:lineRule="auto"/>
              <w:rPr>
                <w:rFonts w:hint="default"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46t/a</w:t>
            </w:r>
          </w:p>
        </w:tc>
        <w:tc>
          <w:tcPr>
            <w:tcW w:w="1605" w:type="dxa"/>
            <w:noWrap w:val="0"/>
            <w:vAlign w:val="center"/>
          </w:tcPr>
          <w:p>
            <w:pPr>
              <w:jc w:val="center"/>
              <w:rPr>
                <w:rFonts w:hint="eastAsia" w:cs="宋体"/>
                <w:snapToGrid w:val="0"/>
                <w:color w:val="auto"/>
                <w:kern w:val="21"/>
                <w:szCs w:val="21"/>
              </w:rPr>
            </w:pPr>
            <w:r>
              <w:rPr>
                <w:rFonts w:hint="eastAsia" w:cs="宋体"/>
                <w:snapToGrid w:val="0"/>
                <w:color w:val="auto"/>
                <w:kern w:val="21"/>
                <w:szCs w:val="21"/>
              </w:rPr>
              <w:t>0</w:t>
            </w:r>
          </w:p>
        </w:tc>
        <w:tc>
          <w:tcPr>
            <w:tcW w:w="1845" w:type="dxa"/>
            <w:noWrap w:val="0"/>
            <w:vAlign w:val="center"/>
          </w:tcPr>
          <w:p>
            <w:pPr>
              <w:pStyle w:val="106"/>
              <w:spacing w:beforeLines="0" w:afterLines="0" w:line="240" w:lineRule="auto"/>
              <w:rPr>
                <w:rFonts w:hint="eastAsia"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46t/a</w:t>
            </w:r>
          </w:p>
        </w:tc>
        <w:tc>
          <w:tcPr>
            <w:tcW w:w="1373" w:type="dxa"/>
            <w:noWrap w:val="0"/>
            <w:vAlign w:val="center"/>
          </w:tcPr>
          <w:p>
            <w:pPr>
              <w:pStyle w:val="106"/>
              <w:spacing w:beforeLines="0" w:afterLines="0" w:line="240" w:lineRule="auto"/>
              <w:rPr>
                <w:rFonts w:hint="eastAsia"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+46t/a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pPr>
              <w:pStyle w:val="106"/>
              <w:spacing w:beforeLines="0" w:afterLines="0" w:line="240" w:lineRule="auto"/>
              <w:rPr>
                <w:rFonts w:hint="eastAsia" w:ascii="Times New Roman" w:cs="宋体"/>
                <w:snapToGrid w:val="0"/>
                <w:kern w:val="21"/>
                <w:szCs w:val="21"/>
                <w:lang w:val="en-US" w:eastAsia="zh-CN"/>
              </w:rPr>
            </w:pPr>
          </w:p>
        </w:tc>
        <w:tc>
          <w:tcPr>
            <w:tcW w:w="1287" w:type="dxa"/>
            <w:noWrap w:val="0"/>
            <w:vAlign w:val="center"/>
          </w:tcPr>
          <w:p>
            <w:pPr>
              <w:pStyle w:val="106"/>
              <w:spacing w:beforeLines="0" w:afterLines="0" w:line="240" w:lineRule="auto"/>
              <w:rPr>
                <w:rFonts w:hint="eastAsia" w:ascii="Times New Roman" w:cs="宋体"/>
                <w:snapToGrid w:val="0"/>
                <w:kern w:val="21"/>
                <w:szCs w:val="21"/>
                <w:lang w:val="en-US" w:eastAsia="zh-CN"/>
              </w:rPr>
            </w:pPr>
            <w:r>
              <w:rPr>
                <w:rFonts w:hint="eastAsia" w:ascii="Times New Roman" w:cs="宋体"/>
                <w:snapToGrid w:val="0"/>
                <w:kern w:val="21"/>
                <w:szCs w:val="21"/>
                <w:lang w:val="en-US" w:eastAsia="zh-CN"/>
              </w:rPr>
              <w:t>废活性炭</w:t>
            </w:r>
          </w:p>
        </w:tc>
        <w:tc>
          <w:tcPr>
            <w:tcW w:w="1575" w:type="dxa"/>
            <w:noWrap w:val="0"/>
            <w:vAlign w:val="center"/>
          </w:tcPr>
          <w:p>
            <w:pPr>
              <w:jc w:val="center"/>
              <w:rPr>
                <w:rFonts w:hint="eastAsia" w:cs="宋体"/>
                <w:snapToGrid w:val="0"/>
                <w:kern w:val="21"/>
                <w:szCs w:val="21"/>
              </w:rPr>
            </w:pPr>
            <w:r>
              <w:rPr>
                <w:rFonts w:hint="eastAsia" w:cs="宋体"/>
                <w:snapToGrid w:val="0"/>
                <w:kern w:val="21"/>
                <w:szCs w:val="21"/>
              </w:rPr>
              <w:t>0</w:t>
            </w:r>
          </w:p>
        </w:tc>
        <w:tc>
          <w:tcPr>
            <w:tcW w:w="1365" w:type="dxa"/>
            <w:noWrap w:val="0"/>
            <w:vAlign w:val="center"/>
          </w:tcPr>
          <w:p>
            <w:pPr>
              <w:jc w:val="center"/>
              <w:rPr>
                <w:rFonts w:hint="eastAsia" w:cs="宋体"/>
                <w:snapToGrid w:val="0"/>
                <w:kern w:val="21"/>
                <w:szCs w:val="21"/>
              </w:rPr>
            </w:pPr>
            <w:r>
              <w:rPr>
                <w:rFonts w:hint="eastAsia" w:cs="宋体"/>
                <w:snapToGrid w:val="0"/>
                <w:kern w:val="21"/>
                <w:szCs w:val="21"/>
              </w:rPr>
              <w:t>0</w:t>
            </w:r>
          </w:p>
        </w:tc>
        <w:tc>
          <w:tcPr>
            <w:tcW w:w="1490" w:type="dxa"/>
            <w:noWrap w:val="0"/>
            <w:vAlign w:val="center"/>
          </w:tcPr>
          <w:p>
            <w:pPr>
              <w:jc w:val="center"/>
              <w:rPr>
                <w:rFonts w:hint="eastAsia" w:cs="宋体"/>
                <w:snapToGrid w:val="0"/>
                <w:kern w:val="21"/>
                <w:szCs w:val="21"/>
              </w:rPr>
            </w:pPr>
            <w:r>
              <w:rPr>
                <w:rFonts w:hint="eastAsia" w:cs="宋体"/>
                <w:snapToGrid w:val="0"/>
                <w:kern w:val="21"/>
                <w:szCs w:val="21"/>
              </w:rPr>
              <w:t>0</w:t>
            </w:r>
          </w:p>
        </w:tc>
        <w:tc>
          <w:tcPr>
            <w:tcW w:w="1660" w:type="dxa"/>
            <w:noWrap w:val="0"/>
            <w:vAlign w:val="center"/>
          </w:tcPr>
          <w:p>
            <w:pPr>
              <w:pStyle w:val="106"/>
              <w:spacing w:beforeLines="0" w:afterLines="0" w:line="240" w:lineRule="auto"/>
              <w:rPr>
                <w:rFonts w:hint="eastAsia"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0.03t/a</w:t>
            </w:r>
          </w:p>
        </w:tc>
        <w:tc>
          <w:tcPr>
            <w:tcW w:w="1605" w:type="dxa"/>
            <w:noWrap w:val="0"/>
            <w:vAlign w:val="center"/>
          </w:tcPr>
          <w:p>
            <w:pPr>
              <w:jc w:val="center"/>
              <w:rPr>
                <w:rFonts w:hint="eastAsia" w:cs="宋体"/>
                <w:snapToGrid w:val="0"/>
                <w:color w:val="auto"/>
                <w:kern w:val="21"/>
                <w:szCs w:val="21"/>
              </w:rPr>
            </w:pPr>
            <w:r>
              <w:rPr>
                <w:rFonts w:hint="eastAsia" w:cs="宋体"/>
                <w:snapToGrid w:val="0"/>
                <w:color w:val="auto"/>
                <w:kern w:val="21"/>
                <w:szCs w:val="21"/>
              </w:rPr>
              <w:t>0</w:t>
            </w:r>
          </w:p>
        </w:tc>
        <w:tc>
          <w:tcPr>
            <w:tcW w:w="1845" w:type="dxa"/>
            <w:noWrap w:val="0"/>
            <w:vAlign w:val="center"/>
          </w:tcPr>
          <w:p>
            <w:pPr>
              <w:pStyle w:val="106"/>
              <w:spacing w:beforeLines="0" w:afterLines="0" w:line="240" w:lineRule="auto"/>
              <w:rPr>
                <w:rFonts w:hint="eastAsia"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0.03t/a</w:t>
            </w:r>
          </w:p>
        </w:tc>
        <w:tc>
          <w:tcPr>
            <w:tcW w:w="1373" w:type="dxa"/>
            <w:noWrap w:val="0"/>
            <w:vAlign w:val="center"/>
          </w:tcPr>
          <w:p>
            <w:pPr>
              <w:pStyle w:val="106"/>
              <w:spacing w:beforeLines="0" w:afterLines="0" w:line="240" w:lineRule="auto"/>
              <w:rPr>
                <w:rFonts w:hint="eastAsia"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+0.03t/a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pPr>
              <w:pStyle w:val="106"/>
              <w:spacing w:beforeLines="0" w:afterLines="0" w:line="240" w:lineRule="auto"/>
              <w:rPr>
                <w:rFonts w:hint="eastAsia" w:ascii="Times New Roman" w:cs="宋体"/>
                <w:snapToGrid w:val="0"/>
                <w:kern w:val="21"/>
                <w:szCs w:val="21"/>
                <w:lang w:val="en-US" w:eastAsia="zh-CN"/>
              </w:rPr>
            </w:pPr>
            <w:r>
              <w:rPr>
                <w:rFonts w:hint="eastAsia" w:ascii="Times New Roman" w:cs="宋体"/>
                <w:snapToGrid w:val="0"/>
                <w:kern w:val="21"/>
                <w:szCs w:val="21"/>
                <w:lang w:val="en-US" w:eastAsia="zh-CN"/>
              </w:rPr>
              <w:t>危险废物</w:t>
            </w:r>
          </w:p>
        </w:tc>
        <w:tc>
          <w:tcPr>
            <w:tcW w:w="1287" w:type="dxa"/>
            <w:noWrap w:val="0"/>
            <w:vAlign w:val="center"/>
          </w:tcPr>
          <w:p>
            <w:pPr>
              <w:pStyle w:val="106"/>
              <w:spacing w:beforeLines="0" w:afterLines="0" w:line="240" w:lineRule="auto"/>
              <w:rPr>
                <w:rFonts w:hint="eastAsia" w:ascii="Times New Roman" w:cs="宋体"/>
                <w:snapToGrid w:val="0"/>
                <w:kern w:val="21"/>
                <w:szCs w:val="21"/>
                <w:lang w:val="en-US" w:eastAsia="zh-CN"/>
              </w:rPr>
            </w:pPr>
            <w:r>
              <w:rPr>
                <w:rFonts w:hint="eastAsia" w:ascii="Times New Roman" w:cs="宋体"/>
                <w:snapToGrid w:val="0"/>
                <w:kern w:val="21"/>
                <w:szCs w:val="21"/>
                <w:lang w:val="en-US" w:eastAsia="zh-CN"/>
              </w:rPr>
              <w:t>医疗垃圾</w:t>
            </w:r>
          </w:p>
        </w:tc>
        <w:tc>
          <w:tcPr>
            <w:tcW w:w="1575" w:type="dxa"/>
            <w:noWrap w:val="0"/>
            <w:vAlign w:val="center"/>
          </w:tcPr>
          <w:p>
            <w:pPr>
              <w:jc w:val="center"/>
              <w:rPr>
                <w:rFonts w:hint="eastAsia" w:eastAsia="宋体"/>
                <w:lang w:eastAsia="zh-CN"/>
              </w:rPr>
            </w:pPr>
            <w:r>
              <w:rPr>
                <w:rFonts w:hint="eastAsia" w:cs="宋体"/>
                <w:snapToGrid w:val="0"/>
                <w:kern w:val="21"/>
                <w:szCs w:val="21"/>
                <w:lang w:val="en-US" w:eastAsia="zh-CN"/>
              </w:rPr>
              <w:t>0</w:t>
            </w:r>
          </w:p>
        </w:tc>
        <w:tc>
          <w:tcPr>
            <w:tcW w:w="1365" w:type="dxa"/>
            <w:noWrap w:val="0"/>
            <w:vAlign w:val="center"/>
          </w:tcPr>
          <w:p>
            <w:pPr>
              <w:jc w:val="center"/>
            </w:pPr>
            <w:r>
              <w:rPr>
                <w:rFonts w:hint="eastAsia" w:cs="宋体"/>
                <w:snapToGrid w:val="0"/>
                <w:kern w:val="21"/>
                <w:szCs w:val="21"/>
              </w:rPr>
              <w:t>0</w:t>
            </w:r>
          </w:p>
        </w:tc>
        <w:tc>
          <w:tcPr>
            <w:tcW w:w="1490" w:type="dxa"/>
            <w:noWrap w:val="0"/>
            <w:vAlign w:val="center"/>
          </w:tcPr>
          <w:p>
            <w:pPr>
              <w:jc w:val="center"/>
            </w:pPr>
            <w:r>
              <w:rPr>
                <w:rFonts w:hint="eastAsia" w:cs="宋体"/>
                <w:snapToGrid w:val="0"/>
                <w:kern w:val="21"/>
                <w:szCs w:val="21"/>
              </w:rPr>
              <w:t>0</w:t>
            </w:r>
          </w:p>
        </w:tc>
        <w:tc>
          <w:tcPr>
            <w:tcW w:w="1660" w:type="dxa"/>
            <w:noWrap w:val="0"/>
            <w:vAlign w:val="center"/>
          </w:tcPr>
          <w:p>
            <w:pPr>
              <w:pStyle w:val="106"/>
              <w:spacing w:beforeLines="0" w:afterLines="0" w:line="240" w:lineRule="auto"/>
              <w:rPr>
                <w:rFonts w:hint="default"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0.395t/a</w:t>
            </w:r>
          </w:p>
        </w:tc>
        <w:tc>
          <w:tcPr>
            <w:tcW w:w="1605" w:type="dxa"/>
            <w:noWrap w:val="0"/>
            <w:vAlign w:val="center"/>
          </w:tcPr>
          <w:p>
            <w:pPr>
              <w:jc w:val="center"/>
              <w:rPr>
                <w:color w:val="auto"/>
              </w:rPr>
            </w:pPr>
            <w:r>
              <w:rPr>
                <w:rFonts w:hint="eastAsia" w:cs="宋体"/>
                <w:snapToGrid w:val="0"/>
                <w:color w:val="auto"/>
                <w:kern w:val="21"/>
                <w:szCs w:val="21"/>
              </w:rPr>
              <w:t>0</w:t>
            </w:r>
          </w:p>
        </w:tc>
        <w:tc>
          <w:tcPr>
            <w:tcW w:w="1845" w:type="dxa"/>
            <w:noWrap w:val="0"/>
            <w:vAlign w:val="center"/>
          </w:tcPr>
          <w:p>
            <w:pPr>
              <w:pStyle w:val="106"/>
              <w:spacing w:beforeLines="0" w:afterLines="0" w:line="240" w:lineRule="auto"/>
              <w:rPr>
                <w:rFonts w:ascii="Times New Roman" w:cs="宋体"/>
                <w:snapToGrid w:val="0"/>
                <w:color w:val="auto"/>
                <w:kern w:val="21"/>
                <w:szCs w:val="21"/>
                <w:lang w:val="en-US" w:eastAsia="zh-CN"/>
              </w:rPr>
            </w:pPr>
            <w:r>
              <w:rPr>
                <w:rFonts w:hint="eastAsia" w:ascii="Times New Roman" w:cs="宋体"/>
                <w:snapToGrid w:val="0"/>
                <w:color w:val="auto"/>
                <w:kern w:val="21"/>
                <w:szCs w:val="21"/>
                <w:lang w:val="en-US" w:eastAsia="zh-CN"/>
              </w:rPr>
              <w:t>0.395t/a</w:t>
            </w:r>
          </w:p>
        </w:tc>
        <w:tc>
          <w:tcPr>
            <w:tcW w:w="1373" w:type="dxa"/>
            <w:noWrap w:val="0"/>
            <w:vAlign w:val="center"/>
          </w:tcPr>
          <w:p>
            <w:pPr>
              <w:jc w:val="center"/>
              <w:rPr>
                <w:color w:val="auto"/>
              </w:rPr>
            </w:pPr>
            <w:r>
              <w:rPr>
                <w:rFonts w:hint="eastAsia" w:ascii="Times New Roman" w:cs="宋体"/>
                <w:snapToGrid w:val="0"/>
                <w:color w:val="auto"/>
                <w:kern w:val="21"/>
                <w:szCs w:val="21"/>
                <w:lang w:val="en-US" w:eastAsia="zh-CN"/>
              </w:rPr>
              <w:t>+0.395t/a</w:t>
            </w:r>
          </w:p>
        </w:tc>
      </w:tr>
    </w:tbl>
    <w:p>
      <w:pPr>
        <w:pStyle w:val="106"/>
        <w:spacing w:beforeLines="0" w:afterLines="0" w:line="360" w:lineRule="auto"/>
        <w:ind w:firstLine="420" w:firstLineChars="200"/>
        <w:jc w:val="left"/>
        <w:rPr>
          <w:rFonts w:hint="eastAsia"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ascii="Times New Roman"/>
          <w:szCs w:val="21"/>
        </w:rPr>
        <w:t>①</w:t>
      </w:r>
      <w:r>
        <w:rPr>
          <w:rFonts w:ascii="Times New Roman"/>
          <w:snapToGrid w:val="0"/>
          <w:spacing w:val="-6"/>
          <w:kern w:val="21"/>
          <w:szCs w:val="21"/>
        </w:rPr>
        <w:fldChar w:fldCharType="end"/>
      </w:r>
    </w:p>
    <w:p>
      <w:pPr>
        <w:spacing w:line="360" w:lineRule="auto"/>
        <w:ind w:firstLine="420" w:firstLineChars="200"/>
        <w:jc w:val="left"/>
        <w:rPr>
          <w:rFonts w:hint="eastAsia"/>
        </w:rPr>
      </w:pPr>
      <w:r>
        <w:rPr>
          <w:rFonts w:hint="eastAsia"/>
        </w:rPr>
        <w:t>附表：填写建设项目污染物排放量汇总表，其中现有工程污染</w:t>
      </w:r>
    </w:p>
    <w:p>
      <w:pPr>
        <w:spacing w:line="360" w:lineRule="auto"/>
        <w:ind w:firstLine="420" w:firstLineChars="200"/>
        <w:jc w:val="left"/>
        <w:rPr>
          <w:rFonts w:hint="eastAsia"/>
        </w:rPr>
      </w:pPr>
      <w:r>
        <w:rPr>
          <w:rFonts w:hint="eastAsia"/>
        </w:rPr>
        <w:t>物排放情况根据排污许可证执行报告填写，无排污许可证执行报告或执行报告中无相关内容的，通过监测数据核算现有工程污染物排放情况。</w:t>
      </w:r>
    </w:p>
    <w:p>
      <w:pPr>
        <w:sectPr>
          <w:footerReference r:id="rId6" w:type="default"/>
          <w:pgSz w:w="16838" w:h="11906" w:orient="landscape"/>
          <w:pgMar w:top="1701" w:right="1531" w:bottom="1701" w:left="1531" w:header="851" w:footer="851" w:gutter="0"/>
          <w:pgNumType w:fmt="decimal"/>
          <w:cols w:space="720" w:num="1"/>
          <w:docGrid w:linePitch="312" w:charSpace="0"/>
        </w:sect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sz w:val="44"/>
          <w:szCs w:val="44"/>
        </w:rPr>
      </w:pPr>
      <w:r>
        <w:rPr>
          <w:rFonts w:hint="eastAsia" w:ascii="宋体" w:hAnsi="宋体" w:eastAsia="宋体" w:cs="宋体"/>
          <w:sz w:val="44"/>
          <w:szCs w:val="44"/>
        </w:rPr>
        <w:t>第七师胡杨河市环境管控单元</w:t>
      </w:r>
    </w:p>
    <w:p>
      <w:pPr>
        <w:bidi w:val="0"/>
        <w:jc w:val="center"/>
        <w:rPr>
          <w:kern w:val="2"/>
          <w:sz w:val="21"/>
          <w:szCs w:val="24"/>
          <w:lang w:val="en-US" w:eastAsia="zh-CN" w:bidi="ar-SA"/>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r>
        <w:rPr>
          <w:sz w:val="21"/>
        </w:rPr>
        <mc:AlternateContent>
          <mc:Choice Requires="wps">
            <w:drawing>
              <wp:anchor distT="0" distB="0" distL="114300" distR="114300" simplePos="0" relativeHeight="251696128" behindDoc="0" locked="0" layoutInCell="1" allowOverlap="1">
                <wp:simplePos x="0" y="0"/>
                <wp:positionH relativeFrom="column">
                  <wp:posOffset>2650490</wp:posOffset>
                </wp:positionH>
                <wp:positionV relativeFrom="paragraph">
                  <wp:posOffset>117475</wp:posOffset>
                </wp:positionV>
                <wp:extent cx="1175385" cy="264160"/>
                <wp:effectExtent l="4445" t="4445" r="20320" b="74295"/>
                <wp:wrapNone/>
                <wp:docPr id="38" name="自选图形 125"/>
                <wp:cNvGraphicFramePr/>
                <a:graphic xmlns:a="http://schemas.openxmlformats.org/drawingml/2006/main">
                  <a:graphicData uri="http://schemas.microsoft.com/office/word/2010/wordprocessingShape">
                    <wps:wsp>
                      <wps:cNvSpPr/>
                      <wps:spPr>
                        <a:xfrm>
                          <a:off x="0" y="0"/>
                          <a:ext cx="1175385" cy="264160"/>
                        </a:xfrm>
                        <a:prstGeom prst="wedgeRectCallout">
                          <a:avLst>
                            <a:gd name="adj1" fmla="val -43750"/>
                            <a:gd name="adj2" fmla="val 70000"/>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项目区所在位置</w:t>
                            </w:r>
                          </w:p>
                        </w:txbxContent>
                      </wps:txbx>
                      <wps:bodyPr upright="1"/>
                    </wps:wsp>
                  </a:graphicData>
                </a:graphic>
              </wp:anchor>
            </w:drawing>
          </mc:Choice>
          <mc:Fallback>
            <w:pict>
              <v:shape id="自选图形 125" o:spid="_x0000_s1026" o:spt="61" type="#_x0000_t61" style="position:absolute;left:0pt;margin-left:208.7pt;margin-top:9.25pt;height:20.8pt;width:92.55pt;z-index:251696128;mso-width-relative:page;mso-height-relative:page;" fillcolor="#FFFFFF" filled="t" stroked="t" coordsize="21600,21600" o:gfxdata="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kaqN3UAAAACQEAAA8AAAAAAAAAAQAgAAAAIgAAAGRycy9k&#10;b3ducmV2LnhtbFBLAQIUABQAAAAIAIdO4kCAKZ9DPwIAAJAEAAAOAAAAAAAAAAEAIAAAACMBAABk&#10;cnMvZTJvRG9jLnhtbFBLBQYAAAAABgAGAFkBAADUBQAAAAA=&#10;" adj="1350,25920">
                <v:fill on="t" focussize="0,0"/>
                <v:stroke color="#000000" joinstyle="miter"/>
                <v:imagedata o:title=""/>
                <o:lock v:ext="edit" aspectratio="f"/>
                <v:textbox>
                  <w:txbxContent>
                    <w:p>
                      <w:pPr>
                        <w:rPr>
                          <w:rFonts w:hint="eastAsia" w:eastAsia="宋体"/>
                          <w:lang w:eastAsia="zh-CN"/>
                        </w:rPr>
                      </w:pPr>
                      <w:r>
                        <w:rPr>
                          <w:rFonts w:hint="eastAsia"/>
                          <w:lang w:eastAsia="zh-CN"/>
                        </w:rPr>
                        <w:t>项目区所在位置</w:t>
                      </w:r>
                    </w:p>
                  </w:txbxContent>
                </v:textbox>
              </v:shape>
            </w:pict>
          </mc:Fallback>
        </mc:AlternateContent>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pStyle w:val="12"/>
        <w:rPr>
          <w:lang w:val="en-US" w:eastAsia="zh-CN"/>
        </w:rPr>
      </w:pPr>
    </w:p>
    <w:p>
      <w:pPr>
        <w:pStyle w:val="13"/>
        <w:rPr>
          <w:lang w:val="en-US" w:eastAsia="zh-CN"/>
        </w:rPr>
      </w:pPr>
    </w:p>
    <w:p>
      <w:pPr>
        <w:pStyle w:val="13"/>
        <w:rPr>
          <w:lang w:val="en-US" w:eastAsia="zh-CN"/>
        </w:rPr>
      </w:pPr>
    </w:p>
    <w:p>
      <w:pPr>
        <w:pStyle w:val="13"/>
        <w:rPr>
          <w:lang w:val="en-US" w:eastAsia="zh-CN"/>
        </w:rPr>
      </w:pPr>
    </w:p>
    <w:p>
      <w:pPr>
        <w:pStyle w:val="13"/>
        <w:rPr>
          <w:lang w:val="en-US" w:eastAsia="zh-CN"/>
        </w:rPr>
      </w:pPr>
    </w:p>
    <w:p>
      <w:pPr>
        <w:tabs>
          <w:tab w:val="left" w:pos="1829"/>
        </w:tabs>
        <w:bidi w:val="0"/>
        <w:jc w:val="center"/>
        <w:rPr>
          <w:rFonts w:hint="eastAsia" w:ascii="宋体" w:hAnsi="宋体" w:eastAsia="宋体" w:cs="宋体"/>
          <w:b/>
          <w:bCs/>
          <w:sz w:val="24"/>
          <w:szCs w:val="24"/>
          <w:lang w:val="en-US" w:eastAsia="zh-CN"/>
        </w:rPr>
        <w:sectPr>
          <w:pgSz w:w="11906" w:h="16838"/>
          <w:pgMar w:top="1531" w:right="1701" w:bottom="1531" w:left="1701" w:header="851" w:footer="851" w:gutter="0"/>
          <w:pgNumType w:fmt="decimal"/>
          <w:cols w:space="720" w:num="1"/>
          <w:docGrid w:linePitch="312" w:charSpace="0"/>
        </w:sectPr>
      </w:pPr>
      <w:r>
        <w:rPr>
          <w:rFonts w:hint="eastAsia" w:ascii="宋体" w:hAnsi="宋体" w:eastAsia="宋体" w:cs="宋体"/>
          <w:b/>
          <w:bCs/>
          <w:sz w:val="24"/>
          <w:szCs w:val="24"/>
          <w:lang w:eastAsia="zh-CN"/>
        </w:rPr>
        <w:t>附图</w:t>
      </w:r>
      <w:r>
        <w:rPr>
          <w:rFonts w:hint="eastAsia" w:ascii="宋体" w:hAnsi="宋体" w:eastAsia="宋体" w:cs="宋体"/>
          <w:b/>
          <w:bCs/>
          <w:sz w:val="24"/>
          <w:szCs w:val="24"/>
          <w:lang w:val="en-US" w:eastAsia="zh-CN"/>
        </w:rPr>
        <w:t>1  “三线一单”管控图</w:t>
      </w:r>
    </w:p>
    <w:p>
      <w:pPr>
        <w:pStyle w:val="12"/>
        <w:rPr>
          <w:rFonts w:hint="eastAsia" w:ascii="宋体" w:hAnsi="宋体" w:eastAsia="宋体" w:cs="宋体"/>
          <w:sz w:val="24"/>
        </w:rPr>
        <w:sectPr>
          <w:pgSz w:w="16838" w:h="11906" w:orient="landscape"/>
          <w:pgMar w:top="1701" w:right="1531" w:bottom="1701" w:left="1531" w:header="851" w:footer="851" w:gutter="0"/>
          <w:pgNumType w:fmt="decimal"/>
          <w:cols w:space="720" w:num="1"/>
          <w:docGrid w:linePitch="312" w:charSpace="0"/>
        </w:sectPr>
      </w:pPr>
      <w:r>
        <w:rPr>
          <w:rFonts w:hint="eastAsia" w:ascii="Times New Roman" w:hAnsi="Times New Roman" w:eastAsia="楷体_GB2312"/>
          <w:color w:val="auto"/>
          <w:sz w:val="36"/>
          <w:szCs w:val="36"/>
          <w:lang w:eastAsia="zh-CN"/>
        </w:rPr>
        <w:drawing>
          <wp:anchor distT="0" distB="0" distL="114300" distR="114300" simplePos="0" relativeHeight="251797504" behindDoc="0" locked="0" layoutInCell="1" allowOverlap="1">
            <wp:simplePos x="0" y="0"/>
            <wp:positionH relativeFrom="column">
              <wp:posOffset>7484110</wp:posOffset>
            </wp:positionH>
            <wp:positionV relativeFrom="paragraph">
              <wp:posOffset>17780</wp:posOffset>
            </wp:positionV>
            <wp:extent cx="1240155" cy="1293495"/>
            <wp:effectExtent l="0" t="0" r="9525" b="1905"/>
            <wp:wrapNone/>
            <wp:docPr id="75" name="图片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descr="未标题-1"/>
                    <pic:cNvPicPr>
                      <a:picLocks noChangeAspect="1"/>
                    </pic:cNvPicPr>
                  </pic:nvPicPr>
                  <pic:blipFill>
                    <a:blip r:embed="rId23"/>
                    <a:stretch>
                      <a:fillRect/>
                    </a:stretch>
                  </pic:blipFill>
                  <pic:spPr>
                    <a:xfrm>
                      <a:off x="0" y="0"/>
                      <a:ext cx="1240155" cy="1293495"/>
                    </a:xfrm>
                    <a:prstGeom prst="rect">
                      <a:avLst/>
                    </a:prstGeom>
                    <a:noFill/>
                    <a:ln>
                      <a:noFill/>
                    </a:ln>
                  </pic:spPr>
                </pic:pic>
              </a:graphicData>
            </a:graphic>
          </wp:anchor>
        </w:drawing>
      </w:r>
      <w:r>
        <w:rPr>
          <w:rFonts w:hint="eastAsia" w:ascii="宋体" w:hAnsi="宋体" w:eastAsia="宋体" w:cs="宋体"/>
          <w:sz w:val="24"/>
        </w:rPr>
        <mc:AlternateContent>
          <mc:Choice Requires="wps">
            <w:drawing>
              <wp:anchor distT="0" distB="0" distL="114300" distR="114300" simplePos="0" relativeHeight="251745280" behindDoc="0" locked="0" layoutInCell="1" allowOverlap="1">
                <wp:simplePos x="0" y="0"/>
                <wp:positionH relativeFrom="column">
                  <wp:posOffset>2700655</wp:posOffset>
                </wp:positionH>
                <wp:positionV relativeFrom="paragraph">
                  <wp:posOffset>5391150</wp:posOffset>
                </wp:positionV>
                <wp:extent cx="2639060" cy="301625"/>
                <wp:effectExtent l="0" t="0" r="0" b="0"/>
                <wp:wrapNone/>
                <wp:docPr id="113" name="文本框 230"/>
                <wp:cNvGraphicFramePr/>
                <a:graphic xmlns:a="http://schemas.openxmlformats.org/drawingml/2006/main">
                  <a:graphicData uri="http://schemas.microsoft.com/office/word/2010/wordprocessingShape">
                    <wps:wsp>
                      <wps:cNvSpPr txBox="1"/>
                      <wps:spPr>
                        <a:xfrm>
                          <a:off x="0" y="0"/>
                          <a:ext cx="2639060" cy="301625"/>
                        </a:xfrm>
                        <a:prstGeom prst="rect">
                          <a:avLst/>
                        </a:prstGeom>
                        <a:noFill/>
                        <a:ln>
                          <a:noFill/>
                        </a:ln>
                      </wps:spPr>
                      <wps:txbx>
                        <w:txbxContent>
                          <w:p>
                            <w:pPr>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附图</w:t>
                            </w:r>
                            <w:r>
                              <w:rPr>
                                <w:rFonts w:hint="eastAsia" w:ascii="宋体" w:hAnsi="宋体" w:eastAsia="宋体" w:cs="宋体"/>
                                <w:b/>
                                <w:bCs/>
                                <w:color w:val="auto"/>
                                <w:sz w:val="24"/>
                                <w:szCs w:val="24"/>
                                <w:lang w:val="en-US" w:eastAsia="zh-CN"/>
                              </w:rPr>
                              <w:t>2  项目区卫星图</w:t>
                            </w:r>
                          </w:p>
                        </w:txbxContent>
                      </wps:txbx>
                      <wps:bodyPr upright="1"/>
                    </wps:wsp>
                  </a:graphicData>
                </a:graphic>
              </wp:anchor>
            </w:drawing>
          </mc:Choice>
          <mc:Fallback>
            <w:pict>
              <v:shape id="文本框 230" o:spid="_x0000_s1026" o:spt="202" type="#_x0000_t202" style="position:absolute;left:0pt;margin-left:212.65pt;margin-top:424.5pt;height:23.75pt;width:207.8pt;z-index:251745280;mso-width-relative:page;mso-height-relative:page;" filled="f" stroked="f" coordsize="21600,21600" o:gfxdata="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DyKhnZ&#10;AAAACwEAAA8AAAAAAAAAAQAgAAAAIgAAAGRycy9kb3ducmV2LnhtbFBLAQIUABQAAAAIAIdO4kD0&#10;Df7XrQEAAFIDAAAOAAAAAAAAAAEAIAAAACgBAABkcnMvZTJvRG9jLnhtbFBLBQYAAAAABgAGAFkB&#10;AABHBQAAAAA=&#10;">
                <v:fill on="f" focussize="0,0"/>
                <v:stroke on="f"/>
                <v:imagedata o:title=""/>
                <o:lock v:ext="edit" aspectratio="f"/>
                <v:textbox>
                  <w:txbxContent>
                    <w:p>
                      <w:pPr>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附图</w:t>
                      </w:r>
                      <w:r>
                        <w:rPr>
                          <w:rFonts w:hint="eastAsia" w:ascii="宋体" w:hAnsi="宋体" w:eastAsia="宋体" w:cs="宋体"/>
                          <w:b/>
                          <w:bCs/>
                          <w:color w:val="auto"/>
                          <w:sz w:val="24"/>
                          <w:szCs w:val="24"/>
                          <w:lang w:val="en-US" w:eastAsia="zh-CN"/>
                        </w:rPr>
                        <w:t>2  项目区卫星图</w:t>
                      </w:r>
                    </w:p>
                  </w:txbxContent>
                </v:textbox>
              </v:shape>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3910965</wp:posOffset>
                </wp:positionH>
                <wp:positionV relativeFrom="paragraph">
                  <wp:posOffset>2078990</wp:posOffset>
                </wp:positionV>
                <wp:extent cx="841375" cy="666750"/>
                <wp:effectExtent l="5080" t="4445" r="10795" b="14605"/>
                <wp:wrapNone/>
                <wp:docPr id="84" name="矩形 197"/>
                <wp:cNvGraphicFramePr/>
                <a:graphic xmlns:a="http://schemas.openxmlformats.org/drawingml/2006/main">
                  <a:graphicData uri="http://schemas.microsoft.com/office/word/2010/wordprocessingShape">
                    <wps:wsp>
                      <wps:cNvSpPr/>
                      <wps:spPr>
                        <a:xfrm>
                          <a:off x="0" y="0"/>
                          <a:ext cx="841375" cy="666750"/>
                        </a:xfrm>
                        <a:prstGeom prst="rect">
                          <a:avLst/>
                        </a:prstGeom>
                        <a:noFill/>
                        <a:ln w="9525" cap="flat" cmpd="sng">
                          <a:solidFill>
                            <a:srgbClr val="FFFF00"/>
                          </a:solidFill>
                          <a:prstDash val="solid"/>
                          <a:miter/>
                          <a:headEnd type="none" w="med" len="med"/>
                          <a:tailEnd type="none" w="med" len="med"/>
                        </a:ln>
                      </wps:spPr>
                      <wps:bodyPr upright="1"/>
                    </wps:wsp>
                  </a:graphicData>
                </a:graphic>
              </wp:anchor>
            </w:drawing>
          </mc:Choice>
          <mc:Fallback>
            <w:pict>
              <v:rect id="矩形 197" o:spid="_x0000_s1026" o:spt="1" style="position:absolute;left:0pt;margin-left:307.95pt;margin-top:163.7pt;height:52.5pt;width:66.25pt;z-index:251716608;mso-width-relative:page;mso-height-relative:page;" filled="f" stroked="t" coordsize="21600,21600" o:gfxdata="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phvTdAAAACwEAAA8AAAAAAAAAAQAgAAAAIgAAAGRycy9kb3du&#10;cmV2LnhtbFBLAQIUABQAAAAIAIdO4kDeB/pf+gEAAPcDAAAOAAAAAAAAAAEAIAAAACwBAABkcnMv&#10;ZTJvRG9jLnhtbFBLBQYAAAAABgAGAFkBAACYBQAAAAA=&#10;">
                <v:fill on="f" focussize="0,0"/>
                <v:stroke color="#FFFF00" joinstyle="miter"/>
                <v:imagedata o:title=""/>
                <o:lock v:ext="edit" aspectratio="f"/>
              </v:rect>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3914775</wp:posOffset>
                </wp:positionH>
                <wp:positionV relativeFrom="paragraph">
                  <wp:posOffset>2125980</wp:posOffset>
                </wp:positionV>
                <wp:extent cx="885825" cy="264160"/>
                <wp:effectExtent l="0" t="0" r="0" b="0"/>
                <wp:wrapNone/>
                <wp:docPr id="85" name="文本框 199"/>
                <wp:cNvGraphicFramePr/>
                <a:graphic xmlns:a="http://schemas.openxmlformats.org/drawingml/2006/main">
                  <a:graphicData uri="http://schemas.microsoft.com/office/word/2010/wordprocessingShape">
                    <wps:wsp>
                      <wps:cNvSpPr txBox="1"/>
                      <wps:spPr>
                        <a:xfrm>
                          <a:off x="0" y="0"/>
                          <a:ext cx="885825" cy="264160"/>
                        </a:xfrm>
                        <a:prstGeom prst="rect">
                          <a:avLst/>
                        </a:prstGeom>
                        <a:noFill/>
                        <a:ln>
                          <a:noFill/>
                        </a:ln>
                      </wps:spPr>
                      <wps:txbx>
                        <w:txbxContent>
                          <w:p>
                            <w:pPr>
                              <w:rPr>
                                <w:rFonts w:hint="default" w:eastAsia="宋体"/>
                                <w:color w:val="FFFF00"/>
                                <w:sz w:val="21"/>
                                <w:szCs w:val="21"/>
                                <w:lang w:val="en-US" w:eastAsia="zh-CN"/>
                              </w:rPr>
                            </w:pPr>
                            <w:r>
                              <w:rPr>
                                <w:rFonts w:hint="eastAsia"/>
                                <w:color w:val="FFFF00"/>
                                <w:sz w:val="21"/>
                                <w:szCs w:val="21"/>
                                <w:lang w:val="en-US" w:eastAsia="zh-CN"/>
                              </w:rPr>
                              <w:t>特色中医院</w:t>
                            </w:r>
                          </w:p>
                        </w:txbxContent>
                      </wps:txbx>
                      <wps:bodyPr upright="1"/>
                    </wps:wsp>
                  </a:graphicData>
                </a:graphic>
              </wp:anchor>
            </w:drawing>
          </mc:Choice>
          <mc:Fallback>
            <w:pict>
              <v:shape id="文本框 199" o:spid="_x0000_s1026" o:spt="202" type="#_x0000_t202" style="position:absolute;left:0pt;margin-left:308.25pt;margin-top:167.4pt;height:20.8pt;width:69.75pt;z-index:251717632;mso-width-relative:page;mso-height-relative:page;" filled="f" stroked="f" coordsize="21600,21600" o:gfxdata="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HIN&#10;X9gAAAALAQAADwAAAAAAAAABACAAAAAiAAAAZHJzL2Rvd25yZXYueG1sUEsBAhQAFAAAAAgAh07i&#10;QHal2omwAQAAUAMAAA4AAAAAAAAAAQAgAAAAJwEAAGRycy9lMm9Eb2MueG1sUEsFBgAAAAAGAAYA&#10;WQEAAEkFAAAAAA==&#10;">
                <v:fill on="f" focussize="0,0"/>
                <v:stroke on="f"/>
                <v:imagedata o:title=""/>
                <o:lock v:ext="edit" aspectratio="f"/>
                <v:textbox>
                  <w:txbxContent>
                    <w:p>
                      <w:pPr>
                        <w:rPr>
                          <w:rFonts w:hint="default" w:eastAsia="宋体"/>
                          <w:color w:val="FFFF00"/>
                          <w:sz w:val="21"/>
                          <w:szCs w:val="21"/>
                          <w:lang w:val="en-US" w:eastAsia="zh-CN"/>
                        </w:rPr>
                      </w:pPr>
                      <w:r>
                        <w:rPr>
                          <w:rFonts w:hint="eastAsia"/>
                          <w:color w:val="FFFF00"/>
                          <w:sz w:val="21"/>
                          <w:szCs w:val="21"/>
                          <w:lang w:val="en-US" w:eastAsia="zh-CN"/>
                        </w:rPr>
                        <w:t>特色中医院</w:t>
                      </w:r>
                    </w:p>
                  </w:txbxContent>
                </v:textbox>
              </v:shape>
            </w:pict>
          </mc:Fallback>
        </mc:AlternateContent>
      </w:r>
    </w:p>
    <w:p>
      <w:pPr>
        <w:pStyle w:val="12"/>
        <w:rPr>
          <w:lang w:val="en-US" w:eastAsia="zh-CN"/>
        </w:rPr>
        <w:sectPr>
          <w:pgSz w:w="16838" w:h="11906" w:orient="landscape"/>
          <w:pgMar w:top="1701" w:right="1531" w:bottom="1701" w:left="1531" w:header="851" w:footer="851" w:gutter="0"/>
          <w:pgNumType w:fmt="decimal"/>
          <w:cols w:space="720" w:num="1"/>
          <w:docGrid w:linePitch="312" w:charSpace="0"/>
        </w:sectPr>
      </w:pPr>
      <w:r>
        <w:rPr>
          <w:sz w:val="24"/>
        </w:rPr>
        <mc:AlternateContent>
          <mc:Choice Requires="wps">
            <w:drawing>
              <wp:anchor distT="0" distB="0" distL="114300" distR="114300" simplePos="0" relativeHeight="251796480" behindDoc="0" locked="0" layoutInCell="1" allowOverlap="1">
                <wp:simplePos x="0" y="0"/>
                <wp:positionH relativeFrom="column">
                  <wp:posOffset>5008880</wp:posOffset>
                </wp:positionH>
                <wp:positionV relativeFrom="paragraph">
                  <wp:posOffset>495300</wp:posOffset>
                </wp:positionV>
                <wp:extent cx="800100" cy="278130"/>
                <wp:effectExtent l="4445" t="4445" r="18415" b="6985"/>
                <wp:wrapNone/>
                <wp:docPr id="40" name="矩形 235"/>
                <wp:cNvGraphicFramePr/>
                <a:graphic xmlns:a="http://schemas.openxmlformats.org/drawingml/2006/main">
                  <a:graphicData uri="http://schemas.microsoft.com/office/word/2010/wordprocessingShape">
                    <wps:wsp>
                      <wps:cNvSpPr/>
                      <wps:spPr>
                        <a:xfrm>
                          <a:off x="0" y="0"/>
                          <a:ext cx="800100" cy="278130"/>
                        </a:xfrm>
                        <a:prstGeom prst="rect">
                          <a:avLst/>
                        </a:prstGeom>
                        <a:solidFill>
                          <a:srgbClr val="FF0000">
                            <a:alpha val="25999"/>
                          </a:srgbClr>
                        </a:solidFill>
                        <a:ln w="9525" cap="flat" cmpd="sng">
                          <a:solidFill>
                            <a:srgbClr val="F2DCDB"/>
                          </a:solidFill>
                          <a:prstDash val="solid"/>
                          <a:miter/>
                          <a:headEnd type="none" w="med" len="med"/>
                          <a:tailEnd type="none" w="med" len="med"/>
                        </a:ln>
                      </wps:spPr>
                      <wps:bodyPr upright="1"/>
                    </wps:wsp>
                  </a:graphicData>
                </a:graphic>
              </wp:anchor>
            </w:drawing>
          </mc:Choice>
          <mc:Fallback>
            <w:pict>
              <v:rect id="矩形 235" o:spid="_x0000_s1026" o:spt="1" style="position:absolute;left:0pt;margin-left:394.4pt;margin-top:39pt;height:21.9pt;width:63pt;z-index:251796480;mso-width-relative:page;mso-height-relative:page;" fillcolor="#FF0000" filled="t" stroked="t" coordsize="21600,21600" o:gfxdata="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mZqfzWAAAACgEAAA8AAAAAAAAAAQAg&#10;AAAAIgAAAGRycy9kb3ducmV2LnhtbFBLAQIUABQAAAAIAIdO4kCG3AqDEAIAAEEEAAAOAAAAAAAA&#10;AAEAIAAAACUBAABkcnMvZTJvRG9jLnhtbFBLBQYAAAAABgAGAFkBAACnBQAAAAA=&#10;">
                <v:fill on="t" opacity="17038f" focussize="0,0"/>
                <v:stroke color="#F2DCDB" joinstyle="miter"/>
                <v:imagedata o:title=""/>
                <o:lock v:ext="edit" aspectratio="f"/>
              </v:rect>
            </w:pict>
          </mc:Fallback>
        </mc:AlternateContent>
      </w:r>
      <w:r>
        <w:rPr>
          <w:sz w:val="24"/>
        </w:rPr>
        <mc:AlternateContent>
          <mc:Choice Requires="wps">
            <w:drawing>
              <wp:anchor distT="0" distB="0" distL="114300" distR="114300" simplePos="0" relativeHeight="251795456" behindDoc="0" locked="0" layoutInCell="1" allowOverlap="1">
                <wp:simplePos x="0" y="0"/>
                <wp:positionH relativeFrom="column">
                  <wp:posOffset>5418455</wp:posOffset>
                </wp:positionH>
                <wp:positionV relativeFrom="paragraph">
                  <wp:posOffset>2162175</wp:posOffset>
                </wp:positionV>
                <wp:extent cx="733425" cy="248920"/>
                <wp:effectExtent l="4445" t="5080" r="8890" b="5080"/>
                <wp:wrapNone/>
                <wp:docPr id="31" name="矩形 235"/>
                <wp:cNvGraphicFramePr/>
                <a:graphic xmlns:a="http://schemas.openxmlformats.org/drawingml/2006/main">
                  <a:graphicData uri="http://schemas.microsoft.com/office/word/2010/wordprocessingShape">
                    <wps:wsp>
                      <wps:cNvSpPr/>
                      <wps:spPr>
                        <a:xfrm>
                          <a:off x="0" y="0"/>
                          <a:ext cx="733425" cy="248920"/>
                        </a:xfrm>
                        <a:prstGeom prst="rect">
                          <a:avLst/>
                        </a:prstGeom>
                        <a:solidFill>
                          <a:srgbClr val="FF0000">
                            <a:alpha val="25999"/>
                          </a:srgbClr>
                        </a:solidFill>
                        <a:ln w="9525" cap="flat" cmpd="sng">
                          <a:solidFill>
                            <a:srgbClr val="F2DCDB"/>
                          </a:solidFill>
                          <a:prstDash val="solid"/>
                          <a:miter/>
                          <a:headEnd type="none" w="med" len="med"/>
                          <a:tailEnd type="none" w="med" len="med"/>
                        </a:ln>
                      </wps:spPr>
                      <wps:bodyPr upright="1"/>
                    </wps:wsp>
                  </a:graphicData>
                </a:graphic>
              </wp:anchor>
            </w:drawing>
          </mc:Choice>
          <mc:Fallback>
            <w:pict>
              <v:rect id="矩形 235" o:spid="_x0000_s1026" o:spt="1" style="position:absolute;left:0pt;margin-left:426.65pt;margin-top:170.25pt;height:19.6pt;width:57.75pt;z-index:251795456;mso-width-relative:page;mso-height-relative:page;" fillcolor="#FF0000" filled="t" stroked="t" coordsize="21600,21600" o:gfxdata="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2aactkAAAALAQAADwAAAAAA&#10;AAABACAAAAAiAAAAZHJzL2Rvd25yZXYueG1sUEsBAhQAFAAAAAgAh07iQFE/AloSAgAAQQQAAA4A&#10;AAAAAAAAAQAgAAAAKAEAAGRycy9lMm9Eb2MueG1sUEsFBgAAAAAGAAYAWQEAAKwFAAAAAA==&#10;">
                <v:fill on="t" opacity="17038f" focussize="0,0"/>
                <v:stroke color="#F2DCDB" joinstyle="miter"/>
                <v:imagedata o:title=""/>
                <o:lock v:ext="edit" aspectratio="f"/>
              </v:rect>
            </w:pict>
          </mc:Fallback>
        </mc:AlternateContent>
      </w:r>
      <w:r>
        <w:rPr>
          <w:sz w:val="24"/>
        </w:rPr>
        <mc:AlternateContent>
          <mc:Choice Requires="wps">
            <w:drawing>
              <wp:anchor distT="0" distB="0" distL="114300" distR="114300" simplePos="0" relativeHeight="251757568" behindDoc="0" locked="0" layoutInCell="1" allowOverlap="1">
                <wp:simplePos x="0" y="0"/>
                <wp:positionH relativeFrom="column">
                  <wp:posOffset>8006715</wp:posOffset>
                </wp:positionH>
                <wp:positionV relativeFrom="paragraph">
                  <wp:posOffset>4312285</wp:posOffset>
                </wp:positionV>
                <wp:extent cx="847090" cy="228600"/>
                <wp:effectExtent l="0" t="0" r="10160" b="0"/>
                <wp:wrapNone/>
                <wp:docPr id="128" name="文本框 251"/>
                <wp:cNvGraphicFramePr/>
                <a:graphic xmlns:a="http://schemas.openxmlformats.org/drawingml/2006/main">
                  <a:graphicData uri="http://schemas.microsoft.com/office/word/2010/wordprocessingShape">
                    <wps:wsp>
                      <wps:cNvSpPr txBox="1"/>
                      <wps:spPr>
                        <a:xfrm>
                          <a:off x="0" y="0"/>
                          <a:ext cx="847090" cy="228600"/>
                        </a:xfrm>
                        <a:prstGeom prst="rect">
                          <a:avLst/>
                        </a:prstGeom>
                        <a:solidFill>
                          <a:srgbClr val="FFFFFF"/>
                        </a:solidFill>
                        <a:ln>
                          <a:noFill/>
                        </a:ln>
                      </wps:spPr>
                      <wps:txbx>
                        <w:txbxContent>
                          <w:p>
                            <w:pPr>
                              <w:rPr>
                                <w:rFonts w:hint="eastAsia" w:eastAsia="宋体"/>
                                <w:sz w:val="16"/>
                                <w:szCs w:val="20"/>
                                <w:lang w:eastAsia="zh-CN"/>
                              </w:rPr>
                            </w:pPr>
                            <w:r>
                              <w:rPr>
                                <w:rFonts w:hint="eastAsia"/>
                                <w:sz w:val="16"/>
                                <w:szCs w:val="20"/>
                                <w:lang w:eastAsia="zh-CN"/>
                              </w:rPr>
                              <w:t>简单防渗区</w:t>
                            </w:r>
                          </w:p>
                        </w:txbxContent>
                      </wps:txbx>
                      <wps:bodyPr upright="1"/>
                    </wps:wsp>
                  </a:graphicData>
                </a:graphic>
              </wp:anchor>
            </w:drawing>
          </mc:Choice>
          <mc:Fallback>
            <w:pict>
              <v:shape id="文本框 251" o:spid="_x0000_s1026" o:spt="202" type="#_x0000_t202" style="position:absolute;left:0pt;margin-left:630.45pt;margin-top:339.55pt;height:18pt;width:66.7pt;z-index:251757568;mso-width-relative:page;mso-height-relative:page;" fillcolor="#FFFFFF" filled="t" stroked="f" coordsize="21600,21600" o:gfxdata="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ot7YvaAAAADQEAAA8AAAAAAAAAAQAgAAAAIgAAAGRycy9kb3du&#10;cmV2LnhtbFBLAQIUABQAAAAIAIdO4kCNHgfJxAEAAHoDAAAOAAAAAAAAAAEAIAAAACkBAABkcnMv&#10;ZTJvRG9jLnhtbFBLBQYAAAAABgAGAFkBAABfBQAAAAA=&#10;">
                <v:fill on="t" focussize="0,0"/>
                <v:stroke on="f"/>
                <v:imagedata o:title=""/>
                <o:lock v:ext="edit" aspectratio="f"/>
                <v:textbox>
                  <w:txbxContent>
                    <w:p>
                      <w:pPr>
                        <w:rPr>
                          <w:rFonts w:hint="eastAsia" w:eastAsia="宋体"/>
                          <w:sz w:val="16"/>
                          <w:szCs w:val="20"/>
                          <w:lang w:eastAsia="zh-CN"/>
                        </w:rPr>
                      </w:pPr>
                      <w:r>
                        <w:rPr>
                          <w:rFonts w:hint="eastAsia"/>
                          <w:sz w:val="16"/>
                          <w:szCs w:val="20"/>
                          <w:lang w:eastAsia="zh-CN"/>
                        </w:rPr>
                        <w:t>简单防渗区</w:t>
                      </w:r>
                    </w:p>
                  </w:txbxContent>
                </v:textbox>
              </v:shape>
            </w:pict>
          </mc:Fallback>
        </mc:AlternateContent>
      </w:r>
      <w:r>
        <w:rPr>
          <w:sz w:val="24"/>
        </w:rPr>
        <mc:AlternateContent>
          <mc:Choice Requires="wps">
            <w:drawing>
              <wp:anchor distT="0" distB="0" distL="114300" distR="114300" simplePos="0" relativeHeight="251751424" behindDoc="0" locked="0" layoutInCell="1" allowOverlap="1">
                <wp:simplePos x="0" y="0"/>
                <wp:positionH relativeFrom="column">
                  <wp:posOffset>7399655</wp:posOffset>
                </wp:positionH>
                <wp:positionV relativeFrom="paragraph">
                  <wp:posOffset>3540760</wp:posOffset>
                </wp:positionV>
                <wp:extent cx="1742440" cy="1057275"/>
                <wp:effectExtent l="4445" t="4445" r="5715" b="5080"/>
                <wp:wrapNone/>
                <wp:docPr id="122" name="文本框 243"/>
                <wp:cNvGraphicFramePr/>
                <a:graphic xmlns:a="http://schemas.openxmlformats.org/drawingml/2006/main">
                  <a:graphicData uri="http://schemas.microsoft.com/office/word/2010/wordprocessingShape">
                    <wps:wsp>
                      <wps:cNvSpPr txBox="1"/>
                      <wps:spPr>
                        <a:xfrm>
                          <a:off x="0" y="0"/>
                          <a:ext cx="1742440" cy="1057275"/>
                        </a:xfrm>
                        <a:prstGeom prst="rect">
                          <a:avLst/>
                        </a:prstGeom>
                        <a:noFill/>
                        <a:ln w="9525" cap="flat" cmpd="sng">
                          <a:solidFill>
                            <a:srgbClr val="000000"/>
                          </a:solidFill>
                          <a:prstDash val="solid"/>
                          <a:miter/>
                          <a:headEnd type="none" w="med" len="med"/>
                          <a:tailEnd type="none" w="med" len="med"/>
                        </a:ln>
                      </wps:spPr>
                      <wps:txbx>
                        <w:txbxContent>
                          <w:p>
                            <w:pPr>
                              <w:jc w:val="center"/>
                              <w:rPr>
                                <w:rFonts w:hint="eastAsia"/>
                                <w:sz w:val="18"/>
                                <w:szCs w:val="21"/>
                                <w:lang w:eastAsia="zh-CN"/>
                              </w:rPr>
                            </w:pPr>
                            <w:r>
                              <w:rPr>
                                <w:rFonts w:hint="eastAsia"/>
                                <w:sz w:val="18"/>
                                <w:szCs w:val="21"/>
                                <w:lang w:eastAsia="zh-CN"/>
                              </w:rPr>
                              <w:t>图示说明</w:t>
                            </w:r>
                          </w:p>
                          <w:p>
                            <w:pPr>
                              <w:pStyle w:val="12"/>
                              <w:rPr>
                                <w:rFonts w:hint="eastAsia"/>
                                <w:lang w:eastAsia="zh-CN"/>
                              </w:rPr>
                            </w:pPr>
                          </w:p>
                        </w:txbxContent>
                      </wps:txbx>
                      <wps:bodyPr upright="1"/>
                    </wps:wsp>
                  </a:graphicData>
                </a:graphic>
              </wp:anchor>
            </w:drawing>
          </mc:Choice>
          <mc:Fallback>
            <w:pict>
              <v:shape id="文本框 243" o:spid="_x0000_s1026" o:spt="202" type="#_x0000_t202" style="position:absolute;left:0pt;margin-left:582.65pt;margin-top:278.8pt;height:83.25pt;width:137.2pt;z-index:251751424;mso-width-relative:page;mso-height-relative:page;" filled="f" stroked="t" coordsize="21600,21600" o:gfxdata="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2z1tHZAAAADQEAAA8AAAAAAAAAAQAgAAAAIgAA&#10;AGRycy9kb3ducmV2LnhtbFBLAQIUABQAAAAIAIdO4kAM1YW7BwIAABIEAAAOAAAAAAAAAAEAIAAA&#10;ACgBAABkcnMvZTJvRG9jLnhtbFBLBQYAAAAABgAGAFkBAAChBQAAAAA=&#10;">
                <v:fill on="f" focussize="0,0"/>
                <v:stroke color="#000000" joinstyle="miter"/>
                <v:imagedata o:title=""/>
                <o:lock v:ext="edit" aspectratio="f"/>
                <v:textbox>
                  <w:txbxContent>
                    <w:p>
                      <w:pPr>
                        <w:jc w:val="center"/>
                        <w:rPr>
                          <w:rFonts w:hint="eastAsia"/>
                          <w:sz w:val="18"/>
                          <w:szCs w:val="21"/>
                          <w:lang w:eastAsia="zh-CN"/>
                        </w:rPr>
                      </w:pPr>
                      <w:r>
                        <w:rPr>
                          <w:rFonts w:hint="eastAsia"/>
                          <w:sz w:val="18"/>
                          <w:szCs w:val="21"/>
                          <w:lang w:eastAsia="zh-CN"/>
                        </w:rPr>
                        <w:t>图示说明</w:t>
                      </w:r>
                    </w:p>
                    <w:p>
                      <w:pPr>
                        <w:pStyle w:val="12"/>
                        <w:rPr>
                          <w:rFonts w:hint="eastAsia"/>
                          <w:lang w:eastAsia="zh-CN"/>
                        </w:rPr>
                      </w:pPr>
                    </w:p>
                  </w:txbxContent>
                </v:textbox>
              </v:shape>
            </w:pict>
          </mc:Fallback>
        </mc:AlternateContent>
      </w:r>
      <w:r>
        <w:rPr>
          <w:sz w:val="24"/>
        </w:rPr>
        <mc:AlternateContent>
          <mc:Choice Requires="wps">
            <w:drawing>
              <wp:anchor distT="0" distB="0" distL="114300" distR="114300" simplePos="0" relativeHeight="251756544" behindDoc="0" locked="0" layoutInCell="1" allowOverlap="1">
                <wp:simplePos x="0" y="0"/>
                <wp:positionH relativeFrom="column">
                  <wp:posOffset>8025765</wp:posOffset>
                </wp:positionH>
                <wp:positionV relativeFrom="paragraph">
                  <wp:posOffset>4064635</wp:posOffset>
                </wp:positionV>
                <wp:extent cx="847090" cy="228600"/>
                <wp:effectExtent l="0" t="0" r="10160" b="0"/>
                <wp:wrapNone/>
                <wp:docPr id="127" name="文本框 250"/>
                <wp:cNvGraphicFramePr/>
                <a:graphic xmlns:a="http://schemas.openxmlformats.org/drawingml/2006/main">
                  <a:graphicData uri="http://schemas.microsoft.com/office/word/2010/wordprocessingShape">
                    <wps:wsp>
                      <wps:cNvSpPr txBox="1"/>
                      <wps:spPr>
                        <a:xfrm>
                          <a:off x="0" y="0"/>
                          <a:ext cx="847090" cy="228600"/>
                        </a:xfrm>
                        <a:prstGeom prst="rect">
                          <a:avLst/>
                        </a:prstGeom>
                        <a:solidFill>
                          <a:srgbClr val="FFFFFF"/>
                        </a:solidFill>
                        <a:ln>
                          <a:noFill/>
                        </a:ln>
                      </wps:spPr>
                      <wps:txbx>
                        <w:txbxContent>
                          <w:p>
                            <w:pPr>
                              <w:rPr>
                                <w:rFonts w:hint="eastAsia" w:eastAsia="宋体"/>
                                <w:sz w:val="16"/>
                                <w:szCs w:val="20"/>
                                <w:lang w:eastAsia="zh-CN"/>
                              </w:rPr>
                            </w:pPr>
                            <w:r>
                              <w:rPr>
                                <w:rFonts w:hint="eastAsia"/>
                                <w:sz w:val="16"/>
                                <w:szCs w:val="20"/>
                                <w:lang w:eastAsia="zh-CN"/>
                              </w:rPr>
                              <w:t>一般防渗区</w:t>
                            </w:r>
                          </w:p>
                        </w:txbxContent>
                      </wps:txbx>
                      <wps:bodyPr upright="1"/>
                    </wps:wsp>
                  </a:graphicData>
                </a:graphic>
              </wp:anchor>
            </w:drawing>
          </mc:Choice>
          <mc:Fallback>
            <w:pict>
              <v:shape id="文本框 250" o:spid="_x0000_s1026" o:spt="202" type="#_x0000_t202" style="position:absolute;left:0pt;margin-left:631.95pt;margin-top:320.05pt;height:18pt;width:66.7pt;z-index:251756544;mso-width-relative:page;mso-height-relative:page;" fillcolor="#FFFFFF" filled="t" stroked="f" coordsize="21600,21600" o:gfxdata="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LNlW9oAAAANAQAADwAAAAAAAAABACAAAAAiAAAAZHJzL2Rvd25y&#10;ZXYueG1sUEsBAhQAFAAAAAgAh07iQINFbwjDAQAAegMAAA4AAAAAAAAAAQAgAAAAKQEAAGRycy9l&#10;Mm9Eb2MueG1sUEsFBgAAAAAGAAYAWQEAAF4FAAAAAA==&#10;">
                <v:fill on="t" focussize="0,0"/>
                <v:stroke on="f"/>
                <v:imagedata o:title=""/>
                <o:lock v:ext="edit" aspectratio="f"/>
                <v:textbox>
                  <w:txbxContent>
                    <w:p>
                      <w:pPr>
                        <w:rPr>
                          <w:rFonts w:hint="eastAsia" w:eastAsia="宋体"/>
                          <w:sz w:val="16"/>
                          <w:szCs w:val="20"/>
                          <w:lang w:eastAsia="zh-CN"/>
                        </w:rPr>
                      </w:pPr>
                      <w:r>
                        <w:rPr>
                          <w:rFonts w:hint="eastAsia"/>
                          <w:sz w:val="16"/>
                          <w:szCs w:val="20"/>
                          <w:lang w:eastAsia="zh-CN"/>
                        </w:rPr>
                        <w:t>一般防渗区</w:t>
                      </w:r>
                    </w:p>
                  </w:txbxContent>
                </v:textbox>
              </v:shape>
            </w:pict>
          </mc:Fallback>
        </mc:AlternateContent>
      </w:r>
      <w:r>
        <w:rPr>
          <w:sz w:val="24"/>
        </w:rPr>
        <mc:AlternateContent>
          <mc:Choice Requires="wps">
            <w:drawing>
              <wp:anchor distT="0" distB="0" distL="114300" distR="114300" simplePos="0" relativeHeight="251755520" behindDoc="0" locked="0" layoutInCell="1" allowOverlap="1">
                <wp:simplePos x="0" y="0"/>
                <wp:positionH relativeFrom="column">
                  <wp:posOffset>7997190</wp:posOffset>
                </wp:positionH>
                <wp:positionV relativeFrom="paragraph">
                  <wp:posOffset>3807460</wp:posOffset>
                </wp:positionV>
                <wp:extent cx="847090" cy="228600"/>
                <wp:effectExtent l="0" t="0" r="10160" b="0"/>
                <wp:wrapNone/>
                <wp:docPr id="126" name="文本框 248"/>
                <wp:cNvGraphicFramePr/>
                <a:graphic xmlns:a="http://schemas.openxmlformats.org/drawingml/2006/main">
                  <a:graphicData uri="http://schemas.microsoft.com/office/word/2010/wordprocessingShape">
                    <wps:wsp>
                      <wps:cNvSpPr txBox="1"/>
                      <wps:spPr>
                        <a:xfrm>
                          <a:off x="0" y="0"/>
                          <a:ext cx="847090" cy="228600"/>
                        </a:xfrm>
                        <a:prstGeom prst="rect">
                          <a:avLst/>
                        </a:prstGeom>
                        <a:solidFill>
                          <a:srgbClr val="FFFFFF"/>
                        </a:solidFill>
                        <a:ln>
                          <a:noFill/>
                        </a:ln>
                      </wps:spPr>
                      <wps:txbx>
                        <w:txbxContent>
                          <w:p>
                            <w:pPr>
                              <w:rPr>
                                <w:rFonts w:hint="eastAsia" w:eastAsia="宋体"/>
                                <w:sz w:val="16"/>
                                <w:szCs w:val="20"/>
                                <w:lang w:eastAsia="zh-CN"/>
                              </w:rPr>
                            </w:pPr>
                            <w:r>
                              <w:rPr>
                                <w:rFonts w:hint="eastAsia"/>
                                <w:sz w:val="16"/>
                                <w:szCs w:val="20"/>
                                <w:lang w:eastAsia="zh-CN"/>
                              </w:rPr>
                              <w:t>重点防渗区</w:t>
                            </w:r>
                          </w:p>
                        </w:txbxContent>
                      </wps:txbx>
                      <wps:bodyPr upright="1"/>
                    </wps:wsp>
                  </a:graphicData>
                </a:graphic>
              </wp:anchor>
            </w:drawing>
          </mc:Choice>
          <mc:Fallback>
            <w:pict>
              <v:shape id="文本框 248" o:spid="_x0000_s1026" o:spt="202" type="#_x0000_t202" style="position:absolute;left:0pt;margin-left:629.7pt;margin-top:299.8pt;height:18pt;width:66.7pt;z-index:251755520;mso-width-relative:page;mso-height-relative:page;" fillcolor="#FFFFFF" filled="t" stroked="f" coordsize="21600,21600" o:gfxdata="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jaJN3aAAAADQEAAA8AAAAAAAAAAQAgAAAAIgAAAGRycy9kb3du&#10;cmV2LnhtbFBLAQIUABQAAAAIAIdO4kBI4TcQxAEAAHoDAAAOAAAAAAAAAAEAIAAAACkBAABkcnMv&#10;ZTJvRG9jLnhtbFBLBQYAAAAABgAGAFkBAABfBQAAAAA=&#10;">
                <v:fill on="t" focussize="0,0"/>
                <v:stroke on="f"/>
                <v:imagedata o:title=""/>
                <o:lock v:ext="edit" aspectratio="f"/>
                <v:textbox>
                  <w:txbxContent>
                    <w:p>
                      <w:pPr>
                        <w:rPr>
                          <w:rFonts w:hint="eastAsia" w:eastAsia="宋体"/>
                          <w:sz w:val="16"/>
                          <w:szCs w:val="20"/>
                          <w:lang w:eastAsia="zh-CN"/>
                        </w:rPr>
                      </w:pPr>
                      <w:r>
                        <w:rPr>
                          <w:rFonts w:hint="eastAsia"/>
                          <w:sz w:val="16"/>
                          <w:szCs w:val="20"/>
                          <w:lang w:eastAsia="zh-CN"/>
                        </w:rPr>
                        <w:t>重点防渗区</w:t>
                      </w:r>
                    </w:p>
                  </w:txbxContent>
                </v:textbox>
              </v:shape>
            </w:pict>
          </mc:Fallback>
        </mc:AlternateContent>
      </w:r>
      <w:r>
        <w:rPr>
          <w:sz w:val="24"/>
        </w:rPr>
        <mc:AlternateContent>
          <mc:Choice Requires="wps">
            <w:drawing>
              <wp:anchor distT="0" distB="0" distL="114300" distR="114300" simplePos="0" relativeHeight="251754496" behindDoc="0" locked="0" layoutInCell="1" allowOverlap="1">
                <wp:simplePos x="0" y="0"/>
                <wp:positionH relativeFrom="column">
                  <wp:posOffset>7513320</wp:posOffset>
                </wp:positionH>
                <wp:positionV relativeFrom="paragraph">
                  <wp:posOffset>4382770</wp:posOffset>
                </wp:positionV>
                <wp:extent cx="228600" cy="132080"/>
                <wp:effectExtent l="4445" t="4445" r="14605" b="15875"/>
                <wp:wrapNone/>
                <wp:docPr id="125" name="矩形 247"/>
                <wp:cNvGraphicFramePr/>
                <a:graphic xmlns:a="http://schemas.openxmlformats.org/drawingml/2006/main">
                  <a:graphicData uri="http://schemas.microsoft.com/office/word/2010/wordprocessingShape">
                    <wps:wsp>
                      <wps:cNvSpPr/>
                      <wps:spPr>
                        <a:xfrm>
                          <a:off x="0" y="0"/>
                          <a:ext cx="228600" cy="132080"/>
                        </a:xfrm>
                        <a:prstGeom prst="rect">
                          <a:avLst/>
                        </a:prstGeom>
                        <a:solidFill>
                          <a:srgbClr val="00B050">
                            <a:alpha val="18999"/>
                          </a:srgbClr>
                        </a:solidFill>
                        <a:ln w="9525" cap="flat" cmpd="sng">
                          <a:solidFill>
                            <a:srgbClr val="F2DCDB"/>
                          </a:solidFill>
                          <a:prstDash val="solid"/>
                          <a:miter/>
                          <a:headEnd type="none" w="med" len="med"/>
                          <a:tailEnd type="none" w="med" len="med"/>
                        </a:ln>
                      </wps:spPr>
                      <wps:bodyPr upright="1"/>
                    </wps:wsp>
                  </a:graphicData>
                </a:graphic>
              </wp:anchor>
            </w:drawing>
          </mc:Choice>
          <mc:Fallback>
            <w:pict>
              <v:rect id="矩形 247" o:spid="_x0000_s1026" o:spt="1" style="position:absolute;left:0pt;margin-left:591.6pt;margin-top:345.1pt;height:10.4pt;width:18pt;z-index:251754496;mso-width-relative:page;mso-height-relative:page;" fillcolor="#00B050" filled="t" stroked="t" coordsize="21600,21600" o:gfxdata="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JjVNo1wAAAA0BAAAPAAAAAAAA&#10;AAEAIAAAACIAAABkcnMvZG93bnJldi54bWxQSwECFAAUAAAACACHTuJAtmP0PBMCAABCBAAADgAA&#10;AAAAAAABACAAAAAmAQAAZHJzL2Uyb0RvYy54bWxQSwUGAAAAAAYABgBZAQAAqwUAAAAA&#10;">
                <v:fill on="t" opacity="12451f" focussize="0,0"/>
                <v:stroke color="#F2DCDB" joinstyle="miter"/>
                <v:imagedata o:title=""/>
                <o:lock v:ext="edit" aspectratio="f"/>
              </v:rect>
            </w:pict>
          </mc:Fallback>
        </mc:AlternateContent>
      </w:r>
      <w:r>
        <w:rPr>
          <w:sz w:val="24"/>
        </w:rPr>
        <mc:AlternateContent>
          <mc:Choice Requires="wps">
            <w:drawing>
              <wp:anchor distT="0" distB="0" distL="114300" distR="114300" simplePos="0" relativeHeight="251752448" behindDoc="0" locked="0" layoutInCell="1" allowOverlap="1">
                <wp:simplePos x="0" y="0"/>
                <wp:positionH relativeFrom="column">
                  <wp:posOffset>7494905</wp:posOffset>
                </wp:positionH>
                <wp:positionV relativeFrom="paragraph">
                  <wp:posOffset>3848100</wp:posOffset>
                </wp:positionV>
                <wp:extent cx="238760" cy="143510"/>
                <wp:effectExtent l="5080" t="4445" r="22860" b="23495"/>
                <wp:wrapNone/>
                <wp:docPr id="123" name="矩形 244"/>
                <wp:cNvGraphicFramePr/>
                <a:graphic xmlns:a="http://schemas.openxmlformats.org/drawingml/2006/main">
                  <a:graphicData uri="http://schemas.microsoft.com/office/word/2010/wordprocessingShape">
                    <wps:wsp>
                      <wps:cNvSpPr/>
                      <wps:spPr>
                        <a:xfrm>
                          <a:off x="0" y="0"/>
                          <a:ext cx="238760" cy="143510"/>
                        </a:xfrm>
                        <a:prstGeom prst="rect">
                          <a:avLst/>
                        </a:prstGeom>
                        <a:solidFill>
                          <a:srgbClr val="FF0000">
                            <a:alpha val="25999"/>
                          </a:srgbClr>
                        </a:solidFill>
                        <a:ln w="9525" cap="flat" cmpd="sng">
                          <a:solidFill>
                            <a:srgbClr val="F2DCDB"/>
                          </a:solidFill>
                          <a:prstDash val="solid"/>
                          <a:miter/>
                          <a:headEnd type="none" w="med" len="med"/>
                          <a:tailEnd type="none" w="med" len="med"/>
                        </a:ln>
                      </wps:spPr>
                      <wps:bodyPr upright="1"/>
                    </wps:wsp>
                  </a:graphicData>
                </a:graphic>
              </wp:anchor>
            </w:drawing>
          </mc:Choice>
          <mc:Fallback>
            <w:pict>
              <v:rect id="矩形 244" o:spid="_x0000_s1026" o:spt="1" style="position:absolute;left:0pt;margin-left:590.15pt;margin-top:303pt;height:11.3pt;width:18.8pt;z-index:251752448;mso-width-relative:page;mso-height-relative:page;" fillcolor="#FF0000" filled="t" stroked="t" coordsize="21600,21600" o:gfxdata="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nqEytgAAAANAQAADwAAAAAA&#10;AAABACAAAAAiAAAAZHJzL2Rvd25yZXYueG1sUEsBAhQAFAAAAAgAh07iQEmVLaQTAgAAQgQAAA4A&#10;AAAAAAAAAQAgAAAAJwEAAGRycy9lMm9Eb2MueG1sUEsFBgAAAAAGAAYAWQEAAKwFAAAAAA==&#10;">
                <v:fill on="t" opacity="17038f" focussize="0,0"/>
                <v:stroke color="#F2DCDB" joinstyle="miter"/>
                <v:imagedata o:title=""/>
                <o:lock v:ext="edit" aspectratio="f"/>
              </v:rect>
            </w:pict>
          </mc:Fallback>
        </mc:AlternateContent>
      </w:r>
      <w:r>
        <w:rPr>
          <w:sz w:val="24"/>
        </w:rPr>
        <mc:AlternateContent>
          <mc:Choice Requires="wps">
            <w:drawing>
              <wp:anchor distT="0" distB="0" distL="114300" distR="114300" simplePos="0" relativeHeight="251753472" behindDoc="0" locked="0" layoutInCell="1" allowOverlap="1">
                <wp:simplePos x="0" y="0"/>
                <wp:positionH relativeFrom="column">
                  <wp:posOffset>7504430</wp:posOffset>
                </wp:positionH>
                <wp:positionV relativeFrom="paragraph">
                  <wp:posOffset>4115435</wp:posOffset>
                </wp:positionV>
                <wp:extent cx="228600" cy="142875"/>
                <wp:effectExtent l="4445" t="5080" r="14605" b="4445"/>
                <wp:wrapNone/>
                <wp:docPr id="124" name="矩形 245"/>
                <wp:cNvGraphicFramePr/>
                <a:graphic xmlns:a="http://schemas.openxmlformats.org/drawingml/2006/main">
                  <a:graphicData uri="http://schemas.microsoft.com/office/word/2010/wordprocessingShape">
                    <wps:wsp>
                      <wps:cNvSpPr/>
                      <wps:spPr>
                        <a:xfrm>
                          <a:off x="0" y="0"/>
                          <a:ext cx="228600" cy="142875"/>
                        </a:xfrm>
                        <a:prstGeom prst="rect">
                          <a:avLst/>
                        </a:prstGeom>
                        <a:solidFill>
                          <a:srgbClr val="FFFF00">
                            <a:alpha val="20000"/>
                          </a:srgbClr>
                        </a:solidFill>
                        <a:ln w="9525" cap="flat" cmpd="sng">
                          <a:solidFill>
                            <a:srgbClr val="F2DCDB"/>
                          </a:solidFill>
                          <a:prstDash val="solid"/>
                          <a:miter/>
                          <a:headEnd type="none" w="med" len="med"/>
                          <a:tailEnd type="none" w="med" len="med"/>
                        </a:ln>
                      </wps:spPr>
                      <wps:bodyPr upright="1"/>
                    </wps:wsp>
                  </a:graphicData>
                </a:graphic>
              </wp:anchor>
            </w:drawing>
          </mc:Choice>
          <mc:Fallback>
            <w:pict>
              <v:rect id="矩形 245" o:spid="_x0000_s1026" o:spt="1" style="position:absolute;left:0pt;margin-left:590.9pt;margin-top:324.05pt;height:11.25pt;width:18pt;z-index:251753472;mso-width-relative:page;mso-height-relative:page;" fillcolor="#FFFF00" filled="t" stroked="t" coordsize="21600,21600" o:gfxdata="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KqOah1wAAAA0BAAAPAAAAAAAA&#10;AAEAIAAAACIAAABkcnMvZG93bnJldi54bWxQSwECFAAUAAAACACHTuJAsbjVxhMCAABCBAAADgAA&#10;AAAAAAABACAAAAAmAQAAZHJzL2Uyb0RvYy54bWxQSwUGAAAAAAYABgBZAQAAqwUAAAAA&#10;">
                <v:fill on="t" opacity="13107f" focussize="0,0"/>
                <v:stroke color="#F2DCDB" joinstyle="miter"/>
                <v:imagedata o:title=""/>
                <o:lock v:ext="edit" aspectratio="f"/>
              </v:rect>
            </w:pict>
          </mc:Fallback>
        </mc:AlternateContent>
      </w:r>
      <w:r>
        <w:rPr>
          <w:sz w:val="24"/>
        </w:rPr>
        <mc:AlternateContent>
          <mc:Choice Requires="wps">
            <w:drawing>
              <wp:anchor distT="0" distB="0" distL="114300" distR="114300" simplePos="0" relativeHeight="251750400" behindDoc="0" locked="0" layoutInCell="1" allowOverlap="1">
                <wp:simplePos x="0" y="0"/>
                <wp:positionH relativeFrom="column">
                  <wp:posOffset>2636520</wp:posOffset>
                </wp:positionH>
                <wp:positionV relativeFrom="paragraph">
                  <wp:posOffset>763270</wp:posOffset>
                </wp:positionV>
                <wp:extent cx="1162685" cy="370205"/>
                <wp:effectExtent l="4445" t="5080" r="13970" b="5715"/>
                <wp:wrapNone/>
                <wp:docPr id="121" name="矩形 242"/>
                <wp:cNvGraphicFramePr/>
                <a:graphic xmlns:a="http://schemas.openxmlformats.org/drawingml/2006/main">
                  <a:graphicData uri="http://schemas.microsoft.com/office/word/2010/wordprocessingShape">
                    <wps:wsp>
                      <wps:cNvSpPr/>
                      <wps:spPr>
                        <a:xfrm>
                          <a:off x="0" y="0"/>
                          <a:ext cx="1162685" cy="370205"/>
                        </a:xfrm>
                        <a:prstGeom prst="rect">
                          <a:avLst/>
                        </a:prstGeom>
                        <a:solidFill>
                          <a:srgbClr val="00B050">
                            <a:alpha val="18999"/>
                          </a:srgbClr>
                        </a:solidFill>
                        <a:ln w="9525" cap="flat" cmpd="sng">
                          <a:solidFill>
                            <a:srgbClr val="F2DCDB"/>
                          </a:solidFill>
                          <a:prstDash val="solid"/>
                          <a:miter/>
                          <a:headEnd type="none" w="med" len="med"/>
                          <a:tailEnd type="none" w="med" len="med"/>
                        </a:ln>
                      </wps:spPr>
                      <wps:bodyPr upright="1"/>
                    </wps:wsp>
                  </a:graphicData>
                </a:graphic>
              </wp:anchor>
            </w:drawing>
          </mc:Choice>
          <mc:Fallback>
            <w:pict>
              <v:rect id="矩形 242" o:spid="_x0000_s1026" o:spt="1" style="position:absolute;left:0pt;margin-left:207.6pt;margin-top:60.1pt;height:29.15pt;width:91.55pt;z-index:251750400;mso-width-relative:page;mso-height-relative:page;" fillcolor="#00B050" filled="t" stroked="t" coordsize="21600,21600" o:gfxdata="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U58F0NcAAAALAQAADwAAAAAA&#10;AAABACAAAAAiAAAAZHJzL2Rvd25yZXYueG1sUEsBAhQAFAAAAAgAh07iQBCNk8gUAgAAQwQAAA4A&#10;AAAAAAAAAQAgAAAAJgEAAGRycy9lMm9Eb2MueG1sUEsFBgAAAAAGAAYAWQEAAKwFAAAAAA==&#10;">
                <v:fill on="t" opacity="12451f" focussize="0,0"/>
                <v:stroke color="#F2DCDB" joinstyle="miter"/>
                <v:imagedata o:title=""/>
                <o:lock v:ext="edit" aspectratio="f"/>
              </v:rect>
            </w:pict>
          </mc:Fallback>
        </mc:AlternateContent>
      </w:r>
      <w:r>
        <w:rPr>
          <w:sz w:val="24"/>
        </w:rPr>
        <mc:AlternateContent>
          <mc:Choice Requires="wps">
            <w:drawing>
              <wp:anchor distT="0" distB="0" distL="114300" distR="114300" simplePos="0" relativeHeight="251749376" behindDoc="0" locked="0" layoutInCell="1" allowOverlap="1">
                <wp:simplePos x="0" y="0"/>
                <wp:positionH relativeFrom="column">
                  <wp:posOffset>4493895</wp:posOffset>
                </wp:positionH>
                <wp:positionV relativeFrom="paragraph">
                  <wp:posOffset>1239520</wp:posOffset>
                </wp:positionV>
                <wp:extent cx="1419225" cy="370205"/>
                <wp:effectExtent l="4445" t="4445" r="5080" b="6350"/>
                <wp:wrapNone/>
                <wp:docPr id="120" name="矩形 241"/>
                <wp:cNvGraphicFramePr/>
                <a:graphic xmlns:a="http://schemas.openxmlformats.org/drawingml/2006/main">
                  <a:graphicData uri="http://schemas.microsoft.com/office/word/2010/wordprocessingShape">
                    <wps:wsp>
                      <wps:cNvSpPr/>
                      <wps:spPr>
                        <a:xfrm>
                          <a:off x="0" y="0"/>
                          <a:ext cx="1419225" cy="370205"/>
                        </a:xfrm>
                        <a:prstGeom prst="rect">
                          <a:avLst/>
                        </a:prstGeom>
                        <a:solidFill>
                          <a:srgbClr val="00B050">
                            <a:alpha val="18999"/>
                          </a:srgbClr>
                        </a:solidFill>
                        <a:ln w="9525" cap="flat" cmpd="sng">
                          <a:solidFill>
                            <a:srgbClr val="F2DCDB"/>
                          </a:solidFill>
                          <a:prstDash val="solid"/>
                          <a:miter/>
                          <a:headEnd type="none" w="med" len="med"/>
                          <a:tailEnd type="none" w="med" len="med"/>
                        </a:ln>
                      </wps:spPr>
                      <wps:bodyPr upright="1"/>
                    </wps:wsp>
                  </a:graphicData>
                </a:graphic>
              </wp:anchor>
            </w:drawing>
          </mc:Choice>
          <mc:Fallback>
            <w:pict>
              <v:rect id="矩形 241" o:spid="_x0000_s1026" o:spt="1" style="position:absolute;left:0pt;margin-left:353.85pt;margin-top:97.6pt;height:29.15pt;width:111.75pt;z-index:251749376;mso-width-relative:page;mso-height-relative:page;" fillcolor="#00B050" filled="t" stroked="t" coordsize="21600,21600" o:gfxdata="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1QY4d2AAAAAsBAAAPAAAAAAAA&#10;AAEAIAAAACIAAABkcnMvZG93bnJldi54bWxQSwECFAAUAAAACACHTuJAnAPhBhICAABDBAAADgAA&#10;AAAAAAABACAAAAAnAQAAZHJzL2Uyb0RvYy54bWxQSwUGAAAAAAYABgBZAQAAqwUAAAAA&#10;">
                <v:fill on="t" opacity="12451f" focussize="0,0"/>
                <v:stroke color="#F2DCDB" joinstyle="miter"/>
                <v:imagedata o:title=""/>
                <o:lock v:ext="edit" aspectratio="f"/>
              </v:rect>
            </w:pict>
          </mc:Fallback>
        </mc:AlternateContent>
      </w:r>
      <w:r>
        <w:rPr>
          <w:sz w:val="24"/>
        </w:rPr>
        <mc:AlternateContent>
          <mc:Choice Requires="wps">
            <w:drawing>
              <wp:anchor distT="0" distB="0" distL="114300" distR="114300" simplePos="0" relativeHeight="251748352" behindDoc="0" locked="0" layoutInCell="1" allowOverlap="1">
                <wp:simplePos x="0" y="0"/>
                <wp:positionH relativeFrom="column">
                  <wp:posOffset>2275205</wp:posOffset>
                </wp:positionH>
                <wp:positionV relativeFrom="paragraph">
                  <wp:posOffset>382905</wp:posOffset>
                </wp:positionV>
                <wp:extent cx="3866515" cy="2551430"/>
                <wp:effectExtent l="9525" t="9525" r="10160" b="14605"/>
                <wp:wrapNone/>
                <wp:docPr id="118" name="矩形 239"/>
                <wp:cNvGraphicFramePr/>
                <a:graphic xmlns:a="http://schemas.openxmlformats.org/drawingml/2006/main">
                  <a:graphicData uri="http://schemas.microsoft.com/office/word/2010/wordprocessingShape">
                    <wps:wsp>
                      <wps:cNvSpPr/>
                      <wps:spPr>
                        <a:xfrm>
                          <a:off x="0" y="0"/>
                          <a:ext cx="3866515" cy="2551430"/>
                        </a:xfrm>
                        <a:prstGeom prst="rect">
                          <a:avLst/>
                        </a:prstGeom>
                        <a:noFill/>
                        <a:ln w="19050" cap="flat" cmpd="sng">
                          <a:solidFill>
                            <a:srgbClr val="FFFF00"/>
                          </a:solidFill>
                          <a:prstDash val="solid"/>
                          <a:miter/>
                          <a:headEnd type="none" w="med" len="med"/>
                          <a:tailEnd type="none" w="med" len="med"/>
                        </a:ln>
                      </wps:spPr>
                      <wps:bodyPr upright="1"/>
                    </wps:wsp>
                  </a:graphicData>
                </a:graphic>
              </wp:anchor>
            </w:drawing>
          </mc:Choice>
          <mc:Fallback>
            <w:pict>
              <v:rect id="矩形 239" o:spid="_x0000_s1026" o:spt="1" style="position:absolute;left:0pt;margin-left:179.15pt;margin-top:30.15pt;height:200.9pt;width:304.45pt;z-index:251748352;mso-width-relative:page;mso-height-relative:page;" filled="f" stroked="t" coordsize="21600,21600" o:gfxdata="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RY+ErYAAAACgEAAA8AAAAAAAAAAQAgAAAAIgAAAGRycy9kb3ducmV2&#10;LnhtbFBLAQIUABQAAAAIAIdO4kBN6VNm/AEAAPsDAAAOAAAAAAAAAAEAIAAAACcBAABkcnMvZTJv&#10;RG9jLnhtbFBLBQYAAAAABgAGAFkBAACVBQAAAAA=&#10;">
                <v:fill on="f" focussize="0,0"/>
                <v:stroke weight="1.5pt" color="#FFFF00" joinstyle="miter"/>
                <v:imagedata o:title=""/>
                <o:lock v:ext="edit" aspectratio="f"/>
              </v:rect>
            </w:pict>
          </mc:Fallback>
        </mc:AlternateContent>
      </w:r>
      <w:r>
        <w:rPr>
          <w:sz w:val="24"/>
        </w:rPr>
        <mc:AlternateContent>
          <mc:Choice Requires="wps">
            <w:drawing>
              <wp:anchor distT="0" distB="0" distL="114300" distR="114300" simplePos="0" relativeHeight="251747328" behindDoc="0" locked="0" layoutInCell="1" allowOverlap="1">
                <wp:simplePos x="0" y="0"/>
                <wp:positionH relativeFrom="column">
                  <wp:posOffset>5470525</wp:posOffset>
                </wp:positionH>
                <wp:positionV relativeFrom="paragraph">
                  <wp:posOffset>2185670</wp:posOffset>
                </wp:positionV>
                <wp:extent cx="771525" cy="228600"/>
                <wp:effectExtent l="0" t="0" r="9525" b="57150"/>
                <wp:wrapNone/>
                <wp:docPr id="115" name="自选图形 234"/>
                <wp:cNvGraphicFramePr/>
                <a:graphic xmlns:a="http://schemas.openxmlformats.org/drawingml/2006/main">
                  <a:graphicData uri="http://schemas.microsoft.com/office/word/2010/wordprocessingShape">
                    <wps:wsp>
                      <wps:cNvSpPr/>
                      <wps:spPr>
                        <a:xfrm>
                          <a:off x="0" y="0"/>
                          <a:ext cx="771525" cy="228600"/>
                        </a:xfrm>
                        <a:prstGeom prst="wedgeRectCallout">
                          <a:avLst>
                            <a:gd name="adj1" fmla="val -43750"/>
                            <a:gd name="adj2" fmla="val 70000"/>
                          </a:avLst>
                        </a:prstGeom>
                        <a:solidFill>
                          <a:srgbClr val="FFFFFF"/>
                        </a:solidFill>
                        <a:ln>
                          <a:noFill/>
                        </a:ln>
                      </wps:spPr>
                      <wps:txbx>
                        <w:txbxContent>
                          <w:p>
                            <w:pPr>
                              <w:rPr>
                                <w:rFonts w:hint="eastAsia" w:eastAsia="宋体"/>
                                <w:sz w:val="18"/>
                                <w:szCs w:val="21"/>
                                <w:lang w:eastAsia="zh-CN"/>
                              </w:rPr>
                            </w:pPr>
                            <w:r>
                              <w:rPr>
                                <w:rFonts w:hint="eastAsia"/>
                                <w:color w:val="00B0F0"/>
                                <w:sz w:val="15"/>
                                <w:szCs w:val="18"/>
                                <w:lang w:eastAsia="zh-CN"/>
                              </w:rPr>
                              <w:t>污水处理站</w:t>
                            </w:r>
                          </w:p>
                          <w:p/>
                        </w:txbxContent>
                      </wps:txbx>
                      <wps:bodyPr upright="1"/>
                    </wps:wsp>
                  </a:graphicData>
                </a:graphic>
              </wp:anchor>
            </w:drawing>
          </mc:Choice>
          <mc:Fallback>
            <w:pict>
              <v:shape id="自选图形 234" o:spid="_x0000_s1026" o:spt="61" type="#_x0000_t61" style="position:absolute;left:0pt;margin-left:430.75pt;margin-top:172.1pt;height:18pt;width:60.75pt;z-index:251747328;mso-width-relative:page;mso-height-relative:page;" fillcolor="#FFFFFF" filled="t" stroked="f" coordsize="21600,21600" o:gfxdata="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iMBP9kAAAALAQAADwAAAAAAAAABACAAAAAiAAAAZHJzL2Rvd25yZXYueG1sUEsBAhQA&#10;FAAAAAgAh07iQDngcE3xAQAA0QMAAA4AAAAAAAAAAQAgAAAAKAEAAGRycy9lMm9Eb2MueG1sUEsF&#10;BgAAAAAGAAYAWQEAAIsFAAAAAA==&#10;" adj="1350,25920">
                <v:fill on="t" focussize="0,0"/>
                <v:stroke on="f"/>
                <v:imagedata o:title=""/>
                <o:lock v:ext="edit" aspectratio="f"/>
                <v:textbox>
                  <w:txbxContent>
                    <w:p>
                      <w:pPr>
                        <w:rPr>
                          <w:rFonts w:hint="eastAsia" w:eastAsia="宋体"/>
                          <w:sz w:val="18"/>
                          <w:szCs w:val="21"/>
                          <w:lang w:eastAsia="zh-CN"/>
                        </w:rPr>
                      </w:pPr>
                      <w:r>
                        <w:rPr>
                          <w:rFonts w:hint="eastAsia"/>
                          <w:color w:val="00B0F0"/>
                          <w:sz w:val="15"/>
                          <w:szCs w:val="18"/>
                          <w:lang w:eastAsia="zh-CN"/>
                        </w:rPr>
                        <w:t>污水处理站</w:t>
                      </w:r>
                    </w:p>
                    <w:p/>
                  </w:txbxContent>
                </v:textbox>
              </v:shape>
            </w:pict>
          </mc:Fallback>
        </mc:AlternateContent>
      </w:r>
      <w:r>
        <w:rPr>
          <w:sz w:val="24"/>
        </w:rPr>
        <mc:AlternateContent>
          <mc:Choice Requires="wps">
            <w:drawing>
              <wp:anchor distT="0" distB="0" distL="114300" distR="114300" simplePos="0" relativeHeight="251746304" behindDoc="0" locked="0" layoutInCell="1" allowOverlap="1">
                <wp:simplePos x="0" y="0"/>
                <wp:positionH relativeFrom="column">
                  <wp:posOffset>4584700</wp:posOffset>
                </wp:positionH>
                <wp:positionV relativeFrom="paragraph">
                  <wp:posOffset>2147570</wp:posOffset>
                </wp:positionV>
                <wp:extent cx="662305" cy="302895"/>
                <wp:effectExtent l="0" t="0" r="8255" b="62865"/>
                <wp:wrapNone/>
                <wp:docPr id="114" name="自选图形 231"/>
                <wp:cNvGraphicFramePr/>
                <a:graphic xmlns:a="http://schemas.openxmlformats.org/drawingml/2006/main">
                  <a:graphicData uri="http://schemas.microsoft.com/office/word/2010/wordprocessingShape">
                    <wps:wsp>
                      <wps:cNvSpPr/>
                      <wps:spPr>
                        <a:xfrm>
                          <a:off x="0" y="0"/>
                          <a:ext cx="662305" cy="302895"/>
                        </a:xfrm>
                        <a:prstGeom prst="wedgeRectCallout">
                          <a:avLst>
                            <a:gd name="adj1" fmla="val -43750"/>
                            <a:gd name="adj2" fmla="val 70000"/>
                          </a:avLst>
                        </a:prstGeom>
                        <a:solidFill>
                          <a:srgbClr val="FFFFFF"/>
                        </a:solidFill>
                        <a:ln>
                          <a:noFill/>
                        </a:ln>
                      </wps:spPr>
                      <wps:txbx>
                        <w:txbxContent>
                          <w:p>
                            <w:pPr>
                              <w:rPr>
                                <w:rFonts w:hint="default"/>
                                <w:lang w:val="en-US"/>
                              </w:rPr>
                            </w:pPr>
                            <w:r>
                              <w:rPr>
                                <w:rFonts w:hint="eastAsia"/>
                                <w:color w:val="00B0F0"/>
                                <w:sz w:val="15"/>
                                <w:szCs w:val="18"/>
                                <w:lang w:val="en-US" w:eastAsia="zh-CN"/>
                              </w:rPr>
                              <w:t>危险废物</w:t>
                            </w:r>
                            <w:r>
                              <w:rPr>
                                <w:rFonts w:hint="eastAsia" w:ascii="Times New Roman" w:hAnsi="Times New Roman" w:eastAsia="宋体" w:cs="Times New Roman"/>
                                <w:color w:val="00B0F0"/>
                                <w:sz w:val="15"/>
                                <w:szCs w:val="18"/>
                                <w:lang w:eastAsia="zh-CN"/>
                              </w:rPr>
                              <w:t>暂存</w:t>
                            </w:r>
                            <w:r>
                              <w:rPr>
                                <w:rFonts w:hint="eastAsia" w:cs="Times New Roman"/>
                                <w:color w:val="00B0F0"/>
                                <w:sz w:val="15"/>
                                <w:szCs w:val="18"/>
                                <w:lang w:val="en-US" w:eastAsia="zh-CN"/>
                              </w:rPr>
                              <w:t>间</w:t>
                            </w:r>
                          </w:p>
                        </w:txbxContent>
                      </wps:txbx>
                      <wps:bodyPr upright="1"/>
                    </wps:wsp>
                  </a:graphicData>
                </a:graphic>
              </wp:anchor>
            </w:drawing>
          </mc:Choice>
          <mc:Fallback>
            <w:pict>
              <v:shape id="自选图形 231" o:spid="_x0000_s1026" o:spt="61" type="#_x0000_t61" style="position:absolute;left:0pt;margin-left:361pt;margin-top:169.1pt;height:23.85pt;width:52.15pt;z-index:251746304;mso-width-relative:page;mso-height-relative:page;" fillcolor="#FFFFFF" filled="t" stroked="f" coordsize="21600,21600" o:gfxdata="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CbbtdkAAAALAQAADwAAAAAAAAABACAAAAAiAAAAZHJzL2Rvd25yZXYueG1sUEsBAhQA&#10;FAAAAAgAh07iQBs5fabxAQAA0QMAAA4AAAAAAAAAAQAgAAAAKAEAAGRycy9lMm9Eb2MueG1sUEsF&#10;BgAAAAAGAAYAWQEAAIsFAAAAAA==&#10;" adj="1350,25920">
                <v:fill on="t" focussize="0,0"/>
                <v:stroke on="f"/>
                <v:imagedata o:title=""/>
                <o:lock v:ext="edit" aspectratio="f"/>
                <v:textbox>
                  <w:txbxContent>
                    <w:p>
                      <w:pPr>
                        <w:rPr>
                          <w:rFonts w:hint="default"/>
                          <w:lang w:val="en-US"/>
                        </w:rPr>
                      </w:pPr>
                      <w:r>
                        <w:rPr>
                          <w:rFonts w:hint="eastAsia"/>
                          <w:color w:val="00B0F0"/>
                          <w:sz w:val="15"/>
                          <w:szCs w:val="18"/>
                          <w:lang w:val="en-US" w:eastAsia="zh-CN"/>
                        </w:rPr>
                        <w:t>危险废物</w:t>
                      </w:r>
                      <w:r>
                        <w:rPr>
                          <w:rFonts w:hint="eastAsia" w:ascii="Times New Roman" w:hAnsi="Times New Roman" w:eastAsia="宋体" w:cs="Times New Roman"/>
                          <w:color w:val="00B0F0"/>
                          <w:sz w:val="15"/>
                          <w:szCs w:val="18"/>
                          <w:lang w:eastAsia="zh-CN"/>
                        </w:rPr>
                        <w:t>暂存</w:t>
                      </w:r>
                      <w:r>
                        <w:rPr>
                          <w:rFonts w:hint="eastAsia" w:cs="Times New Roman"/>
                          <w:color w:val="00B0F0"/>
                          <w:sz w:val="15"/>
                          <w:szCs w:val="18"/>
                          <w:lang w:val="en-US" w:eastAsia="zh-CN"/>
                        </w:rPr>
                        <w:t>间</w:t>
                      </w:r>
                    </w:p>
                  </w:txbxContent>
                </v:textbox>
              </v:shape>
            </w:pict>
          </mc:Fallback>
        </mc:AlternateContent>
      </w:r>
      <w:r>
        <w:rPr>
          <w:rFonts w:hint="eastAsia" w:ascii="宋体" w:hAnsi="宋体" w:eastAsia="宋体" w:cs="宋体"/>
          <w:sz w:val="24"/>
        </w:rPr>
        <mc:AlternateContent>
          <mc:Choice Requires="wps">
            <w:drawing>
              <wp:anchor distT="0" distB="0" distL="114300" distR="114300" simplePos="0" relativeHeight="251698176" behindDoc="0" locked="0" layoutInCell="1" allowOverlap="1">
                <wp:simplePos x="0" y="0"/>
                <wp:positionH relativeFrom="column">
                  <wp:posOffset>2700655</wp:posOffset>
                </wp:positionH>
                <wp:positionV relativeFrom="paragraph">
                  <wp:posOffset>5391150</wp:posOffset>
                </wp:positionV>
                <wp:extent cx="2639060" cy="301625"/>
                <wp:effectExtent l="0" t="0" r="0" b="0"/>
                <wp:wrapNone/>
                <wp:docPr id="42" name="文本框 184"/>
                <wp:cNvGraphicFramePr/>
                <a:graphic xmlns:a="http://schemas.openxmlformats.org/drawingml/2006/main">
                  <a:graphicData uri="http://schemas.microsoft.com/office/word/2010/wordprocessingShape">
                    <wps:wsp>
                      <wps:cNvSpPr txBox="1"/>
                      <wps:spPr>
                        <a:xfrm>
                          <a:off x="0" y="0"/>
                          <a:ext cx="2639060" cy="301625"/>
                        </a:xfrm>
                        <a:prstGeom prst="rect">
                          <a:avLst/>
                        </a:prstGeom>
                        <a:noFill/>
                        <a:ln>
                          <a:noFill/>
                        </a:ln>
                      </wps:spPr>
                      <wps:txbx>
                        <w:txbxContent>
                          <w:p>
                            <w:pPr>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附图</w:t>
                            </w:r>
                            <w:r>
                              <w:rPr>
                                <w:rFonts w:hint="eastAsia" w:ascii="宋体" w:hAnsi="宋体" w:cs="宋体"/>
                                <w:b/>
                                <w:bCs/>
                                <w:color w:val="auto"/>
                                <w:sz w:val="24"/>
                                <w:szCs w:val="24"/>
                                <w:lang w:val="en-US" w:eastAsia="zh-CN"/>
                              </w:rPr>
                              <w:t>3</w:t>
                            </w:r>
                            <w:r>
                              <w:rPr>
                                <w:rFonts w:hint="eastAsia" w:ascii="宋体" w:hAnsi="宋体" w:eastAsia="宋体" w:cs="宋体"/>
                                <w:b/>
                                <w:bCs/>
                                <w:color w:val="auto"/>
                                <w:sz w:val="24"/>
                                <w:szCs w:val="24"/>
                                <w:lang w:val="en-US" w:eastAsia="zh-CN"/>
                              </w:rPr>
                              <w:t xml:space="preserve">  项目</w:t>
                            </w:r>
                            <w:r>
                              <w:rPr>
                                <w:rFonts w:hint="eastAsia" w:ascii="宋体" w:hAnsi="宋体" w:cs="宋体"/>
                                <w:b/>
                                <w:bCs/>
                                <w:color w:val="auto"/>
                                <w:sz w:val="24"/>
                                <w:szCs w:val="24"/>
                                <w:lang w:val="en-US" w:eastAsia="zh-CN"/>
                              </w:rPr>
                              <w:t>地下水分区示意图</w:t>
                            </w:r>
                          </w:p>
                        </w:txbxContent>
                      </wps:txbx>
                      <wps:bodyPr upright="1"/>
                    </wps:wsp>
                  </a:graphicData>
                </a:graphic>
              </wp:anchor>
            </w:drawing>
          </mc:Choice>
          <mc:Fallback>
            <w:pict>
              <v:shape id="文本框 184" o:spid="_x0000_s1026" o:spt="202" type="#_x0000_t202" style="position:absolute;left:0pt;margin-left:212.65pt;margin-top:424.5pt;height:23.75pt;width:207.8pt;z-index:251698176;mso-width-relative:page;mso-height-relative:page;" filled="f" stroked="f" coordsize="21600,21600" o:gfxdata="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Dy&#10;KhnZAAAACwEAAA8AAAAAAAAAAQAgAAAAIgAAAGRycy9kb3ducmV2LnhtbFBLAQIUABQAAAAIAIdO&#10;4kDNbEFzsAEAAFEDAAAOAAAAAAAAAAEAIAAAACgBAABkcnMvZTJvRG9jLnhtbFBLBQYAAAAABgAG&#10;AFkBAABKBQAAAAA=&#10;">
                <v:fill on="f" focussize="0,0"/>
                <v:stroke on="f"/>
                <v:imagedata o:title=""/>
                <o:lock v:ext="edit" aspectratio="f"/>
                <v:textbox>
                  <w:txbxContent>
                    <w:p>
                      <w:pPr>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附图</w:t>
                      </w:r>
                      <w:r>
                        <w:rPr>
                          <w:rFonts w:hint="eastAsia" w:ascii="宋体" w:hAnsi="宋体" w:cs="宋体"/>
                          <w:b/>
                          <w:bCs/>
                          <w:color w:val="auto"/>
                          <w:sz w:val="24"/>
                          <w:szCs w:val="24"/>
                          <w:lang w:val="en-US" w:eastAsia="zh-CN"/>
                        </w:rPr>
                        <w:t>3</w:t>
                      </w:r>
                      <w:r>
                        <w:rPr>
                          <w:rFonts w:hint="eastAsia" w:ascii="宋体" w:hAnsi="宋体" w:eastAsia="宋体" w:cs="宋体"/>
                          <w:b/>
                          <w:bCs/>
                          <w:color w:val="auto"/>
                          <w:sz w:val="24"/>
                          <w:szCs w:val="24"/>
                          <w:lang w:val="en-US" w:eastAsia="zh-CN"/>
                        </w:rPr>
                        <w:t xml:space="preserve">  项目</w:t>
                      </w:r>
                      <w:r>
                        <w:rPr>
                          <w:rFonts w:hint="eastAsia" w:ascii="宋体" w:hAnsi="宋体" w:cs="宋体"/>
                          <w:b/>
                          <w:bCs/>
                          <w:color w:val="auto"/>
                          <w:sz w:val="24"/>
                          <w:szCs w:val="24"/>
                          <w:lang w:val="en-US" w:eastAsia="zh-CN"/>
                        </w:rPr>
                        <w:t>地下水分区示意图</w:t>
                      </w:r>
                    </w:p>
                  </w:txbxContent>
                </v:textbox>
              </v:shape>
            </w:pict>
          </mc:Fallback>
        </mc:AlternateContent>
      </w:r>
    </w:p>
    <w:p>
      <w:pPr>
        <w:pStyle w:val="12"/>
        <w:rPr>
          <w:lang w:val="en-US" w:eastAsia="zh-CN"/>
        </w:rPr>
        <w:sectPr>
          <w:pgSz w:w="16838" w:h="11906" w:orient="landscape"/>
          <w:pgMar w:top="1701" w:right="1531" w:bottom="1701" w:left="1531" w:header="851" w:footer="851" w:gutter="0"/>
          <w:pgNumType w:fmt="decimal"/>
          <w:cols w:space="720" w:num="1"/>
          <w:docGrid w:linePitch="312" w:charSpace="0"/>
        </w:sectPr>
      </w:pPr>
      <w:r>
        <w:rPr>
          <w:sz w:val="24"/>
        </w:rPr>
        <mc:AlternateContent>
          <mc:Choice Requires="wps">
            <w:drawing>
              <wp:anchor distT="0" distB="0" distL="114300" distR="114300" simplePos="0" relativeHeight="251743232" behindDoc="0" locked="0" layoutInCell="1" allowOverlap="1">
                <wp:simplePos x="0" y="0"/>
                <wp:positionH relativeFrom="column">
                  <wp:posOffset>4575810</wp:posOffset>
                </wp:positionH>
                <wp:positionV relativeFrom="paragraph">
                  <wp:posOffset>2404745</wp:posOffset>
                </wp:positionV>
                <wp:extent cx="610870" cy="329565"/>
                <wp:effectExtent l="0" t="0" r="13970" b="66675"/>
                <wp:wrapNone/>
                <wp:docPr id="111" name="自选图形 227"/>
                <wp:cNvGraphicFramePr/>
                <a:graphic xmlns:a="http://schemas.openxmlformats.org/drawingml/2006/main">
                  <a:graphicData uri="http://schemas.microsoft.com/office/word/2010/wordprocessingShape">
                    <wps:wsp>
                      <wps:cNvSpPr/>
                      <wps:spPr>
                        <a:xfrm>
                          <a:off x="0" y="0"/>
                          <a:ext cx="610870" cy="329565"/>
                        </a:xfrm>
                        <a:prstGeom prst="wedgeRectCallout">
                          <a:avLst>
                            <a:gd name="adj1" fmla="val -43750"/>
                            <a:gd name="adj2" fmla="val 70000"/>
                          </a:avLst>
                        </a:prstGeom>
                        <a:solidFill>
                          <a:srgbClr val="FFFFFF"/>
                        </a:solidFill>
                        <a:ln>
                          <a:noFill/>
                        </a:ln>
                      </wps:spPr>
                      <wps:txbx>
                        <w:txbxContent>
                          <w:p>
                            <w:r>
                              <w:rPr>
                                <w:rFonts w:hint="eastAsia"/>
                                <w:color w:val="00B0F0"/>
                                <w:sz w:val="15"/>
                                <w:szCs w:val="18"/>
                                <w:lang w:val="en-US" w:eastAsia="zh-CN"/>
                              </w:rPr>
                              <w:t>危险废物暂存间</w:t>
                            </w:r>
                          </w:p>
                        </w:txbxContent>
                      </wps:txbx>
                      <wps:bodyPr upright="1"/>
                    </wps:wsp>
                  </a:graphicData>
                </a:graphic>
              </wp:anchor>
            </w:drawing>
          </mc:Choice>
          <mc:Fallback>
            <w:pict>
              <v:shape id="自选图形 227" o:spid="_x0000_s1026" o:spt="61" type="#_x0000_t61" style="position:absolute;left:0pt;margin-left:360.3pt;margin-top:189.35pt;height:25.95pt;width:48.1pt;z-index:251743232;mso-width-relative:page;mso-height-relative:page;" fillcolor="#FFFFFF" filled="t" stroked="f" coordsize="21600,21600" o:gfxdata="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M/66vYAAAACwEAAA8AAAAAAAAAAQAgAAAAIgAAAGRycy9kb3ducmV2LnhtbFBLAQIUABQA&#10;AAAIAIdO4kBp+SJr8AEAANEDAAAOAAAAAAAAAAEAIAAAACcBAABkcnMvZTJvRG9jLnhtbFBLBQYA&#10;AAAABgAGAFkBAACJBQAAAAA=&#10;" adj="1350,25920">
                <v:fill on="t" focussize="0,0"/>
                <v:stroke on="f"/>
                <v:imagedata o:title=""/>
                <o:lock v:ext="edit" aspectratio="f"/>
                <v:textbox>
                  <w:txbxContent>
                    <w:p>
                      <w:r>
                        <w:rPr>
                          <w:rFonts w:hint="eastAsia"/>
                          <w:color w:val="00B0F0"/>
                          <w:sz w:val="15"/>
                          <w:szCs w:val="18"/>
                          <w:lang w:val="en-US" w:eastAsia="zh-CN"/>
                        </w:rPr>
                        <w:t>危险废物暂存间</w:t>
                      </w:r>
                    </w:p>
                  </w:txbxContent>
                </v:textbox>
              </v:shape>
            </w:pict>
          </mc:Fallback>
        </mc:AlternateContent>
      </w:r>
      <w:r>
        <w:rPr>
          <w:sz w:val="24"/>
        </w:rPr>
        <mc:AlternateContent>
          <mc:Choice Requires="wps">
            <w:drawing>
              <wp:anchor distT="0" distB="0" distL="114300" distR="114300" simplePos="0" relativeHeight="251744256" behindDoc="0" locked="0" layoutInCell="1" allowOverlap="1">
                <wp:simplePos x="0" y="0"/>
                <wp:positionH relativeFrom="column">
                  <wp:posOffset>5376545</wp:posOffset>
                </wp:positionH>
                <wp:positionV relativeFrom="paragraph">
                  <wp:posOffset>2471420</wp:posOffset>
                </wp:positionV>
                <wp:extent cx="771525" cy="228600"/>
                <wp:effectExtent l="0" t="0" r="9525" b="57150"/>
                <wp:wrapNone/>
                <wp:docPr id="112" name="自选图形 228"/>
                <wp:cNvGraphicFramePr/>
                <a:graphic xmlns:a="http://schemas.openxmlformats.org/drawingml/2006/main">
                  <a:graphicData uri="http://schemas.microsoft.com/office/word/2010/wordprocessingShape">
                    <wps:wsp>
                      <wps:cNvSpPr/>
                      <wps:spPr>
                        <a:xfrm>
                          <a:off x="0" y="0"/>
                          <a:ext cx="771525" cy="228600"/>
                        </a:xfrm>
                        <a:prstGeom prst="wedgeRectCallout">
                          <a:avLst>
                            <a:gd name="adj1" fmla="val -43750"/>
                            <a:gd name="adj2" fmla="val 70000"/>
                          </a:avLst>
                        </a:prstGeom>
                        <a:solidFill>
                          <a:srgbClr val="FFFFFF"/>
                        </a:solidFill>
                        <a:ln>
                          <a:noFill/>
                        </a:ln>
                      </wps:spPr>
                      <wps:txbx>
                        <w:txbxContent>
                          <w:p>
                            <w:pPr>
                              <w:rPr>
                                <w:rFonts w:hint="eastAsia" w:eastAsia="宋体"/>
                                <w:sz w:val="18"/>
                                <w:szCs w:val="21"/>
                                <w:lang w:eastAsia="zh-CN"/>
                              </w:rPr>
                            </w:pPr>
                            <w:r>
                              <w:rPr>
                                <w:rFonts w:hint="eastAsia"/>
                                <w:color w:val="00B0F0"/>
                                <w:sz w:val="15"/>
                                <w:szCs w:val="18"/>
                                <w:lang w:eastAsia="zh-CN"/>
                              </w:rPr>
                              <w:t>污水处理站</w:t>
                            </w:r>
                          </w:p>
                          <w:p/>
                        </w:txbxContent>
                      </wps:txbx>
                      <wps:bodyPr upright="1"/>
                    </wps:wsp>
                  </a:graphicData>
                </a:graphic>
              </wp:anchor>
            </w:drawing>
          </mc:Choice>
          <mc:Fallback>
            <w:pict>
              <v:shape id="自选图形 228" o:spid="_x0000_s1026" o:spt="61" type="#_x0000_t61" style="position:absolute;left:0pt;margin-left:423.35pt;margin-top:194.6pt;height:18pt;width:60.75pt;z-index:251744256;mso-width-relative:page;mso-height-relative:page;" fillcolor="#FFFFFF" filled="t" stroked="f" coordsize="21600,21600" o:gfxdata="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mmNbR2QAAAAsBAAAPAAAAAAAAAAEAIAAAACIAAABkcnMvZG93bnJldi54bWxQSwECFAAU&#10;AAAACACHTuJA6DxgwvABAADRAwAADgAAAAAAAAABACAAAAAoAQAAZHJzL2Uyb0RvYy54bWxQSwUG&#10;AAAAAAYABgBZAQAAigUAAAAA&#10;" adj="1350,25920">
                <v:fill on="t" focussize="0,0"/>
                <v:stroke on="f"/>
                <v:imagedata o:title=""/>
                <o:lock v:ext="edit" aspectratio="f"/>
                <v:textbox>
                  <w:txbxContent>
                    <w:p>
                      <w:pPr>
                        <w:rPr>
                          <w:rFonts w:hint="eastAsia" w:eastAsia="宋体"/>
                          <w:sz w:val="18"/>
                          <w:szCs w:val="21"/>
                          <w:lang w:eastAsia="zh-CN"/>
                        </w:rPr>
                      </w:pPr>
                      <w:r>
                        <w:rPr>
                          <w:rFonts w:hint="eastAsia"/>
                          <w:color w:val="00B0F0"/>
                          <w:sz w:val="15"/>
                          <w:szCs w:val="18"/>
                          <w:lang w:eastAsia="zh-CN"/>
                        </w:rPr>
                        <w:t>污水处理站</w:t>
                      </w:r>
                    </w:p>
                    <w:p/>
                  </w:txbxContent>
                </v:textbox>
              </v:shape>
            </w:pict>
          </mc:Fallback>
        </mc:AlternateContent>
      </w:r>
      <w:r>
        <w:rPr>
          <w:rFonts w:hint="eastAsia" w:ascii="宋体" w:hAnsi="宋体" w:eastAsia="宋体" w:cs="宋体"/>
          <w:sz w:val="24"/>
        </w:rPr>
        <mc:AlternateContent>
          <mc:Choice Requires="wps">
            <w:drawing>
              <wp:anchor distT="0" distB="0" distL="114300" distR="114300" simplePos="0" relativeHeight="251695104" behindDoc="0" locked="0" layoutInCell="1" allowOverlap="1">
                <wp:simplePos x="0" y="0"/>
                <wp:positionH relativeFrom="column">
                  <wp:posOffset>2968625</wp:posOffset>
                </wp:positionH>
                <wp:positionV relativeFrom="paragraph">
                  <wp:posOffset>5626735</wp:posOffset>
                </wp:positionV>
                <wp:extent cx="2639060" cy="301625"/>
                <wp:effectExtent l="0" t="0" r="0" b="0"/>
                <wp:wrapNone/>
                <wp:docPr id="37" name="文本框 124"/>
                <wp:cNvGraphicFramePr/>
                <a:graphic xmlns:a="http://schemas.openxmlformats.org/drawingml/2006/main">
                  <a:graphicData uri="http://schemas.microsoft.com/office/word/2010/wordprocessingShape">
                    <wps:wsp>
                      <wps:cNvSpPr txBox="1"/>
                      <wps:spPr>
                        <a:xfrm>
                          <a:off x="0" y="0"/>
                          <a:ext cx="2639060" cy="301625"/>
                        </a:xfrm>
                        <a:prstGeom prst="rect">
                          <a:avLst/>
                        </a:prstGeom>
                        <a:noFill/>
                        <a:ln>
                          <a:noFill/>
                        </a:ln>
                      </wps:spPr>
                      <wps:txbx>
                        <w:txbxContent>
                          <w:p>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附图</w:t>
                            </w:r>
                            <w:r>
                              <w:rPr>
                                <w:rFonts w:hint="eastAsia" w:ascii="宋体" w:hAnsi="宋体" w:eastAsia="宋体" w:cs="宋体"/>
                                <w:b/>
                                <w:bCs/>
                                <w:sz w:val="24"/>
                                <w:szCs w:val="24"/>
                                <w:lang w:val="en-US" w:eastAsia="zh-CN"/>
                              </w:rPr>
                              <w:t>3</w:t>
                            </w: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val="en-US" w:eastAsia="zh-CN"/>
                              </w:rPr>
                              <w:t>平面布置图</w:t>
                            </w:r>
                          </w:p>
                        </w:txbxContent>
                      </wps:txbx>
                      <wps:bodyPr upright="1"/>
                    </wps:wsp>
                  </a:graphicData>
                </a:graphic>
              </wp:anchor>
            </w:drawing>
          </mc:Choice>
          <mc:Fallback>
            <w:pict>
              <v:shape id="文本框 124" o:spid="_x0000_s1026" o:spt="202" type="#_x0000_t202" style="position:absolute;left:0pt;margin-left:233.75pt;margin-top:443.05pt;height:23.75pt;width:207.8pt;z-index:251695104;mso-width-relative:page;mso-height-relative:page;" filled="f" stroked="f" coordsize="21600,21600" o:gfxdata="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kwM&#10;ANkAAAALAQAADwAAAAAAAAABACAAAAAiAAAAZHJzL2Rvd25yZXYueG1sUEsBAhQAFAAAAAgAh07i&#10;QGVSxwKvAQAAUQMAAA4AAAAAAAAAAQAgAAAAKAEAAGRycy9lMm9Eb2MueG1sUEsFBgAAAAAGAAYA&#10;WQEAAEkFAAAAAA==&#10;">
                <v:fill on="f" focussize="0,0"/>
                <v:stroke on="f"/>
                <v:imagedata o:title=""/>
                <o:lock v:ext="edit" aspectratio="f"/>
                <v:textbox>
                  <w:txbxContent>
                    <w:p>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附图</w:t>
                      </w:r>
                      <w:r>
                        <w:rPr>
                          <w:rFonts w:hint="eastAsia" w:ascii="宋体" w:hAnsi="宋体" w:eastAsia="宋体" w:cs="宋体"/>
                          <w:b/>
                          <w:bCs/>
                          <w:sz w:val="24"/>
                          <w:szCs w:val="24"/>
                          <w:lang w:val="en-US" w:eastAsia="zh-CN"/>
                        </w:rPr>
                        <w:t>3</w:t>
                      </w: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val="en-US" w:eastAsia="zh-CN"/>
                        </w:rPr>
                        <w:t>平面布置图</w:t>
                      </w:r>
                    </w:p>
                  </w:txbxContent>
                </v:textbox>
              </v:shape>
            </w:pict>
          </mc:Fallback>
        </mc:AlternateContent>
      </w:r>
    </w:p>
    <w:p>
      <w:pPr>
        <w:jc w:val="both"/>
        <w:rPr>
          <w:lang w:val="en-US" w:eastAsia="zh-CN"/>
        </w:rPr>
        <w:sectPr>
          <w:pgSz w:w="16838" w:h="11906" w:orient="landscape"/>
          <w:pgMar w:top="1701" w:right="1531" w:bottom="1701" w:left="1531" w:header="851" w:footer="851" w:gutter="0"/>
          <w:pgNumType w:fmt="decimal"/>
          <w:cols w:space="720" w:num="1"/>
          <w:docGrid w:linePitch="312" w:charSpace="0"/>
        </w:sectPr>
      </w:pPr>
    </w:p>
    <w:p>
      <w:pPr>
        <w:pStyle w:val="13"/>
        <w:rPr>
          <w:lang w:val="en-US" w:eastAsia="zh-CN"/>
        </w:rPr>
        <w:sectPr>
          <w:pgSz w:w="16838" w:h="11906" w:orient="landscape"/>
          <w:pgMar w:top="1701" w:right="1531" w:bottom="1701" w:left="1531" w:header="851" w:footer="851" w:gutter="0"/>
          <w:pgNumType w:fmt="decimal"/>
          <w:cols w:space="720" w:num="1"/>
          <w:docGrid w:linePitch="312" w:charSpace="0"/>
        </w:sectPr>
      </w:pPr>
    </w:p>
    <w:p>
      <w:pPr>
        <w:pStyle w:val="13"/>
        <w:rPr>
          <w:lang w:val="en-US" w:eastAsia="zh-CN"/>
        </w:rPr>
        <w:sectPr>
          <w:pgSz w:w="16838" w:h="11906" w:orient="landscape"/>
          <w:pgMar w:top="1701" w:right="1531" w:bottom="1701" w:left="1531" w:header="851" w:footer="851" w:gutter="0"/>
          <w:pgNumType w:fmt="decimal"/>
          <w:cols w:space="720" w:num="1"/>
          <w:docGrid w:linePitch="312" w:charSpace="0"/>
        </w:sectPr>
      </w:pPr>
    </w:p>
    <w:p>
      <w:pPr>
        <w:pStyle w:val="13"/>
        <w:rPr>
          <w:lang w:val="en-US" w:eastAsia="zh-CN"/>
        </w:rPr>
        <w:sectPr>
          <w:pgSz w:w="16838" w:h="11906" w:orient="landscape"/>
          <w:pgMar w:top="1701" w:right="1531" w:bottom="1701" w:left="1531" w:header="851" w:footer="851" w:gutter="0"/>
          <w:pgNumType w:fmt="decimal"/>
          <w:cols w:space="720" w:num="1"/>
          <w:docGrid w:linePitch="312" w:charSpace="0"/>
        </w:sectPr>
      </w:pPr>
    </w:p>
    <w:p>
      <w:pPr>
        <w:pStyle w:val="13"/>
        <w:rPr>
          <w:lang w:val="en-US" w:eastAsia="zh-CN"/>
        </w:rPr>
        <w:sectPr>
          <w:pgSz w:w="16838" w:h="11906" w:orient="landscape"/>
          <w:pgMar w:top="1701" w:right="1531" w:bottom="1701" w:left="1531" w:header="851" w:footer="851" w:gutter="0"/>
          <w:pgNumType w:fmt="decimal"/>
          <w:cols w:space="720" w:num="1"/>
          <w:docGrid w:linePitch="312" w:charSpace="0"/>
        </w:sectPr>
      </w:pPr>
    </w:p>
    <w:p>
      <w:pPr>
        <w:pStyle w:val="13"/>
        <w:rPr>
          <w:lang w:val="en-US" w:eastAsia="zh-CN"/>
        </w:rPr>
        <w:sectPr>
          <w:pgSz w:w="16838" w:h="11906" w:orient="landscape"/>
          <w:pgMar w:top="1701" w:right="1531" w:bottom="1701" w:left="1531" w:header="851" w:footer="851" w:gutter="0"/>
          <w:pgNumType w:fmt="decimal"/>
          <w:cols w:space="720" w:num="1"/>
          <w:docGrid w:linePitch="312" w:charSpace="0"/>
        </w:sectPr>
      </w:pPr>
    </w:p>
    <w:p>
      <w:pPr>
        <w:pStyle w:val="13"/>
        <w:rPr>
          <w:lang w:val="en-US" w:eastAsia="zh-CN"/>
        </w:rPr>
        <w:sectPr>
          <w:pgSz w:w="16838" w:h="11906" w:orient="landscape"/>
          <w:pgMar w:top="1701" w:right="1531" w:bottom="1701" w:left="1531" w:header="851" w:footer="851" w:gutter="0"/>
          <w:pgNumType w:fmt="decimal"/>
          <w:cols w:space="720" w:num="1"/>
          <w:docGrid w:linePitch="312" w:charSpace="0"/>
        </w:sectPr>
      </w:pPr>
    </w:p>
    <w:p>
      <w:pPr>
        <w:pStyle w:val="13"/>
        <w:rPr>
          <w:lang w:val="en-US" w:eastAsia="zh-CN"/>
        </w:rPr>
      </w:pPr>
      <w:bookmarkStart w:id="16" w:name="_GoBack"/>
      <w:bookmarkEnd w:id="16"/>
    </w:p>
    <w:sectPr>
      <w:pgSz w:w="11906" w:h="16838"/>
      <w:pgMar w:top="1531" w:right="1701" w:bottom="1531" w:left="1701"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FZFangSong-Z02">
    <w:altName w:val="宋体"/>
    <w:panose1 w:val="03000509000000000000"/>
    <w:charset w:val="86"/>
    <w:family w:val="script"/>
    <w:pitch w:val="default"/>
    <w:sig w:usb0="00000000" w:usb1="00000000" w:usb2="00000000" w:usb3="00000000" w:csb0="00040000" w:csb1="00000000"/>
  </w:font>
  <w:font w:name="FangSong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KaiTi_GB2312">
    <w:altName w:val="楷体"/>
    <w:panose1 w:val="02010609030101010101"/>
    <w:charset w:val="86"/>
    <w:family w:val="modern"/>
    <w:pitch w:val="default"/>
    <w:sig w:usb0="00000000" w:usb1="0000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pPr>
                          <w:r>
                            <w:fldChar w:fldCharType="begin"/>
                          </w:r>
                          <w:r>
                            <w:instrText xml:space="preserve"> PAGE  \* MERGEFORMAT </w:instrText>
                          </w:r>
                          <w:r>
                            <w:fldChar w:fldCharType="separate"/>
                          </w:r>
                          <w:r>
                            <w:t>3</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NMFosgBAACb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5xE96gJo5bHPnl+7fLj1+Xn1/J&#10;MgvUB6gx7yFgZhru/IDJsx/QmXkPKtr8RUYE4wh1vsorh0REfrRerdcVhgTG5gvis8fnIUJ6K70l&#10;2WhoxPkVWfnpPaQxdU7J1Zy/18aUGRr3lwMxs4fl3sces5WG/TAR2vv2jHx6HH1DHW46JeadQ2Wx&#10;vzQbcTb2s3EMUR+6ska5HoTbY8ImSm+5wgg7FcaZFXbTfuWl+PNesh7/qe1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KzTBaLIAQAAmwMAAA4AAAAAAAAAAQAgAAAAHgEAAGRycy9lMm9Eb2Mu&#10;eG1sUEsFBgAAAAAGAAYAWQEAAFgFAAAAAA==&#10;">
              <v:fill on="f" focussize="0,0"/>
              <v:stroke on="f"/>
              <v:imagedata o:title=""/>
              <o:lock v:ext="edit" aspectratio="f"/>
              <v:textbox inset="0mm,0mm,0mm,0mm" style="mso-fit-shape-to-text:t;">
                <w:txbxContent>
                  <w:p>
                    <w:pPr>
                      <w:pStyle w:val="1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1"/>
      </w:rPr>
    </w:pPr>
    <w:r>
      <w:fldChar w:fldCharType="begin"/>
    </w:r>
    <w:r>
      <w:rPr>
        <w:rStyle w:val="31"/>
      </w:rPr>
      <w:instrText xml:space="preserve">PAGE  </w:instrText>
    </w:r>
    <w: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jc w:val="right"/>
                            <w:rPr>
                              <w:rStyle w:val="31"/>
                              <w:rFonts w:ascii="宋体" w:hAnsi="宋体"/>
                              <w:sz w:val="28"/>
                              <w:szCs w:val="28"/>
                            </w:rPr>
                          </w:pPr>
                          <w:r>
                            <w:rPr>
                              <w:rStyle w:val="31"/>
                              <w:rFonts w:hint="eastAsia" w:ascii="宋体" w:hAnsi="宋体"/>
                              <w:sz w:val="28"/>
                              <w:szCs w:val="28"/>
                            </w:rPr>
                            <w:t>—</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9</w:t>
                          </w:r>
                          <w:r>
                            <w:rPr>
                              <w:rFonts w:ascii="宋体" w:hAnsi="宋体"/>
                              <w:sz w:val="26"/>
                              <w:szCs w:val="26"/>
                            </w:rPr>
                            <w:fldChar w:fldCharType="end"/>
                          </w:r>
                          <w:r>
                            <w:rPr>
                              <w:rStyle w:val="31"/>
                              <w:rFonts w:hint="eastAsia" w:ascii="宋体" w:hAnsi="宋体"/>
                              <w:sz w:val="28"/>
                              <w:szCs w:val="28"/>
                            </w:rPr>
                            <w:t>—</w:t>
                          </w: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eSs48kBAACbAwAADgAAAGRycy9lMm9Eb2MueG1srVPNjtMwEL4j8Q6W&#10;79RpJ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lvchNdLShy3OPLL92+XH78uP7+S&#10;l1mgPkCNeXcBM9Pw1g+YPPsBnZn3oKLNX2REMI7ynq/yyiERkR+tV+t1hSGBsfmC+OzheYiQ3klv&#10;STYaGnF+RVZ++gBpTJ1TcjXnb7UxZYbG/eVAzOxhufexx2ylYT9MhPa+PSOfHkffUIebTol571DZ&#10;vCWzEWdjPxvHEPWhK2uU60F4c0zYROktVxhhp8I4s8Ju2q+8FH/eS9bD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Z5KzjyQEAAJsDAAAOAAAAAAAAAAEAIAAAAB4BAABkcnMvZTJvRG9j&#10;LnhtbFBLBQYAAAAABgAGAFkBAABZBQAAAAA=&#10;">
              <v:fill on="f" focussize="0,0"/>
              <v:stroke on="f"/>
              <v:imagedata o:title=""/>
              <o:lock v:ext="edit" aspectratio="f"/>
              <v:textbox inset="0mm,0mm,0mm,0mm" style="mso-fit-shape-to-text:t;">
                <w:txbxContent>
                  <w:p>
                    <w:pPr>
                      <w:pStyle w:val="19"/>
                      <w:jc w:val="right"/>
                      <w:rPr>
                        <w:rStyle w:val="31"/>
                        <w:rFonts w:ascii="宋体" w:hAnsi="宋体"/>
                        <w:sz w:val="28"/>
                        <w:szCs w:val="28"/>
                      </w:rPr>
                    </w:pPr>
                    <w:r>
                      <w:rPr>
                        <w:rStyle w:val="31"/>
                        <w:rFonts w:hint="eastAsia" w:ascii="宋体" w:hAnsi="宋体"/>
                        <w:sz w:val="28"/>
                        <w:szCs w:val="28"/>
                      </w:rPr>
                      <w:t>—</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9</w:t>
                    </w:r>
                    <w:r>
                      <w:rPr>
                        <w:rFonts w:ascii="宋体" w:hAnsi="宋体"/>
                        <w:sz w:val="26"/>
                        <w:szCs w:val="26"/>
                      </w:rPr>
                      <w:fldChar w:fldCharType="end"/>
                    </w:r>
                    <w:r>
                      <w:rPr>
                        <w:rStyle w:val="31"/>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9"/>
                            <w:rPr>
                              <w:rStyle w:val="31"/>
                              <w:rFonts w:ascii="宋体" w:hAnsi="宋体"/>
                              <w:sz w:val="28"/>
                              <w:szCs w:val="28"/>
                            </w:rPr>
                          </w:pPr>
                          <w:r>
                            <w:rPr>
                              <w:rStyle w:val="31"/>
                              <w:rFonts w:hint="eastAsia" w:ascii="宋体" w:hAnsi="宋体"/>
                              <w:sz w:val="28"/>
                              <w:szCs w:val="28"/>
                            </w:rPr>
                            <w:t>—</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11</w:t>
                          </w:r>
                          <w:r>
                            <w:rPr>
                              <w:rFonts w:ascii="宋体" w:hAnsi="宋体"/>
                              <w:sz w:val="26"/>
                              <w:szCs w:val="26"/>
                            </w:rPr>
                            <w:fldChar w:fldCharType="end"/>
                          </w:r>
                          <w:r>
                            <w:rPr>
                              <w:rStyle w:val="31"/>
                              <w:rFonts w:hint="eastAsia" w:ascii="宋体" w:hAnsi="宋体"/>
                              <w:sz w:val="28"/>
                              <w:szCs w:val="28"/>
                            </w:rPr>
                            <w:t>—</w:t>
                          </w:r>
                        </w:p>
                      </w:txbxContent>
                    </wps:txbx>
                    <wps:bodyPr wrap="none" lIns="0" tIns="0" rIns="0" bIns="0" upright="0">
                      <a:spAutoFit/>
                    </wps:bodyPr>
                  </wps:wsp>
                </a:graphicData>
              </a:graphic>
            </wp:anchor>
          </w:drawing>
        </mc:Choice>
        <mc:Fallback>
          <w:pict>
            <v:shape id="文本框 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JT3W7yQEAAJsDAAAOAAAAAAAAAAEAIAAAAB4BAABkcnMvZTJvRG9j&#10;LnhtbFBLBQYAAAAABgAGAFkBAABZBQAAAAA=&#10;">
              <v:fill on="f" focussize="0,0"/>
              <v:stroke on="f"/>
              <v:imagedata o:title=""/>
              <o:lock v:ext="edit" aspectratio="f"/>
              <v:textbox inset="0mm,0mm,0mm,0mm" style="mso-fit-shape-to-text:t;">
                <w:txbxContent>
                  <w:p>
                    <w:pPr>
                      <w:pStyle w:val="19"/>
                      <w:rPr>
                        <w:rStyle w:val="31"/>
                        <w:rFonts w:ascii="宋体" w:hAnsi="宋体"/>
                        <w:sz w:val="28"/>
                        <w:szCs w:val="28"/>
                      </w:rPr>
                    </w:pPr>
                    <w:r>
                      <w:rPr>
                        <w:rStyle w:val="31"/>
                        <w:rFonts w:hint="eastAsia" w:ascii="宋体" w:hAnsi="宋体"/>
                        <w:sz w:val="28"/>
                        <w:szCs w:val="28"/>
                      </w:rPr>
                      <w:t>—</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11</w:t>
                    </w:r>
                    <w:r>
                      <w:rPr>
                        <w:rFonts w:ascii="宋体" w:hAnsi="宋体"/>
                        <w:sz w:val="26"/>
                        <w:szCs w:val="26"/>
                      </w:rPr>
                      <w:fldChar w:fldCharType="end"/>
                    </w:r>
                    <w:r>
                      <w:rPr>
                        <w:rStyle w:val="31"/>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A1CB66"/>
    <w:multiLevelType w:val="singleLevel"/>
    <w:tmpl w:val="CDA1CB66"/>
    <w:lvl w:ilvl="0" w:tentative="0">
      <w:start w:val="1"/>
      <w:numFmt w:val="decimal"/>
      <w:suff w:val="nothing"/>
      <w:lvlText w:val="（%1）"/>
      <w:lvlJc w:val="left"/>
    </w:lvl>
  </w:abstractNum>
  <w:abstractNum w:abstractNumId="1">
    <w:nsid w:val="E85535A8"/>
    <w:multiLevelType w:val="singleLevel"/>
    <w:tmpl w:val="E85535A8"/>
    <w:lvl w:ilvl="0" w:tentative="0">
      <w:start w:val="2"/>
      <w:numFmt w:val="chineseCounting"/>
      <w:suff w:val="nothing"/>
      <w:lvlText w:val="%1、"/>
      <w:lvlJc w:val="left"/>
      <w:rPr>
        <w:rFonts w:hint="eastAsia"/>
      </w:rPr>
    </w:lvl>
  </w:abstractNum>
  <w:abstractNum w:abstractNumId="2">
    <w:nsid w:val="12713A0A"/>
    <w:multiLevelType w:val="multilevel"/>
    <w:tmpl w:val="12713A0A"/>
    <w:lvl w:ilvl="0" w:tentative="0">
      <w:start w:val="1"/>
      <w:numFmt w:val="decimal"/>
      <w:lvlText w:val="%1、"/>
      <w:lvlJc w:val="left"/>
      <w:pPr>
        <w:ind w:left="372" w:hanging="37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CF622CA"/>
    <w:multiLevelType w:val="singleLevel"/>
    <w:tmpl w:val="4CF622CA"/>
    <w:lvl w:ilvl="0" w:tentative="0">
      <w:start w:val="1"/>
      <w:numFmt w:val="decimal"/>
      <w:suff w:val="nothing"/>
      <w:lvlText w:val="（%1）"/>
      <w:lvlJc w:val="left"/>
    </w:lvl>
  </w:abstractNum>
  <w:abstractNum w:abstractNumId="4">
    <w:nsid w:val="4E1D1A1D"/>
    <w:multiLevelType w:val="singleLevel"/>
    <w:tmpl w:val="4E1D1A1D"/>
    <w:lvl w:ilvl="0" w:tentative="0">
      <w:start w:val="1"/>
      <w:numFmt w:val="decimal"/>
      <w:suff w:val="nothing"/>
      <w:lvlText w:val="%1、"/>
      <w:lvlJc w:val="left"/>
    </w:lvl>
  </w:abstractNum>
  <w:abstractNum w:abstractNumId="5">
    <w:nsid w:val="517B7B5C"/>
    <w:multiLevelType w:val="singleLevel"/>
    <w:tmpl w:val="517B7B5C"/>
    <w:lvl w:ilvl="0" w:tentative="0">
      <w:start w:val="1"/>
      <w:numFmt w:val="decimal"/>
      <w:suff w:val="nothing"/>
      <w:lvlText w:val="（%1）"/>
      <w:lvlJc w:val="left"/>
    </w:lvl>
  </w:abstractNum>
  <w:abstractNum w:abstractNumId="6">
    <w:nsid w:val="67CED67C"/>
    <w:multiLevelType w:val="singleLevel"/>
    <w:tmpl w:val="67CED67C"/>
    <w:lvl w:ilvl="0" w:tentative="0">
      <w:start w:val="1"/>
      <w:numFmt w:val="decimal"/>
      <w:pStyle w:val="15"/>
      <w:lvlText w:val="%1."/>
      <w:lvlJc w:val="left"/>
      <w:pPr>
        <w:tabs>
          <w:tab w:val="left" w:pos="2040"/>
        </w:tabs>
        <w:ind w:left="2040" w:hanging="360"/>
      </w:pPr>
    </w:lvl>
  </w:abstractNum>
  <w:abstractNum w:abstractNumId="7">
    <w:nsid w:val="715BA60F"/>
    <w:multiLevelType w:val="multilevel"/>
    <w:tmpl w:val="715BA60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6"/>
  </w:num>
  <w:num w:numId="2">
    <w:abstractNumId w:val="1"/>
  </w:num>
  <w:num w:numId="3">
    <w:abstractNumId w:val="4"/>
  </w:num>
  <w:num w:numId="4">
    <w:abstractNumId w:val="5"/>
  </w:num>
  <w:num w:numId="5">
    <w:abstractNumId w:val="2"/>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isplayHorizontalDrawingGridEvery w:val="1"/>
  <w:displayVerticalDrawingGridEvery w:val="1"/>
  <w:noPunctuationKerning w:val="1"/>
  <w:characterSpacingControl w:val="doNotCompress"/>
  <w:noLineBreaksAfter w:lang="zh-CN" w:val="([{·‘“〈《「『【〔〖（．［｛￡￥"/>
  <w:noLineBreaksBefore w:lang="zh-CN" w:val="!),.:;?]}¨·ˇˉ―‖’”…∶、。〃々〉》」』】〕〗！＂＇），．：；？］｀｜｝～￠"/>
  <w:hdrShapeDefaults>
    <o:shapelayout v:ext="edit">
      <o:idmap v:ext="edit" data="3"/>
    </o:shapelayout>
  </w:hdrShapeDefault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VmOGU0ZmZjZWQ4YmZhNDc2OWNiNjEyY2JlMzVjMWIifQ=="/>
  </w:docVars>
  <w:rsids>
    <w:rsidRoot w:val="00172A27"/>
    <w:rsid w:val="000002AD"/>
    <w:rsid w:val="00002902"/>
    <w:rsid w:val="0000496B"/>
    <w:rsid w:val="000060B3"/>
    <w:rsid w:val="0001046C"/>
    <w:rsid w:val="00011608"/>
    <w:rsid w:val="000130C7"/>
    <w:rsid w:val="0001693D"/>
    <w:rsid w:val="000214A2"/>
    <w:rsid w:val="0002279A"/>
    <w:rsid w:val="00024DB6"/>
    <w:rsid w:val="000403D3"/>
    <w:rsid w:val="00042F9E"/>
    <w:rsid w:val="0004364B"/>
    <w:rsid w:val="0004560D"/>
    <w:rsid w:val="0004725E"/>
    <w:rsid w:val="00047490"/>
    <w:rsid w:val="00056C45"/>
    <w:rsid w:val="00056E58"/>
    <w:rsid w:val="00061B1F"/>
    <w:rsid w:val="000650C5"/>
    <w:rsid w:val="0006527D"/>
    <w:rsid w:val="000662E1"/>
    <w:rsid w:val="00073247"/>
    <w:rsid w:val="000733C4"/>
    <w:rsid w:val="00074783"/>
    <w:rsid w:val="00074E53"/>
    <w:rsid w:val="000754C3"/>
    <w:rsid w:val="0008070B"/>
    <w:rsid w:val="000810AC"/>
    <w:rsid w:val="00081A02"/>
    <w:rsid w:val="00082231"/>
    <w:rsid w:val="00087839"/>
    <w:rsid w:val="000878E5"/>
    <w:rsid w:val="000923D6"/>
    <w:rsid w:val="00092D38"/>
    <w:rsid w:val="00093420"/>
    <w:rsid w:val="00093600"/>
    <w:rsid w:val="0009377B"/>
    <w:rsid w:val="000A00ED"/>
    <w:rsid w:val="000A0E97"/>
    <w:rsid w:val="000A20C9"/>
    <w:rsid w:val="000A556E"/>
    <w:rsid w:val="000B058F"/>
    <w:rsid w:val="000B237F"/>
    <w:rsid w:val="000B4467"/>
    <w:rsid w:val="000B4DB9"/>
    <w:rsid w:val="000B502F"/>
    <w:rsid w:val="000B54B6"/>
    <w:rsid w:val="000B7C71"/>
    <w:rsid w:val="000C09AC"/>
    <w:rsid w:val="000C1C8C"/>
    <w:rsid w:val="000C2C93"/>
    <w:rsid w:val="000C4CA6"/>
    <w:rsid w:val="000C767F"/>
    <w:rsid w:val="000D0F8B"/>
    <w:rsid w:val="000D1F42"/>
    <w:rsid w:val="000D360D"/>
    <w:rsid w:val="000D5A44"/>
    <w:rsid w:val="000E3898"/>
    <w:rsid w:val="000E3ED2"/>
    <w:rsid w:val="000E45EE"/>
    <w:rsid w:val="000E4E0E"/>
    <w:rsid w:val="000E7374"/>
    <w:rsid w:val="000E791D"/>
    <w:rsid w:val="000F496F"/>
    <w:rsid w:val="000F4E17"/>
    <w:rsid w:val="000F6FAE"/>
    <w:rsid w:val="000F711F"/>
    <w:rsid w:val="00101C9A"/>
    <w:rsid w:val="00104FBE"/>
    <w:rsid w:val="00112EEE"/>
    <w:rsid w:val="00123249"/>
    <w:rsid w:val="00127F90"/>
    <w:rsid w:val="00127FFB"/>
    <w:rsid w:val="00130107"/>
    <w:rsid w:val="00131F42"/>
    <w:rsid w:val="001357F1"/>
    <w:rsid w:val="00140985"/>
    <w:rsid w:val="00140FA8"/>
    <w:rsid w:val="00142FEB"/>
    <w:rsid w:val="00143A2D"/>
    <w:rsid w:val="00145A41"/>
    <w:rsid w:val="001468E0"/>
    <w:rsid w:val="00147D51"/>
    <w:rsid w:val="0015107A"/>
    <w:rsid w:val="00151565"/>
    <w:rsid w:val="00151675"/>
    <w:rsid w:val="001562A3"/>
    <w:rsid w:val="00157435"/>
    <w:rsid w:val="00166FB5"/>
    <w:rsid w:val="001726F5"/>
    <w:rsid w:val="00173891"/>
    <w:rsid w:val="0017504D"/>
    <w:rsid w:val="0017671A"/>
    <w:rsid w:val="00177422"/>
    <w:rsid w:val="00177B60"/>
    <w:rsid w:val="001834F9"/>
    <w:rsid w:val="00183AF8"/>
    <w:rsid w:val="00184590"/>
    <w:rsid w:val="00184C11"/>
    <w:rsid w:val="00186CC7"/>
    <w:rsid w:val="0018704D"/>
    <w:rsid w:val="001870D1"/>
    <w:rsid w:val="0018781E"/>
    <w:rsid w:val="00191C20"/>
    <w:rsid w:val="00191F22"/>
    <w:rsid w:val="0019262D"/>
    <w:rsid w:val="00193027"/>
    <w:rsid w:val="0019598B"/>
    <w:rsid w:val="00195FB4"/>
    <w:rsid w:val="00196BF2"/>
    <w:rsid w:val="001A1B35"/>
    <w:rsid w:val="001A2583"/>
    <w:rsid w:val="001A48A2"/>
    <w:rsid w:val="001A6F61"/>
    <w:rsid w:val="001B15DE"/>
    <w:rsid w:val="001B1F36"/>
    <w:rsid w:val="001B2CB8"/>
    <w:rsid w:val="001B72B8"/>
    <w:rsid w:val="001C1C41"/>
    <w:rsid w:val="001C1FAF"/>
    <w:rsid w:val="001C2973"/>
    <w:rsid w:val="001C50B4"/>
    <w:rsid w:val="001C50F1"/>
    <w:rsid w:val="001C6191"/>
    <w:rsid w:val="001C69B3"/>
    <w:rsid w:val="001C6B2E"/>
    <w:rsid w:val="001C6DDF"/>
    <w:rsid w:val="001D47DF"/>
    <w:rsid w:val="001D5595"/>
    <w:rsid w:val="001D7874"/>
    <w:rsid w:val="001D7F22"/>
    <w:rsid w:val="001E0698"/>
    <w:rsid w:val="001E24DC"/>
    <w:rsid w:val="001E27B2"/>
    <w:rsid w:val="001E578D"/>
    <w:rsid w:val="001F0F17"/>
    <w:rsid w:val="001F3347"/>
    <w:rsid w:val="001F69E4"/>
    <w:rsid w:val="002011D4"/>
    <w:rsid w:val="00201FE2"/>
    <w:rsid w:val="0020345B"/>
    <w:rsid w:val="002035BC"/>
    <w:rsid w:val="00204575"/>
    <w:rsid w:val="00206CC7"/>
    <w:rsid w:val="00207D10"/>
    <w:rsid w:val="00207E79"/>
    <w:rsid w:val="002125B4"/>
    <w:rsid w:val="0021555F"/>
    <w:rsid w:val="002155B8"/>
    <w:rsid w:val="00217DD3"/>
    <w:rsid w:val="0022123F"/>
    <w:rsid w:val="00223FE1"/>
    <w:rsid w:val="00224839"/>
    <w:rsid w:val="002249B2"/>
    <w:rsid w:val="00226574"/>
    <w:rsid w:val="00227752"/>
    <w:rsid w:val="002278EC"/>
    <w:rsid w:val="002321DD"/>
    <w:rsid w:val="0023280E"/>
    <w:rsid w:val="0023716B"/>
    <w:rsid w:val="002377D1"/>
    <w:rsid w:val="0024100B"/>
    <w:rsid w:val="002418D2"/>
    <w:rsid w:val="002506BC"/>
    <w:rsid w:val="00251187"/>
    <w:rsid w:val="00252D38"/>
    <w:rsid w:val="00254345"/>
    <w:rsid w:val="0025644A"/>
    <w:rsid w:val="00257F9D"/>
    <w:rsid w:val="00263FF8"/>
    <w:rsid w:val="00264557"/>
    <w:rsid w:val="00266588"/>
    <w:rsid w:val="00273145"/>
    <w:rsid w:val="00273885"/>
    <w:rsid w:val="00277683"/>
    <w:rsid w:val="00277FCD"/>
    <w:rsid w:val="002805AB"/>
    <w:rsid w:val="0028115A"/>
    <w:rsid w:val="0028256B"/>
    <w:rsid w:val="00282682"/>
    <w:rsid w:val="00284204"/>
    <w:rsid w:val="00285423"/>
    <w:rsid w:val="00285AB2"/>
    <w:rsid w:val="00286850"/>
    <w:rsid w:val="002906EC"/>
    <w:rsid w:val="00291773"/>
    <w:rsid w:val="00291C56"/>
    <w:rsid w:val="002938BB"/>
    <w:rsid w:val="0029592E"/>
    <w:rsid w:val="002A168C"/>
    <w:rsid w:val="002A2752"/>
    <w:rsid w:val="002A3DC7"/>
    <w:rsid w:val="002A45A6"/>
    <w:rsid w:val="002A512B"/>
    <w:rsid w:val="002B330D"/>
    <w:rsid w:val="002B49E2"/>
    <w:rsid w:val="002B7B00"/>
    <w:rsid w:val="002B7C44"/>
    <w:rsid w:val="002C07F2"/>
    <w:rsid w:val="002C0D54"/>
    <w:rsid w:val="002C2B17"/>
    <w:rsid w:val="002C5519"/>
    <w:rsid w:val="002D3DD0"/>
    <w:rsid w:val="002E1F3A"/>
    <w:rsid w:val="002E298A"/>
    <w:rsid w:val="002E366D"/>
    <w:rsid w:val="002F2555"/>
    <w:rsid w:val="002F4F89"/>
    <w:rsid w:val="002F598A"/>
    <w:rsid w:val="00300BCB"/>
    <w:rsid w:val="00301978"/>
    <w:rsid w:val="0030332C"/>
    <w:rsid w:val="0030395F"/>
    <w:rsid w:val="00304016"/>
    <w:rsid w:val="00304E2E"/>
    <w:rsid w:val="003051C2"/>
    <w:rsid w:val="00310387"/>
    <w:rsid w:val="00312296"/>
    <w:rsid w:val="00314F0E"/>
    <w:rsid w:val="00321D8E"/>
    <w:rsid w:val="00325928"/>
    <w:rsid w:val="003278E6"/>
    <w:rsid w:val="003323F0"/>
    <w:rsid w:val="00332863"/>
    <w:rsid w:val="00334067"/>
    <w:rsid w:val="0033555A"/>
    <w:rsid w:val="00336358"/>
    <w:rsid w:val="0033684D"/>
    <w:rsid w:val="00337B42"/>
    <w:rsid w:val="00341B42"/>
    <w:rsid w:val="00343214"/>
    <w:rsid w:val="0034348F"/>
    <w:rsid w:val="00343A30"/>
    <w:rsid w:val="0034601B"/>
    <w:rsid w:val="003462F1"/>
    <w:rsid w:val="00351F6A"/>
    <w:rsid w:val="00356653"/>
    <w:rsid w:val="0035743F"/>
    <w:rsid w:val="003574A2"/>
    <w:rsid w:val="00357BE2"/>
    <w:rsid w:val="0036170C"/>
    <w:rsid w:val="00362CC5"/>
    <w:rsid w:val="003656D7"/>
    <w:rsid w:val="0036588D"/>
    <w:rsid w:val="00366154"/>
    <w:rsid w:val="00366E0F"/>
    <w:rsid w:val="00367F84"/>
    <w:rsid w:val="00371D4B"/>
    <w:rsid w:val="00374A66"/>
    <w:rsid w:val="00376F50"/>
    <w:rsid w:val="00381A72"/>
    <w:rsid w:val="00383B1D"/>
    <w:rsid w:val="00384676"/>
    <w:rsid w:val="003851D3"/>
    <w:rsid w:val="00385DEA"/>
    <w:rsid w:val="0038689B"/>
    <w:rsid w:val="00387455"/>
    <w:rsid w:val="00387B2D"/>
    <w:rsid w:val="00390032"/>
    <w:rsid w:val="00390857"/>
    <w:rsid w:val="00392EAC"/>
    <w:rsid w:val="003958A5"/>
    <w:rsid w:val="003960E2"/>
    <w:rsid w:val="00396E46"/>
    <w:rsid w:val="00397494"/>
    <w:rsid w:val="003A3B74"/>
    <w:rsid w:val="003A4BF3"/>
    <w:rsid w:val="003A673A"/>
    <w:rsid w:val="003A7914"/>
    <w:rsid w:val="003A7DE8"/>
    <w:rsid w:val="003B261E"/>
    <w:rsid w:val="003B3541"/>
    <w:rsid w:val="003B420D"/>
    <w:rsid w:val="003B6093"/>
    <w:rsid w:val="003B6DD0"/>
    <w:rsid w:val="003C10A2"/>
    <w:rsid w:val="003C2B54"/>
    <w:rsid w:val="003C6C16"/>
    <w:rsid w:val="003D007D"/>
    <w:rsid w:val="003D53C6"/>
    <w:rsid w:val="003D794D"/>
    <w:rsid w:val="003E0753"/>
    <w:rsid w:val="003E0B1C"/>
    <w:rsid w:val="003E233D"/>
    <w:rsid w:val="003E25D7"/>
    <w:rsid w:val="003E3058"/>
    <w:rsid w:val="003E50AF"/>
    <w:rsid w:val="003E56E6"/>
    <w:rsid w:val="003E7095"/>
    <w:rsid w:val="003E76A9"/>
    <w:rsid w:val="003F0809"/>
    <w:rsid w:val="003F6A8C"/>
    <w:rsid w:val="003F755C"/>
    <w:rsid w:val="00400920"/>
    <w:rsid w:val="004066EF"/>
    <w:rsid w:val="00406F01"/>
    <w:rsid w:val="004129AC"/>
    <w:rsid w:val="00412B22"/>
    <w:rsid w:val="00413D0C"/>
    <w:rsid w:val="00416D50"/>
    <w:rsid w:val="00416FD5"/>
    <w:rsid w:val="0041770F"/>
    <w:rsid w:val="00417772"/>
    <w:rsid w:val="00420E6A"/>
    <w:rsid w:val="00423B51"/>
    <w:rsid w:val="00424A27"/>
    <w:rsid w:val="00425A9E"/>
    <w:rsid w:val="004264E3"/>
    <w:rsid w:val="00426D6B"/>
    <w:rsid w:val="004279C1"/>
    <w:rsid w:val="00427A04"/>
    <w:rsid w:val="00427E96"/>
    <w:rsid w:val="00431E6C"/>
    <w:rsid w:val="00433CE7"/>
    <w:rsid w:val="0043633C"/>
    <w:rsid w:val="004403F3"/>
    <w:rsid w:val="004405FB"/>
    <w:rsid w:val="004425A2"/>
    <w:rsid w:val="00451C0E"/>
    <w:rsid w:val="00452738"/>
    <w:rsid w:val="00452EBA"/>
    <w:rsid w:val="00456091"/>
    <w:rsid w:val="004569FB"/>
    <w:rsid w:val="00465CA6"/>
    <w:rsid w:val="00466321"/>
    <w:rsid w:val="00473F2E"/>
    <w:rsid w:val="0047482A"/>
    <w:rsid w:val="004752F1"/>
    <w:rsid w:val="0047536C"/>
    <w:rsid w:val="004837EF"/>
    <w:rsid w:val="00484B9B"/>
    <w:rsid w:val="004855F6"/>
    <w:rsid w:val="0048661E"/>
    <w:rsid w:val="00487B91"/>
    <w:rsid w:val="00490FA3"/>
    <w:rsid w:val="00494670"/>
    <w:rsid w:val="00496442"/>
    <w:rsid w:val="00497F27"/>
    <w:rsid w:val="004A0A08"/>
    <w:rsid w:val="004A3132"/>
    <w:rsid w:val="004A3823"/>
    <w:rsid w:val="004A39EA"/>
    <w:rsid w:val="004B0828"/>
    <w:rsid w:val="004B1F0A"/>
    <w:rsid w:val="004B5886"/>
    <w:rsid w:val="004B75C6"/>
    <w:rsid w:val="004B7CD2"/>
    <w:rsid w:val="004C0F26"/>
    <w:rsid w:val="004C2D4E"/>
    <w:rsid w:val="004C360F"/>
    <w:rsid w:val="004C429C"/>
    <w:rsid w:val="004D76F2"/>
    <w:rsid w:val="004E08BD"/>
    <w:rsid w:val="004E6286"/>
    <w:rsid w:val="004E6946"/>
    <w:rsid w:val="004F1AD8"/>
    <w:rsid w:val="004F3E43"/>
    <w:rsid w:val="00501E59"/>
    <w:rsid w:val="005039CB"/>
    <w:rsid w:val="0050556C"/>
    <w:rsid w:val="0050558F"/>
    <w:rsid w:val="00506286"/>
    <w:rsid w:val="0050732D"/>
    <w:rsid w:val="00510813"/>
    <w:rsid w:val="00510912"/>
    <w:rsid w:val="00511990"/>
    <w:rsid w:val="00511DE0"/>
    <w:rsid w:val="00511FCF"/>
    <w:rsid w:val="00514870"/>
    <w:rsid w:val="00514B9B"/>
    <w:rsid w:val="00517F02"/>
    <w:rsid w:val="00524303"/>
    <w:rsid w:val="00524E9B"/>
    <w:rsid w:val="005258A2"/>
    <w:rsid w:val="00530760"/>
    <w:rsid w:val="0053383C"/>
    <w:rsid w:val="00533CF6"/>
    <w:rsid w:val="0053431D"/>
    <w:rsid w:val="005401AE"/>
    <w:rsid w:val="00542E07"/>
    <w:rsid w:val="00544622"/>
    <w:rsid w:val="0054516A"/>
    <w:rsid w:val="00545424"/>
    <w:rsid w:val="005469D8"/>
    <w:rsid w:val="00554A7B"/>
    <w:rsid w:val="0055572C"/>
    <w:rsid w:val="00555787"/>
    <w:rsid w:val="00556F85"/>
    <w:rsid w:val="0056106A"/>
    <w:rsid w:val="00566DF1"/>
    <w:rsid w:val="00571A0A"/>
    <w:rsid w:val="005720AE"/>
    <w:rsid w:val="00572540"/>
    <w:rsid w:val="00574FB1"/>
    <w:rsid w:val="005764EF"/>
    <w:rsid w:val="00581D8C"/>
    <w:rsid w:val="00583C1E"/>
    <w:rsid w:val="00585E6C"/>
    <w:rsid w:val="005869CD"/>
    <w:rsid w:val="005879F0"/>
    <w:rsid w:val="00594D77"/>
    <w:rsid w:val="005969E4"/>
    <w:rsid w:val="00596FC9"/>
    <w:rsid w:val="0059775B"/>
    <w:rsid w:val="005A06B7"/>
    <w:rsid w:val="005A14E0"/>
    <w:rsid w:val="005A1759"/>
    <w:rsid w:val="005A3FFE"/>
    <w:rsid w:val="005A47BB"/>
    <w:rsid w:val="005A68A7"/>
    <w:rsid w:val="005A7093"/>
    <w:rsid w:val="005A7142"/>
    <w:rsid w:val="005B247D"/>
    <w:rsid w:val="005B576D"/>
    <w:rsid w:val="005B7E40"/>
    <w:rsid w:val="005C04F5"/>
    <w:rsid w:val="005C377F"/>
    <w:rsid w:val="005C4E63"/>
    <w:rsid w:val="005C4F4E"/>
    <w:rsid w:val="005D36AB"/>
    <w:rsid w:val="005D3F08"/>
    <w:rsid w:val="005D516E"/>
    <w:rsid w:val="005D5F9E"/>
    <w:rsid w:val="005E3A7A"/>
    <w:rsid w:val="005F0A2B"/>
    <w:rsid w:val="005F0C5A"/>
    <w:rsid w:val="005F13D8"/>
    <w:rsid w:val="005F43A6"/>
    <w:rsid w:val="005F68A4"/>
    <w:rsid w:val="00600C2B"/>
    <w:rsid w:val="00604964"/>
    <w:rsid w:val="00605C87"/>
    <w:rsid w:val="0060670C"/>
    <w:rsid w:val="006106F0"/>
    <w:rsid w:val="006120A3"/>
    <w:rsid w:val="00616A4E"/>
    <w:rsid w:val="00617CC3"/>
    <w:rsid w:val="00621E50"/>
    <w:rsid w:val="006257DB"/>
    <w:rsid w:val="006279E8"/>
    <w:rsid w:val="006312EA"/>
    <w:rsid w:val="00636800"/>
    <w:rsid w:val="006377A6"/>
    <w:rsid w:val="00637A3D"/>
    <w:rsid w:val="006411EF"/>
    <w:rsid w:val="00641BCE"/>
    <w:rsid w:val="00642F74"/>
    <w:rsid w:val="00645224"/>
    <w:rsid w:val="00646A8D"/>
    <w:rsid w:val="006556DC"/>
    <w:rsid w:val="006570F4"/>
    <w:rsid w:val="00657A93"/>
    <w:rsid w:val="00662188"/>
    <w:rsid w:val="00663537"/>
    <w:rsid w:val="00665EF6"/>
    <w:rsid w:val="006706FA"/>
    <w:rsid w:val="006748B8"/>
    <w:rsid w:val="00677061"/>
    <w:rsid w:val="006775C3"/>
    <w:rsid w:val="00681DC6"/>
    <w:rsid w:val="00683BCF"/>
    <w:rsid w:val="00686064"/>
    <w:rsid w:val="00687629"/>
    <w:rsid w:val="0069056E"/>
    <w:rsid w:val="0069290A"/>
    <w:rsid w:val="00692C1D"/>
    <w:rsid w:val="0069775A"/>
    <w:rsid w:val="006977EE"/>
    <w:rsid w:val="00697813"/>
    <w:rsid w:val="006A23FF"/>
    <w:rsid w:val="006A2C2F"/>
    <w:rsid w:val="006A37C7"/>
    <w:rsid w:val="006A3D28"/>
    <w:rsid w:val="006A3D74"/>
    <w:rsid w:val="006A3EB4"/>
    <w:rsid w:val="006A3EE8"/>
    <w:rsid w:val="006A72BF"/>
    <w:rsid w:val="006B03F2"/>
    <w:rsid w:val="006B04FD"/>
    <w:rsid w:val="006B158E"/>
    <w:rsid w:val="006B3434"/>
    <w:rsid w:val="006B37DC"/>
    <w:rsid w:val="006B4F68"/>
    <w:rsid w:val="006B6B9E"/>
    <w:rsid w:val="006B7F81"/>
    <w:rsid w:val="006C0592"/>
    <w:rsid w:val="006C272E"/>
    <w:rsid w:val="006C5479"/>
    <w:rsid w:val="006D13B5"/>
    <w:rsid w:val="006D1C1E"/>
    <w:rsid w:val="006D23A6"/>
    <w:rsid w:val="006D4881"/>
    <w:rsid w:val="006E12FF"/>
    <w:rsid w:val="006E3EF0"/>
    <w:rsid w:val="006E607E"/>
    <w:rsid w:val="006F3B10"/>
    <w:rsid w:val="006F57A0"/>
    <w:rsid w:val="006F66B7"/>
    <w:rsid w:val="007002DB"/>
    <w:rsid w:val="00701F61"/>
    <w:rsid w:val="00704E58"/>
    <w:rsid w:val="00705249"/>
    <w:rsid w:val="00706C5D"/>
    <w:rsid w:val="007120E8"/>
    <w:rsid w:val="00713698"/>
    <w:rsid w:val="00715B5E"/>
    <w:rsid w:val="00717E68"/>
    <w:rsid w:val="00720317"/>
    <w:rsid w:val="00722A25"/>
    <w:rsid w:val="00732922"/>
    <w:rsid w:val="007414C5"/>
    <w:rsid w:val="0075162E"/>
    <w:rsid w:val="00751D79"/>
    <w:rsid w:val="00754034"/>
    <w:rsid w:val="00754AA7"/>
    <w:rsid w:val="00756556"/>
    <w:rsid w:val="00757B15"/>
    <w:rsid w:val="00760EA6"/>
    <w:rsid w:val="007618C4"/>
    <w:rsid w:val="00765EA7"/>
    <w:rsid w:val="00767980"/>
    <w:rsid w:val="00770B19"/>
    <w:rsid w:val="007714D8"/>
    <w:rsid w:val="00771DED"/>
    <w:rsid w:val="0077463F"/>
    <w:rsid w:val="0077549B"/>
    <w:rsid w:val="007809BC"/>
    <w:rsid w:val="007836EA"/>
    <w:rsid w:val="00784CDA"/>
    <w:rsid w:val="007906C4"/>
    <w:rsid w:val="00793764"/>
    <w:rsid w:val="007940EA"/>
    <w:rsid w:val="007959BB"/>
    <w:rsid w:val="007967E8"/>
    <w:rsid w:val="007A2170"/>
    <w:rsid w:val="007A22BF"/>
    <w:rsid w:val="007A2694"/>
    <w:rsid w:val="007A3323"/>
    <w:rsid w:val="007B16AE"/>
    <w:rsid w:val="007B3923"/>
    <w:rsid w:val="007B4620"/>
    <w:rsid w:val="007B48FD"/>
    <w:rsid w:val="007B72B8"/>
    <w:rsid w:val="007B7A58"/>
    <w:rsid w:val="007C0575"/>
    <w:rsid w:val="007C21B5"/>
    <w:rsid w:val="007D07E1"/>
    <w:rsid w:val="007D172C"/>
    <w:rsid w:val="007D5342"/>
    <w:rsid w:val="007D5B40"/>
    <w:rsid w:val="007D6D56"/>
    <w:rsid w:val="007E4BD2"/>
    <w:rsid w:val="007F141C"/>
    <w:rsid w:val="007F4979"/>
    <w:rsid w:val="007F5CB9"/>
    <w:rsid w:val="00801393"/>
    <w:rsid w:val="00802F88"/>
    <w:rsid w:val="00803090"/>
    <w:rsid w:val="0080384D"/>
    <w:rsid w:val="008042F0"/>
    <w:rsid w:val="00804D0D"/>
    <w:rsid w:val="008079D8"/>
    <w:rsid w:val="00812385"/>
    <w:rsid w:val="008125A9"/>
    <w:rsid w:val="00812918"/>
    <w:rsid w:val="0081293E"/>
    <w:rsid w:val="00813D67"/>
    <w:rsid w:val="0081458B"/>
    <w:rsid w:val="00815465"/>
    <w:rsid w:val="00815B8C"/>
    <w:rsid w:val="008172BC"/>
    <w:rsid w:val="00817998"/>
    <w:rsid w:val="00817E9A"/>
    <w:rsid w:val="008200D6"/>
    <w:rsid w:val="00821B6A"/>
    <w:rsid w:val="00823CEC"/>
    <w:rsid w:val="0082402C"/>
    <w:rsid w:val="00825705"/>
    <w:rsid w:val="008306BD"/>
    <w:rsid w:val="00831A80"/>
    <w:rsid w:val="008322B2"/>
    <w:rsid w:val="00833465"/>
    <w:rsid w:val="00833743"/>
    <w:rsid w:val="008340A4"/>
    <w:rsid w:val="00835E75"/>
    <w:rsid w:val="0084022B"/>
    <w:rsid w:val="008403D9"/>
    <w:rsid w:val="008515BD"/>
    <w:rsid w:val="00855049"/>
    <w:rsid w:val="00863625"/>
    <w:rsid w:val="008644BA"/>
    <w:rsid w:val="0086497E"/>
    <w:rsid w:val="00865BFC"/>
    <w:rsid w:val="00866983"/>
    <w:rsid w:val="0087135F"/>
    <w:rsid w:val="00872D94"/>
    <w:rsid w:val="00876669"/>
    <w:rsid w:val="00876FFF"/>
    <w:rsid w:val="00880364"/>
    <w:rsid w:val="008858FA"/>
    <w:rsid w:val="00891592"/>
    <w:rsid w:val="0089173E"/>
    <w:rsid w:val="00891E9E"/>
    <w:rsid w:val="008A03B7"/>
    <w:rsid w:val="008A1065"/>
    <w:rsid w:val="008A2647"/>
    <w:rsid w:val="008A2F68"/>
    <w:rsid w:val="008A45CB"/>
    <w:rsid w:val="008A7015"/>
    <w:rsid w:val="008B267E"/>
    <w:rsid w:val="008B2C32"/>
    <w:rsid w:val="008B4FA6"/>
    <w:rsid w:val="008B5282"/>
    <w:rsid w:val="008B7C17"/>
    <w:rsid w:val="008C15C4"/>
    <w:rsid w:val="008C2D01"/>
    <w:rsid w:val="008C3010"/>
    <w:rsid w:val="008C40E6"/>
    <w:rsid w:val="008C6F96"/>
    <w:rsid w:val="008D0F7A"/>
    <w:rsid w:val="008D4E1D"/>
    <w:rsid w:val="008D64FE"/>
    <w:rsid w:val="008D6534"/>
    <w:rsid w:val="008D68E4"/>
    <w:rsid w:val="008E0506"/>
    <w:rsid w:val="008E0CFF"/>
    <w:rsid w:val="008E205D"/>
    <w:rsid w:val="008E5D6B"/>
    <w:rsid w:val="008E76F0"/>
    <w:rsid w:val="008F15FE"/>
    <w:rsid w:val="008F2D29"/>
    <w:rsid w:val="008F2F30"/>
    <w:rsid w:val="008F4CB1"/>
    <w:rsid w:val="008F5187"/>
    <w:rsid w:val="008F5649"/>
    <w:rsid w:val="008F58C9"/>
    <w:rsid w:val="008F60D8"/>
    <w:rsid w:val="008F7385"/>
    <w:rsid w:val="0090176A"/>
    <w:rsid w:val="00901E58"/>
    <w:rsid w:val="00902727"/>
    <w:rsid w:val="00902848"/>
    <w:rsid w:val="0090312B"/>
    <w:rsid w:val="009134B1"/>
    <w:rsid w:val="0091690F"/>
    <w:rsid w:val="0091736D"/>
    <w:rsid w:val="00917977"/>
    <w:rsid w:val="00921880"/>
    <w:rsid w:val="00923434"/>
    <w:rsid w:val="0092491D"/>
    <w:rsid w:val="00924B4E"/>
    <w:rsid w:val="0093037A"/>
    <w:rsid w:val="00930B64"/>
    <w:rsid w:val="00931F95"/>
    <w:rsid w:val="009330E5"/>
    <w:rsid w:val="0093481F"/>
    <w:rsid w:val="00934D0E"/>
    <w:rsid w:val="00935FF7"/>
    <w:rsid w:val="009413D7"/>
    <w:rsid w:val="0094154D"/>
    <w:rsid w:val="00947EC0"/>
    <w:rsid w:val="0095155F"/>
    <w:rsid w:val="00953D4C"/>
    <w:rsid w:val="00954429"/>
    <w:rsid w:val="009563CE"/>
    <w:rsid w:val="009570FE"/>
    <w:rsid w:val="00957630"/>
    <w:rsid w:val="00970062"/>
    <w:rsid w:val="00973AFF"/>
    <w:rsid w:val="00973C74"/>
    <w:rsid w:val="00976328"/>
    <w:rsid w:val="0097680D"/>
    <w:rsid w:val="00982438"/>
    <w:rsid w:val="0098404C"/>
    <w:rsid w:val="00985283"/>
    <w:rsid w:val="009853C3"/>
    <w:rsid w:val="009875E4"/>
    <w:rsid w:val="00990868"/>
    <w:rsid w:val="00992F03"/>
    <w:rsid w:val="0099476A"/>
    <w:rsid w:val="00994EBB"/>
    <w:rsid w:val="00995992"/>
    <w:rsid w:val="009970E7"/>
    <w:rsid w:val="00997E99"/>
    <w:rsid w:val="009A03E5"/>
    <w:rsid w:val="009A0F3B"/>
    <w:rsid w:val="009A1BB4"/>
    <w:rsid w:val="009A2628"/>
    <w:rsid w:val="009A3200"/>
    <w:rsid w:val="009A5636"/>
    <w:rsid w:val="009A5FD4"/>
    <w:rsid w:val="009A64D9"/>
    <w:rsid w:val="009B0785"/>
    <w:rsid w:val="009B0897"/>
    <w:rsid w:val="009B2300"/>
    <w:rsid w:val="009B2B39"/>
    <w:rsid w:val="009B653F"/>
    <w:rsid w:val="009B7BD9"/>
    <w:rsid w:val="009C0C59"/>
    <w:rsid w:val="009C0D51"/>
    <w:rsid w:val="009C762F"/>
    <w:rsid w:val="009C76D0"/>
    <w:rsid w:val="009C7DD5"/>
    <w:rsid w:val="009C7E8E"/>
    <w:rsid w:val="009D119D"/>
    <w:rsid w:val="009D17DC"/>
    <w:rsid w:val="009D1DF0"/>
    <w:rsid w:val="009D3AE6"/>
    <w:rsid w:val="009D5A2B"/>
    <w:rsid w:val="009E0AAB"/>
    <w:rsid w:val="009E227D"/>
    <w:rsid w:val="009E2714"/>
    <w:rsid w:val="009E5019"/>
    <w:rsid w:val="009E52BC"/>
    <w:rsid w:val="009F1A79"/>
    <w:rsid w:val="00A015F3"/>
    <w:rsid w:val="00A039F7"/>
    <w:rsid w:val="00A04F1B"/>
    <w:rsid w:val="00A0501B"/>
    <w:rsid w:val="00A118A0"/>
    <w:rsid w:val="00A120FA"/>
    <w:rsid w:val="00A13D7B"/>
    <w:rsid w:val="00A14947"/>
    <w:rsid w:val="00A16CCE"/>
    <w:rsid w:val="00A17DA8"/>
    <w:rsid w:val="00A20F0D"/>
    <w:rsid w:val="00A21F74"/>
    <w:rsid w:val="00A22CCB"/>
    <w:rsid w:val="00A25186"/>
    <w:rsid w:val="00A26FC9"/>
    <w:rsid w:val="00A3090D"/>
    <w:rsid w:val="00A31B3B"/>
    <w:rsid w:val="00A32A83"/>
    <w:rsid w:val="00A33F82"/>
    <w:rsid w:val="00A36127"/>
    <w:rsid w:val="00A368DB"/>
    <w:rsid w:val="00A40DEA"/>
    <w:rsid w:val="00A41FE4"/>
    <w:rsid w:val="00A423AA"/>
    <w:rsid w:val="00A45349"/>
    <w:rsid w:val="00A4583D"/>
    <w:rsid w:val="00A47B97"/>
    <w:rsid w:val="00A47D19"/>
    <w:rsid w:val="00A53235"/>
    <w:rsid w:val="00A53EC6"/>
    <w:rsid w:val="00A55C0F"/>
    <w:rsid w:val="00A574BB"/>
    <w:rsid w:val="00A726D7"/>
    <w:rsid w:val="00A74BFD"/>
    <w:rsid w:val="00A74FF5"/>
    <w:rsid w:val="00A80CB3"/>
    <w:rsid w:val="00A8713F"/>
    <w:rsid w:val="00A90BA1"/>
    <w:rsid w:val="00A95FE0"/>
    <w:rsid w:val="00A97A9A"/>
    <w:rsid w:val="00AA0671"/>
    <w:rsid w:val="00AA2531"/>
    <w:rsid w:val="00AB1E09"/>
    <w:rsid w:val="00AB1EB2"/>
    <w:rsid w:val="00AB2821"/>
    <w:rsid w:val="00AB5330"/>
    <w:rsid w:val="00AB5846"/>
    <w:rsid w:val="00AB5B2D"/>
    <w:rsid w:val="00AB71A6"/>
    <w:rsid w:val="00AB7747"/>
    <w:rsid w:val="00AC14CE"/>
    <w:rsid w:val="00AC2A56"/>
    <w:rsid w:val="00AC7F1B"/>
    <w:rsid w:val="00AD055E"/>
    <w:rsid w:val="00AD076D"/>
    <w:rsid w:val="00AD0895"/>
    <w:rsid w:val="00AD32A4"/>
    <w:rsid w:val="00AD47A7"/>
    <w:rsid w:val="00AD7957"/>
    <w:rsid w:val="00AE2F8D"/>
    <w:rsid w:val="00AE4C83"/>
    <w:rsid w:val="00AE7563"/>
    <w:rsid w:val="00AF0CBF"/>
    <w:rsid w:val="00AF257F"/>
    <w:rsid w:val="00AF33CF"/>
    <w:rsid w:val="00AF4D50"/>
    <w:rsid w:val="00AF4F14"/>
    <w:rsid w:val="00AF608E"/>
    <w:rsid w:val="00AF6179"/>
    <w:rsid w:val="00B02BB6"/>
    <w:rsid w:val="00B04D8B"/>
    <w:rsid w:val="00B07608"/>
    <w:rsid w:val="00B11B5C"/>
    <w:rsid w:val="00B124E8"/>
    <w:rsid w:val="00B1295A"/>
    <w:rsid w:val="00B16818"/>
    <w:rsid w:val="00B20692"/>
    <w:rsid w:val="00B20A45"/>
    <w:rsid w:val="00B21DCF"/>
    <w:rsid w:val="00B21E83"/>
    <w:rsid w:val="00B22C5C"/>
    <w:rsid w:val="00B24ADF"/>
    <w:rsid w:val="00B24F30"/>
    <w:rsid w:val="00B25E49"/>
    <w:rsid w:val="00B2614F"/>
    <w:rsid w:val="00B31ABF"/>
    <w:rsid w:val="00B33537"/>
    <w:rsid w:val="00B33BE3"/>
    <w:rsid w:val="00B33DF6"/>
    <w:rsid w:val="00B344E5"/>
    <w:rsid w:val="00B36696"/>
    <w:rsid w:val="00B40AB4"/>
    <w:rsid w:val="00B43023"/>
    <w:rsid w:val="00B43436"/>
    <w:rsid w:val="00B46B99"/>
    <w:rsid w:val="00B50CD6"/>
    <w:rsid w:val="00B51542"/>
    <w:rsid w:val="00B51BCA"/>
    <w:rsid w:val="00B534D7"/>
    <w:rsid w:val="00B53B5D"/>
    <w:rsid w:val="00B54E3A"/>
    <w:rsid w:val="00B6055E"/>
    <w:rsid w:val="00B621B8"/>
    <w:rsid w:val="00B6317D"/>
    <w:rsid w:val="00B65F2F"/>
    <w:rsid w:val="00B66E95"/>
    <w:rsid w:val="00B678D2"/>
    <w:rsid w:val="00B74C75"/>
    <w:rsid w:val="00B75DE0"/>
    <w:rsid w:val="00B7723F"/>
    <w:rsid w:val="00B80534"/>
    <w:rsid w:val="00B810EF"/>
    <w:rsid w:val="00B82C00"/>
    <w:rsid w:val="00B8433C"/>
    <w:rsid w:val="00B85952"/>
    <w:rsid w:val="00B87491"/>
    <w:rsid w:val="00B87F92"/>
    <w:rsid w:val="00B90176"/>
    <w:rsid w:val="00B93DBF"/>
    <w:rsid w:val="00BA0F45"/>
    <w:rsid w:val="00BA29E9"/>
    <w:rsid w:val="00BA7142"/>
    <w:rsid w:val="00BB237C"/>
    <w:rsid w:val="00BB2F5F"/>
    <w:rsid w:val="00BB41A3"/>
    <w:rsid w:val="00BB5239"/>
    <w:rsid w:val="00BB6CAB"/>
    <w:rsid w:val="00BB7C6A"/>
    <w:rsid w:val="00BC1664"/>
    <w:rsid w:val="00BC209C"/>
    <w:rsid w:val="00BC2581"/>
    <w:rsid w:val="00BC32DC"/>
    <w:rsid w:val="00BC35B6"/>
    <w:rsid w:val="00BC3A71"/>
    <w:rsid w:val="00BC55AC"/>
    <w:rsid w:val="00BC727C"/>
    <w:rsid w:val="00BD1B51"/>
    <w:rsid w:val="00BD3071"/>
    <w:rsid w:val="00BD3B8F"/>
    <w:rsid w:val="00BD4596"/>
    <w:rsid w:val="00BD4F05"/>
    <w:rsid w:val="00BD57FE"/>
    <w:rsid w:val="00BD586E"/>
    <w:rsid w:val="00BD7E9A"/>
    <w:rsid w:val="00BE1405"/>
    <w:rsid w:val="00BE312D"/>
    <w:rsid w:val="00BE362A"/>
    <w:rsid w:val="00BE5ED1"/>
    <w:rsid w:val="00BE633D"/>
    <w:rsid w:val="00BE6AA7"/>
    <w:rsid w:val="00BE6D8C"/>
    <w:rsid w:val="00BE7065"/>
    <w:rsid w:val="00BF1C20"/>
    <w:rsid w:val="00BF411F"/>
    <w:rsid w:val="00BF7006"/>
    <w:rsid w:val="00BF7768"/>
    <w:rsid w:val="00BF7B17"/>
    <w:rsid w:val="00C035E2"/>
    <w:rsid w:val="00C03F35"/>
    <w:rsid w:val="00C10578"/>
    <w:rsid w:val="00C1170A"/>
    <w:rsid w:val="00C135BC"/>
    <w:rsid w:val="00C15C95"/>
    <w:rsid w:val="00C1705C"/>
    <w:rsid w:val="00C21B5C"/>
    <w:rsid w:val="00C23089"/>
    <w:rsid w:val="00C25326"/>
    <w:rsid w:val="00C2596A"/>
    <w:rsid w:val="00C25EF5"/>
    <w:rsid w:val="00C27537"/>
    <w:rsid w:val="00C328FE"/>
    <w:rsid w:val="00C33507"/>
    <w:rsid w:val="00C40AFC"/>
    <w:rsid w:val="00C4409D"/>
    <w:rsid w:val="00C443BE"/>
    <w:rsid w:val="00C44E72"/>
    <w:rsid w:val="00C45A06"/>
    <w:rsid w:val="00C476EA"/>
    <w:rsid w:val="00C47C3F"/>
    <w:rsid w:val="00C47E5B"/>
    <w:rsid w:val="00C5009B"/>
    <w:rsid w:val="00C5495D"/>
    <w:rsid w:val="00C61792"/>
    <w:rsid w:val="00C6196C"/>
    <w:rsid w:val="00C61AF4"/>
    <w:rsid w:val="00C61E4B"/>
    <w:rsid w:val="00C62C99"/>
    <w:rsid w:val="00C63289"/>
    <w:rsid w:val="00C6477A"/>
    <w:rsid w:val="00C64BFF"/>
    <w:rsid w:val="00C704E9"/>
    <w:rsid w:val="00C72761"/>
    <w:rsid w:val="00C74A43"/>
    <w:rsid w:val="00C75743"/>
    <w:rsid w:val="00C763C9"/>
    <w:rsid w:val="00C80057"/>
    <w:rsid w:val="00C82232"/>
    <w:rsid w:val="00C82913"/>
    <w:rsid w:val="00C85317"/>
    <w:rsid w:val="00C972B1"/>
    <w:rsid w:val="00CA00A7"/>
    <w:rsid w:val="00CA0AF4"/>
    <w:rsid w:val="00CA1F24"/>
    <w:rsid w:val="00CA290E"/>
    <w:rsid w:val="00CA2CCE"/>
    <w:rsid w:val="00CA43FD"/>
    <w:rsid w:val="00CA79E4"/>
    <w:rsid w:val="00CA7EF8"/>
    <w:rsid w:val="00CB48DF"/>
    <w:rsid w:val="00CB4D7E"/>
    <w:rsid w:val="00CC489B"/>
    <w:rsid w:val="00CC662A"/>
    <w:rsid w:val="00CC6AB5"/>
    <w:rsid w:val="00CD2BCD"/>
    <w:rsid w:val="00CD3A4C"/>
    <w:rsid w:val="00CD49E4"/>
    <w:rsid w:val="00CE10E9"/>
    <w:rsid w:val="00CE2825"/>
    <w:rsid w:val="00CE2910"/>
    <w:rsid w:val="00CE5393"/>
    <w:rsid w:val="00CF36BE"/>
    <w:rsid w:val="00CF6000"/>
    <w:rsid w:val="00CF6C66"/>
    <w:rsid w:val="00D003F3"/>
    <w:rsid w:val="00D0364F"/>
    <w:rsid w:val="00D03A67"/>
    <w:rsid w:val="00D04E67"/>
    <w:rsid w:val="00D0560F"/>
    <w:rsid w:val="00D06834"/>
    <w:rsid w:val="00D11D43"/>
    <w:rsid w:val="00D1235D"/>
    <w:rsid w:val="00D20DD0"/>
    <w:rsid w:val="00D25F9C"/>
    <w:rsid w:val="00D26D9F"/>
    <w:rsid w:val="00D27F93"/>
    <w:rsid w:val="00D308ED"/>
    <w:rsid w:val="00D3571B"/>
    <w:rsid w:val="00D36D86"/>
    <w:rsid w:val="00D428AA"/>
    <w:rsid w:val="00D46288"/>
    <w:rsid w:val="00D505F4"/>
    <w:rsid w:val="00D50A34"/>
    <w:rsid w:val="00D5300B"/>
    <w:rsid w:val="00D5320A"/>
    <w:rsid w:val="00D53EFA"/>
    <w:rsid w:val="00D54D44"/>
    <w:rsid w:val="00D5528E"/>
    <w:rsid w:val="00D56082"/>
    <w:rsid w:val="00D600F6"/>
    <w:rsid w:val="00D64897"/>
    <w:rsid w:val="00D70D87"/>
    <w:rsid w:val="00D7260A"/>
    <w:rsid w:val="00D72D6F"/>
    <w:rsid w:val="00D75F24"/>
    <w:rsid w:val="00D7724E"/>
    <w:rsid w:val="00D77C44"/>
    <w:rsid w:val="00D83780"/>
    <w:rsid w:val="00D83884"/>
    <w:rsid w:val="00D8464E"/>
    <w:rsid w:val="00D84EC5"/>
    <w:rsid w:val="00D861E5"/>
    <w:rsid w:val="00D875C4"/>
    <w:rsid w:val="00D879B3"/>
    <w:rsid w:val="00D91304"/>
    <w:rsid w:val="00D94A7C"/>
    <w:rsid w:val="00D95896"/>
    <w:rsid w:val="00DA10D2"/>
    <w:rsid w:val="00DA5227"/>
    <w:rsid w:val="00DA6075"/>
    <w:rsid w:val="00DA656A"/>
    <w:rsid w:val="00DB1E7F"/>
    <w:rsid w:val="00DB2860"/>
    <w:rsid w:val="00DB2983"/>
    <w:rsid w:val="00DC1257"/>
    <w:rsid w:val="00DC2E65"/>
    <w:rsid w:val="00DC31D7"/>
    <w:rsid w:val="00DC3DC0"/>
    <w:rsid w:val="00DC57FC"/>
    <w:rsid w:val="00DC5B2B"/>
    <w:rsid w:val="00DD011E"/>
    <w:rsid w:val="00DD318D"/>
    <w:rsid w:val="00DD60A3"/>
    <w:rsid w:val="00DD6945"/>
    <w:rsid w:val="00DD77EF"/>
    <w:rsid w:val="00DE3916"/>
    <w:rsid w:val="00DE7551"/>
    <w:rsid w:val="00DE7D0C"/>
    <w:rsid w:val="00DF08ED"/>
    <w:rsid w:val="00DF2E12"/>
    <w:rsid w:val="00DF3E19"/>
    <w:rsid w:val="00DF514A"/>
    <w:rsid w:val="00DF60F4"/>
    <w:rsid w:val="00DF6690"/>
    <w:rsid w:val="00DF6804"/>
    <w:rsid w:val="00DF6F02"/>
    <w:rsid w:val="00DF74EA"/>
    <w:rsid w:val="00E0358D"/>
    <w:rsid w:val="00E04323"/>
    <w:rsid w:val="00E05407"/>
    <w:rsid w:val="00E06334"/>
    <w:rsid w:val="00E070A2"/>
    <w:rsid w:val="00E12789"/>
    <w:rsid w:val="00E1475A"/>
    <w:rsid w:val="00E17D85"/>
    <w:rsid w:val="00E223E6"/>
    <w:rsid w:val="00E23DFA"/>
    <w:rsid w:val="00E2516B"/>
    <w:rsid w:val="00E26527"/>
    <w:rsid w:val="00E2656A"/>
    <w:rsid w:val="00E27287"/>
    <w:rsid w:val="00E3633C"/>
    <w:rsid w:val="00E412D0"/>
    <w:rsid w:val="00E423A3"/>
    <w:rsid w:val="00E45E95"/>
    <w:rsid w:val="00E503AB"/>
    <w:rsid w:val="00E55251"/>
    <w:rsid w:val="00E56322"/>
    <w:rsid w:val="00E57C08"/>
    <w:rsid w:val="00E60982"/>
    <w:rsid w:val="00E60F5A"/>
    <w:rsid w:val="00E6115D"/>
    <w:rsid w:val="00E62C62"/>
    <w:rsid w:val="00E654C1"/>
    <w:rsid w:val="00E65D97"/>
    <w:rsid w:val="00E72A5A"/>
    <w:rsid w:val="00E731E2"/>
    <w:rsid w:val="00E73354"/>
    <w:rsid w:val="00E75595"/>
    <w:rsid w:val="00E76672"/>
    <w:rsid w:val="00E76D34"/>
    <w:rsid w:val="00E771FB"/>
    <w:rsid w:val="00E80148"/>
    <w:rsid w:val="00E8194B"/>
    <w:rsid w:val="00E82EAF"/>
    <w:rsid w:val="00E82F42"/>
    <w:rsid w:val="00E86367"/>
    <w:rsid w:val="00E8723C"/>
    <w:rsid w:val="00E9242D"/>
    <w:rsid w:val="00E94A19"/>
    <w:rsid w:val="00EA28EC"/>
    <w:rsid w:val="00EA54CE"/>
    <w:rsid w:val="00EA5649"/>
    <w:rsid w:val="00EA5BB7"/>
    <w:rsid w:val="00EA6F69"/>
    <w:rsid w:val="00EA785C"/>
    <w:rsid w:val="00EA7D36"/>
    <w:rsid w:val="00EA7F06"/>
    <w:rsid w:val="00EB42E3"/>
    <w:rsid w:val="00EB4FDE"/>
    <w:rsid w:val="00EB5164"/>
    <w:rsid w:val="00EB5255"/>
    <w:rsid w:val="00EB5C1C"/>
    <w:rsid w:val="00EB5C47"/>
    <w:rsid w:val="00EB7438"/>
    <w:rsid w:val="00EC1800"/>
    <w:rsid w:val="00EC42E6"/>
    <w:rsid w:val="00EC4DD6"/>
    <w:rsid w:val="00ED0639"/>
    <w:rsid w:val="00ED2006"/>
    <w:rsid w:val="00ED2BCD"/>
    <w:rsid w:val="00ED2D83"/>
    <w:rsid w:val="00ED334C"/>
    <w:rsid w:val="00EE2454"/>
    <w:rsid w:val="00EE31A4"/>
    <w:rsid w:val="00EE36EE"/>
    <w:rsid w:val="00EE596F"/>
    <w:rsid w:val="00EE74BE"/>
    <w:rsid w:val="00EF1C92"/>
    <w:rsid w:val="00EF4755"/>
    <w:rsid w:val="00EF56D1"/>
    <w:rsid w:val="00EF5B15"/>
    <w:rsid w:val="00EF7135"/>
    <w:rsid w:val="00EF7AE7"/>
    <w:rsid w:val="00F027DB"/>
    <w:rsid w:val="00F0345F"/>
    <w:rsid w:val="00F104ED"/>
    <w:rsid w:val="00F1359D"/>
    <w:rsid w:val="00F14A7A"/>
    <w:rsid w:val="00F168F1"/>
    <w:rsid w:val="00F16D4B"/>
    <w:rsid w:val="00F22985"/>
    <w:rsid w:val="00F27F4C"/>
    <w:rsid w:val="00F30F66"/>
    <w:rsid w:val="00F3383E"/>
    <w:rsid w:val="00F33AFC"/>
    <w:rsid w:val="00F3453F"/>
    <w:rsid w:val="00F357ED"/>
    <w:rsid w:val="00F43B32"/>
    <w:rsid w:val="00F454C1"/>
    <w:rsid w:val="00F458DE"/>
    <w:rsid w:val="00F465A7"/>
    <w:rsid w:val="00F50B7C"/>
    <w:rsid w:val="00F54FF5"/>
    <w:rsid w:val="00F550E6"/>
    <w:rsid w:val="00F55790"/>
    <w:rsid w:val="00F568A6"/>
    <w:rsid w:val="00F63B99"/>
    <w:rsid w:val="00F64F52"/>
    <w:rsid w:val="00F74345"/>
    <w:rsid w:val="00F80A0A"/>
    <w:rsid w:val="00F82853"/>
    <w:rsid w:val="00F82B19"/>
    <w:rsid w:val="00F8349E"/>
    <w:rsid w:val="00F850A0"/>
    <w:rsid w:val="00F865BF"/>
    <w:rsid w:val="00F86E20"/>
    <w:rsid w:val="00F90809"/>
    <w:rsid w:val="00F910B0"/>
    <w:rsid w:val="00F9212D"/>
    <w:rsid w:val="00F93A32"/>
    <w:rsid w:val="00F965DA"/>
    <w:rsid w:val="00FA0321"/>
    <w:rsid w:val="00FA07C4"/>
    <w:rsid w:val="00FA406A"/>
    <w:rsid w:val="00FA4810"/>
    <w:rsid w:val="00FA4FE5"/>
    <w:rsid w:val="00FA6513"/>
    <w:rsid w:val="00FA663D"/>
    <w:rsid w:val="00FB0DE5"/>
    <w:rsid w:val="00FB3F97"/>
    <w:rsid w:val="00FB43DD"/>
    <w:rsid w:val="00FB503A"/>
    <w:rsid w:val="00FB516C"/>
    <w:rsid w:val="00FC06C5"/>
    <w:rsid w:val="00FC082D"/>
    <w:rsid w:val="00FC2077"/>
    <w:rsid w:val="00FC6624"/>
    <w:rsid w:val="00FC6FEF"/>
    <w:rsid w:val="00FD0236"/>
    <w:rsid w:val="00FD1786"/>
    <w:rsid w:val="00FD18F4"/>
    <w:rsid w:val="00FD325E"/>
    <w:rsid w:val="00FD54DB"/>
    <w:rsid w:val="00FD5A8D"/>
    <w:rsid w:val="00FD5CB6"/>
    <w:rsid w:val="00FD619F"/>
    <w:rsid w:val="00FE2D86"/>
    <w:rsid w:val="00FF0802"/>
    <w:rsid w:val="00FF1367"/>
    <w:rsid w:val="00FF1B5B"/>
    <w:rsid w:val="00FF5280"/>
    <w:rsid w:val="00FF591C"/>
    <w:rsid w:val="00FF598A"/>
    <w:rsid w:val="00FF6253"/>
    <w:rsid w:val="00FF6F55"/>
    <w:rsid w:val="010F3BA1"/>
    <w:rsid w:val="01290F7E"/>
    <w:rsid w:val="01451C60"/>
    <w:rsid w:val="01506706"/>
    <w:rsid w:val="01521B55"/>
    <w:rsid w:val="01531B4E"/>
    <w:rsid w:val="015D1E09"/>
    <w:rsid w:val="01720E14"/>
    <w:rsid w:val="019901D0"/>
    <w:rsid w:val="01A10159"/>
    <w:rsid w:val="01A22C15"/>
    <w:rsid w:val="01AA357A"/>
    <w:rsid w:val="01AC791F"/>
    <w:rsid w:val="01CE6F3B"/>
    <w:rsid w:val="01D35CA6"/>
    <w:rsid w:val="01E01B76"/>
    <w:rsid w:val="01F723BC"/>
    <w:rsid w:val="020E32AF"/>
    <w:rsid w:val="022B7772"/>
    <w:rsid w:val="023077C2"/>
    <w:rsid w:val="023870D5"/>
    <w:rsid w:val="02391AA5"/>
    <w:rsid w:val="02434706"/>
    <w:rsid w:val="025F6A7D"/>
    <w:rsid w:val="026478F5"/>
    <w:rsid w:val="02697903"/>
    <w:rsid w:val="027F6AB2"/>
    <w:rsid w:val="029F2B8E"/>
    <w:rsid w:val="02CE3403"/>
    <w:rsid w:val="02D212D8"/>
    <w:rsid w:val="02D22677"/>
    <w:rsid w:val="02EA1C73"/>
    <w:rsid w:val="02F96569"/>
    <w:rsid w:val="02FF0952"/>
    <w:rsid w:val="030F6503"/>
    <w:rsid w:val="03155DD3"/>
    <w:rsid w:val="031918FF"/>
    <w:rsid w:val="032F7E3A"/>
    <w:rsid w:val="0332688A"/>
    <w:rsid w:val="034A7BF0"/>
    <w:rsid w:val="034F277B"/>
    <w:rsid w:val="03534D7D"/>
    <w:rsid w:val="03551B70"/>
    <w:rsid w:val="03575C81"/>
    <w:rsid w:val="035F4881"/>
    <w:rsid w:val="03644C51"/>
    <w:rsid w:val="036D70E8"/>
    <w:rsid w:val="03925D68"/>
    <w:rsid w:val="03BF5C74"/>
    <w:rsid w:val="03C80585"/>
    <w:rsid w:val="03EA7B21"/>
    <w:rsid w:val="040528FB"/>
    <w:rsid w:val="04060313"/>
    <w:rsid w:val="04527CA3"/>
    <w:rsid w:val="049164E2"/>
    <w:rsid w:val="04A66578"/>
    <w:rsid w:val="04B71264"/>
    <w:rsid w:val="04DA0F12"/>
    <w:rsid w:val="04E81B24"/>
    <w:rsid w:val="04FA2D68"/>
    <w:rsid w:val="0504279B"/>
    <w:rsid w:val="051651C6"/>
    <w:rsid w:val="051703C7"/>
    <w:rsid w:val="051931EE"/>
    <w:rsid w:val="05322EDD"/>
    <w:rsid w:val="053267A8"/>
    <w:rsid w:val="053560B2"/>
    <w:rsid w:val="05444C24"/>
    <w:rsid w:val="05516791"/>
    <w:rsid w:val="05577311"/>
    <w:rsid w:val="05752483"/>
    <w:rsid w:val="0582048A"/>
    <w:rsid w:val="0590366D"/>
    <w:rsid w:val="05997F77"/>
    <w:rsid w:val="05A46999"/>
    <w:rsid w:val="05D55F3F"/>
    <w:rsid w:val="05DA4E4A"/>
    <w:rsid w:val="05EE1A1D"/>
    <w:rsid w:val="05F0338B"/>
    <w:rsid w:val="05F83EAE"/>
    <w:rsid w:val="05FF589C"/>
    <w:rsid w:val="06287461"/>
    <w:rsid w:val="063128B1"/>
    <w:rsid w:val="063E7D85"/>
    <w:rsid w:val="06586034"/>
    <w:rsid w:val="06613955"/>
    <w:rsid w:val="06760B48"/>
    <w:rsid w:val="068A48AF"/>
    <w:rsid w:val="069468A4"/>
    <w:rsid w:val="069550FB"/>
    <w:rsid w:val="06D30DAC"/>
    <w:rsid w:val="06E967D1"/>
    <w:rsid w:val="0710124A"/>
    <w:rsid w:val="071D6E70"/>
    <w:rsid w:val="071D7B28"/>
    <w:rsid w:val="07290AB2"/>
    <w:rsid w:val="07293586"/>
    <w:rsid w:val="07295285"/>
    <w:rsid w:val="07351559"/>
    <w:rsid w:val="07490312"/>
    <w:rsid w:val="0749654A"/>
    <w:rsid w:val="07634BF4"/>
    <w:rsid w:val="07636392"/>
    <w:rsid w:val="07770C56"/>
    <w:rsid w:val="07902142"/>
    <w:rsid w:val="07B21C28"/>
    <w:rsid w:val="07D1293D"/>
    <w:rsid w:val="07E00D75"/>
    <w:rsid w:val="07E35051"/>
    <w:rsid w:val="081E4797"/>
    <w:rsid w:val="08204D65"/>
    <w:rsid w:val="0826234E"/>
    <w:rsid w:val="0847593C"/>
    <w:rsid w:val="08713027"/>
    <w:rsid w:val="08723BC6"/>
    <w:rsid w:val="087C73DC"/>
    <w:rsid w:val="088637FC"/>
    <w:rsid w:val="08892439"/>
    <w:rsid w:val="088F0801"/>
    <w:rsid w:val="08D32FF4"/>
    <w:rsid w:val="08E76A6C"/>
    <w:rsid w:val="08E81899"/>
    <w:rsid w:val="090221EB"/>
    <w:rsid w:val="090B698B"/>
    <w:rsid w:val="09114527"/>
    <w:rsid w:val="091E2D63"/>
    <w:rsid w:val="092217DD"/>
    <w:rsid w:val="093A7294"/>
    <w:rsid w:val="0949750F"/>
    <w:rsid w:val="09693E5D"/>
    <w:rsid w:val="096B7E97"/>
    <w:rsid w:val="09702D2E"/>
    <w:rsid w:val="09AA6441"/>
    <w:rsid w:val="09C97896"/>
    <w:rsid w:val="0A1B77F7"/>
    <w:rsid w:val="0A1F08CF"/>
    <w:rsid w:val="0A263993"/>
    <w:rsid w:val="0A2D3AC2"/>
    <w:rsid w:val="0A3E6C8D"/>
    <w:rsid w:val="0A66380E"/>
    <w:rsid w:val="0A6A1E1B"/>
    <w:rsid w:val="0A6C2109"/>
    <w:rsid w:val="0A7C30CB"/>
    <w:rsid w:val="0A88600E"/>
    <w:rsid w:val="0A943144"/>
    <w:rsid w:val="0A9A3F60"/>
    <w:rsid w:val="0AA755DF"/>
    <w:rsid w:val="0AB67929"/>
    <w:rsid w:val="0ADC167B"/>
    <w:rsid w:val="0ADC23E1"/>
    <w:rsid w:val="0AF30E94"/>
    <w:rsid w:val="0AF930D2"/>
    <w:rsid w:val="0B0F6474"/>
    <w:rsid w:val="0B120D44"/>
    <w:rsid w:val="0B243ED2"/>
    <w:rsid w:val="0B253EB6"/>
    <w:rsid w:val="0B39338F"/>
    <w:rsid w:val="0B570CD4"/>
    <w:rsid w:val="0B634DE3"/>
    <w:rsid w:val="0B9D5253"/>
    <w:rsid w:val="0BA21BCD"/>
    <w:rsid w:val="0BA36BE3"/>
    <w:rsid w:val="0BA36E12"/>
    <w:rsid w:val="0BA955CC"/>
    <w:rsid w:val="0BAA4CAE"/>
    <w:rsid w:val="0BAB76E8"/>
    <w:rsid w:val="0BAE0116"/>
    <w:rsid w:val="0BB4407F"/>
    <w:rsid w:val="0BCA76B1"/>
    <w:rsid w:val="0BD27BF6"/>
    <w:rsid w:val="0BE25C72"/>
    <w:rsid w:val="0BEF48A5"/>
    <w:rsid w:val="0BF26C07"/>
    <w:rsid w:val="0C1655AD"/>
    <w:rsid w:val="0C217A22"/>
    <w:rsid w:val="0C2952C2"/>
    <w:rsid w:val="0C3B3C7D"/>
    <w:rsid w:val="0C3C69A6"/>
    <w:rsid w:val="0C616562"/>
    <w:rsid w:val="0C6311F3"/>
    <w:rsid w:val="0C647F7D"/>
    <w:rsid w:val="0C7A3785"/>
    <w:rsid w:val="0C7F4363"/>
    <w:rsid w:val="0CA06236"/>
    <w:rsid w:val="0CAB2EAE"/>
    <w:rsid w:val="0CB70628"/>
    <w:rsid w:val="0CB87790"/>
    <w:rsid w:val="0CFF32BA"/>
    <w:rsid w:val="0D110142"/>
    <w:rsid w:val="0D1D3396"/>
    <w:rsid w:val="0D2546FA"/>
    <w:rsid w:val="0D2C7836"/>
    <w:rsid w:val="0D350DE1"/>
    <w:rsid w:val="0D521E7D"/>
    <w:rsid w:val="0D621C7D"/>
    <w:rsid w:val="0D996F38"/>
    <w:rsid w:val="0DA162EC"/>
    <w:rsid w:val="0DA358A3"/>
    <w:rsid w:val="0DAD632E"/>
    <w:rsid w:val="0DC352A5"/>
    <w:rsid w:val="0DCA7D00"/>
    <w:rsid w:val="0DD95284"/>
    <w:rsid w:val="0DF46C86"/>
    <w:rsid w:val="0E0A0C7E"/>
    <w:rsid w:val="0E185A98"/>
    <w:rsid w:val="0E351CBE"/>
    <w:rsid w:val="0E3737CD"/>
    <w:rsid w:val="0E3D1946"/>
    <w:rsid w:val="0E4010CB"/>
    <w:rsid w:val="0E73034D"/>
    <w:rsid w:val="0E824C49"/>
    <w:rsid w:val="0E9E07AC"/>
    <w:rsid w:val="0E9F3D4C"/>
    <w:rsid w:val="0ED24AE4"/>
    <w:rsid w:val="0EDF1F57"/>
    <w:rsid w:val="0EDF29B7"/>
    <w:rsid w:val="0EE42B75"/>
    <w:rsid w:val="0EE65DC4"/>
    <w:rsid w:val="0EF82B10"/>
    <w:rsid w:val="0F0A2A04"/>
    <w:rsid w:val="0F13775A"/>
    <w:rsid w:val="0F2D484E"/>
    <w:rsid w:val="0F3D104D"/>
    <w:rsid w:val="0F474788"/>
    <w:rsid w:val="0F535B43"/>
    <w:rsid w:val="0F537015"/>
    <w:rsid w:val="0F5F45FE"/>
    <w:rsid w:val="0F7B7D88"/>
    <w:rsid w:val="0F9A112B"/>
    <w:rsid w:val="0FA41BAE"/>
    <w:rsid w:val="0FB93782"/>
    <w:rsid w:val="0FD24AAC"/>
    <w:rsid w:val="0FD3630D"/>
    <w:rsid w:val="0FF35614"/>
    <w:rsid w:val="0FFD1115"/>
    <w:rsid w:val="10156CA8"/>
    <w:rsid w:val="101E1026"/>
    <w:rsid w:val="103928A8"/>
    <w:rsid w:val="106D2F64"/>
    <w:rsid w:val="108E3427"/>
    <w:rsid w:val="10A15502"/>
    <w:rsid w:val="10B63710"/>
    <w:rsid w:val="10BB5582"/>
    <w:rsid w:val="10ED6ECE"/>
    <w:rsid w:val="10F10820"/>
    <w:rsid w:val="111C2F7A"/>
    <w:rsid w:val="1157173B"/>
    <w:rsid w:val="115C108C"/>
    <w:rsid w:val="115C2EBC"/>
    <w:rsid w:val="115D26B4"/>
    <w:rsid w:val="1164759D"/>
    <w:rsid w:val="116625B7"/>
    <w:rsid w:val="11665CA1"/>
    <w:rsid w:val="119A57B1"/>
    <w:rsid w:val="11A01AFB"/>
    <w:rsid w:val="11A02540"/>
    <w:rsid w:val="11BD0515"/>
    <w:rsid w:val="11E26764"/>
    <w:rsid w:val="121450C6"/>
    <w:rsid w:val="12610349"/>
    <w:rsid w:val="127F1841"/>
    <w:rsid w:val="1295794C"/>
    <w:rsid w:val="12DC1832"/>
    <w:rsid w:val="13230282"/>
    <w:rsid w:val="13914DF7"/>
    <w:rsid w:val="13937098"/>
    <w:rsid w:val="13951726"/>
    <w:rsid w:val="13A97713"/>
    <w:rsid w:val="13BC27B6"/>
    <w:rsid w:val="13BC30A4"/>
    <w:rsid w:val="13FC48F0"/>
    <w:rsid w:val="14050641"/>
    <w:rsid w:val="1421445C"/>
    <w:rsid w:val="14396509"/>
    <w:rsid w:val="14482B72"/>
    <w:rsid w:val="144F526B"/>
    <w:rsid w:val="14676D09"/>
    <w:rsid w:val="147F68E7"/>
    <w:rsid w:val="14952165"/>
    <w:rsid w:val="14DB4C3D"/>
    <w:rsid w:val="14DD2C3C"/>
    <w:rsid w:val="14ED3166"/>
    <w:rsid w:val="14F94826"/>
    <w:rsid w:val="14FB2DCA"/>
    <w:rsid w:val="1503439B"/>
    <w:rsid w:val="15323E58"/>
    <w:rsid w:val="15383CE6"/>
    <w:rsid w:val="15581B10"/>
    <w:rsid w:val="155E1397"/>
    <w:rsid w:val="156E7876"/>
    <w:rsid w:val="15AA7E92"/>
    <w:rsid w:val="15B30C6C"/>
    <w:rsid w:val="15B8693A"/>
    <w:rsid w:val="15E30704"/>
    <w:rsid w:val="15E66297"/>
    <w:rsid w:val="15F61B2D"/>
    <w:rsid w:val="16087E1D"/>
    <w:rsid w:val="160D3DC5"/>
    <w:rsid w:val="16197E30"/>
    <w:rsid w:val="1620465B"/>
    <w:rsid w:val="162C1740"/>
    <w:rsid w:val="162D0DBC"/>
    <w:rsid w:val="163618E7"/>
    <w:rsid w:val="163E629A"/>
    <w:rsid w:val="16462708"/>
    <w:rsid w:val="16590EFE"/>
    <w:rsid w:val="168004AE"/>
    <w:rsid w:val="169D46EA"/>
    <w:rsid w:val="16B96C6B"/>
    <w:rsid w:val="16C77CFF"/>
    <w:rsid w:val="16ED65D9"/>
    <w:rsid w:val="17086E4B"/>
    <w:rsid w:val="171342F4"/>
    <w:rsid w:val="17171CE0"/>
    <w:rsid w:val="171E15E8"/>
    <w:rsid w:val="171F24F1"/>
    <w:rsid w:val="17481FE4"/>
    <w:rsid w:val="175F7F9F"/>
    <w:rsid w:val="17650973"/>
    <w:rsid w:val="17701D14"/>
    <w:rsid w:val="17735226"/>
    <w:rsid w:val="177C7052"/>
    <w:rsid w:val="17810C39"/>
    <w:rsid w:val="1796040B"/>
    <w:rsid w:val="17A66282"/>
    <w:rsid w:val="17A90120"/>
    <w:rsid w:val="17AF79E2"/>
    <w:rsid w:val="17BB1EE3"/>
    <w:rsid w:val="17BB6AC7"/>
    <w:rsid w:val="17CC2342"/>
    <w:rsid w:val="17EF023E"/>
    <w:rsid w:val="17F10CC9"/>
    <w:rsid w:val="17F83B00"/>
    <w:rsid w:val="181153DE"/>
    <w:rsid w:val="1824217E"/>
    <w:rsid w:val="182E4F9A"/>
    <w:rsid w:val="185474C6"/>
    <w:rsid w:val="186E5C95"/>
    <w:rsid w:val="187B0373"/>
    <w:rsid w:val="188B772B"/>
    <w:rsid w:val="189F624C"/>
    <w:rsid w:val="18C80D5B"/>
    <w:rsid w:val="18CF38A1"/>
    <w:rsid w:val="18D515FB"/>
    <w:rsid w:val="18EE1EDF"/>
    <w:rsid w:val="190336FA"/>
    <w:rsid w:val="190D6909"/>
    <w:rsid w:val="19305591"/>
    <w:rsid w:val="19406B06"/>
    <w:rsid w:val="1943733F"/>
    <w:rsid w:val="1966456C"/>
    <w:rsid w:val="19676C9D"/>
    <w:rsid w:val="196A0C51"/>
    <w:rsid w:val="19962C07"/>
    <w:rsid w:val="199A3776"/>
    <w:rsid w:val="199C0324"/>
    <w:rsid w:val="19AC0407"/>
    <w:rsid w:val="19AE6C35"/>
    <w:rsid w:val="19BB4F43"/>
    <w:rsid w:val="19C04D9C"/>
    <w:rsid w:val="19D75218"/>
    <w:rsid w:val="1A1C66C0"/>
    <w:rsid w:val="1A24236C"/>
    <w:rsid w:val="1A3B36E6"/>
    <w:rsid w:val="1A42393B"/>
    <w:rsid w:val="1A520892"/>
    <w:rsid w:val="1A536BCE"/>
    <w:rsid w:val="1A8C385B"/>
    <w:rsid w:val="1A9F6757"/>
    <w:rsid w:val="1AAD45DE"/>
    <w:rsid w:val="1ABC4091"/>
    <w:rsid w:val="1AC56B29"/>
    <w:rsid w:val="1B046F80"/>
    <w:rsid w:val="1B1618CB"/>
    <w:rsid w:val="1B3267B5"/>
    <w:rsid w:val="1B3C2055"/>
    <w:rsid w:val="1B3F11A7"/>
    <w:rsid w:val="1B40161D"/>
    <w:rsid w:val="1B441859"/>
    <w:rsid w:val="1B5B5729"/>
    <w:rsid w:val="1B5C2157"/>
    <w:rsid w:val="1B6606B1"/>
    <w:rsid w:val="1B8E0F37"/>
    <w:rsid w:val="1B8F437C"/>
    <w:rsid w:val="1B9178B4"/>
    <w:rsid w:val="1B9459D3"/>
    <w:rsid w:val="1BAA3464"/>
    <w:rsid w:val="1BB158AD"/>
    <w:rsid w:val="1BB33257"/>
    <w:rsid w:val="1BCE38CF"/>
    <w:rsid w:val="1BFE5AE5"/>
    <w:rsid w:val="1C0A4349"/>
    <w:rsid w:val="1C2344FA"/>
    <w:rsid w:val="1C470BF6"/>
    <w:rsid w:val="1C4D33E0"/>
    <w:rsid w:val="1C52390B"/>
    <w:rsid w:val="1C5E7925"/>
    <w:rsid w:val="1C815413"/>
    <w:rsid w:val="1C877AAC"/>
    <w:rsid w:val="1CA02E30"/>
    <w:rsid w:val="1CA21781"/>
    <w:rsid w:val="1CBF4223"/>
    <w:rsid w:val="1CC343E3"/>
    <w:rsid w:val="1CCD18EB"/>
    <w:rsid w:val="1CD3297E"/>
    <w:rsid w:val="1CEE7C9E"/>
    <w:rsid w:val="1CF35D17"/>
    <w:rsid w:val="1CFD070F"/>
    <w:rsid w:val="1D0A1C8D"/>
    <w:rsid w:val="1D0C326A"/>
    <w:rsid w:val="1D0E087C"/>
    <w:rsid w:val="1D1D324E"/>
    <w:rsid w:val="1D390758"/>
    <w:rsid w:val="1D5F1AB5"/>
    <w:rsid w:val="1D5F6196"/>
    <w:rsid w:val="1D6132A5"/>
    <w:rsid w:val="1D776E3D"/>
    <w:rsid w:val="1D885184"/>
    <w:rsid w:val="1D8D2573"/>
    <w:rsid w:val="1D8E56D5"/>
    <w:rsid w:val="1D926102"/>
    <w:rsid w:val="1DA309C7"/>
    <w:rsid w:val="1DA86E9A"/>
    <w:rsid w:val="1DAA0B18"/>
    <w:rsid w:val="1DCF2DFB"/>
    <w:rsid w:val="1DF262EE"/>
    <w:rsid w:val="1DFD7DB0"/>
    <w:rsid w:val="1E443DDD"/>
    <w:rsid w:val="1E497C8F"/>
    <w:rsid w:val="1E61382D"/>
    <w:rsid w:val="1E7A43DA"/>
    <w:rsid w:val="1E9B7C48"/>
    <w:rsid w:val="1EAB3811"/>
    <w:rsid w:val="1ECE4BF1"/>
    <w:rsid w:val="1EDE6278"/>
    <w:rsid w:val="1EF66BA2"/>
    <w:rsid w:val="1F1B0813"/>
    <w:rsid w:val="1F6C5405"/>
    <w:rsid w:val="1F6C5C93"/>
    <w:rsid w:val="1F7A6B27"/>
    <w:rsid w:val="1F8939E6"/>
    <w:rsid w:val="1F974819"/>
    <w:rsid w:val="1FC448DB"/>
    <w:rsid w:val="1FE7539E"/>
    <w:rsid w:val="1FF97871"/>
    <w:rsid w:val="20671BE0"/>
    <w:rsid w:val="20693723"/>
    <w:rsid w:val="207947E2"/>
    <w:rsid w:val="20915A49"/>
    <w:rsid w:val="20963CB8"/>
    <w:rsid w:val="20A81A1B"/>
    <w:rsid w:val="20B07FB6"/>
    <w:rsid w:val="20B646FB"/>
    <w:rsid w:val="20D22A3C"/>
    <w:rsid w:val="20D65C35"/>
    <w:rsid w:val="20E5729C"/>
    <w:rsid w:val="20EA14D7"/>
    <w:rsid w:val="211A2956"/>
    <w:rsid w:val="211A7238"/>
    <w:rsid w:val="213B74B1"/>
    <w:rsid w:val="2153495A"/>
    <w:rsid w:val="215606C6"/>
    <w:rsid w:val="215A2310"/>
    <w:rsid w:val="21616269"/>
    <w:rsid w:val="21724C17"/>
    <w:rsid w:val="2179144A"/>
    <w:rsid w:val="218A3F2C"/>
    <w:rsid w:val="218A7243"/>
    <w:rsid w:val="219A3F74"/>
    <w:rsid w:val="21B66117"/>
    <w:rsid w:val="21CF05BE"/>
    <w:rsid w:val="21D60754"/>
    <w:rsid w:val="21DE318A"/>
    <w:rsid w:val="21EF54DE"/>
    <w:rsid w:val="21EF5B80"/>
    <w:rsid w:val="21F74581"/>
    <w:rsid w:val="22345212"/>
    <w:rsid w:val="22576990"/>
    <w:rsid w:val="22C56E8B"/>
    <w:rsid w:val="22F47480"/>
    <w:rsid w:val="22FA79EC"/>
    <w:rsid w:val="2301464A"/>
    <w:rsid w:val="231560A3"/>
    <w:rsid w:val="23596575"/>
    <w:rsid w:val="235D2F79"/>
    <w:rsid w:val="237D2B13"/>
    <w:rsid w:val="238522D3"/>
    <w:rsid w:val="23AB027B"/>
    <w:rsid w:val="23AE0B26"/>
    <w:rsid w:val="23DC1B5F"/>
    <w:rsid w:val="23DE1C48"/>
    <w:rsid w:val="23F97000"/>
    <w:rsid w:val="23FF3BFF"/>
    <w:rsid w:val="240210CD"/>
    <w:rsid w:val="24025AA0"/>
    <w:rsid w:val="2424368D"/>
    <w:rsid w:val="242A28FE"/>
    <w:rsid w:val="242C158F"/>
    <w:rsid w:val="2431137D"/>
    <w:rsid w:val="2436525A"/>
    <w:rsid w:val="243A435C"/>
    <w:rsid w:val="248C4D96"/>
    <w:rsid w:val="24927490"/>
    <w:rsid w:val="249A66D3"/>
    <w:rsid w:val="24B07F5F"/>
    <w:rsid w:val="24B1123D"/>
    <w:rsid w:val="24BF09F7"/>
    <w:rsid w:val="24C85D6C"/>
    <w:rsid w:val="24E336C2"/>
    <w:rsid w:val="24E91FFB"/>
    <w:rsid w:val="24F44C86"/>
    <w:rsid w:val="25010A26"/>
    <w:rsid w:val="251268F8"/>
    <w:rsid w:val="251273B6"/>
    <w:rsid w:val="252D53FE"/>
    <w:rsid w:val="252F47C7"/>
    <w:rsid w:val="255B5635"/>
    <w:rsid w:val="2560231B"/>
    <w:rsid w:val="256247C7"/>
    <w:rsid w:val="25682764"/>
    <w:rsid w:val="25856C3C"/>
    <w:rsid w:val="258C7AAE"/>
    <w:rsid w:val="25C027BF"/>
    <w:rsid w:val="25EC2D81"/>
    <w:rsid w:val="260333D3"/>
    <w:rsid w:val="260A3A3B"/>
    <w:rsid w:val="26390E3F"/>
    <w:rsid w:val="26566838"/>
    <w:rsid w:val="266561D9"/>
    <w:rsid w:val="266C7556"/>
    <w:rsid w:val="267F4D05"/>
    <w:rsid w:val="26890D31"/>
    <w:rsid w:val="26A825EF"/>
    <w:rsid w:val="26F022B9"/>
    <w:rsid w:val="26F32857"/>
    <w:rsid w:val="26F453F3"/>
    <w:rsid w:val="26FD21E9"/>
    <w:rsid w:val="27276992"/>
    <w:rsid w:val="27416F39"/>
    <w:rsid w:val="274B32DC"/>
    <w:rsid w:val="2754116D"/>
    <w:rsid w:val="2754529C"/>
    <w:rsid w:val="27617B02"/>
    <w:rsid w:val="27644978"/>
    <w:rsid w:val="277057A2"/>
    <w:rsid w:val="27BE7413"/>
    <w:rsid w:val="27C018AD"/>
    <w:rsid w:val="27C61896"/>
    <w:rsid w:val="27D45306"/>
    <w:rsid w:val="27D5561A"/>
    <w:rsid w:val="27EC60E8"/>
    <w:rsid w:val="280B3563"/>
    <w:rsid w:val="280D678A"/>
    <w:rsid w:val="283755B5"/>
    <w:rsid w:val="283A7FE8"/>
    <w:rsid w:val="285661EA"/>
    <w:rsid w:val="28820CA7"/>
    <w:rsid w:val="288C066A"/>
    <w:rsid w:val="289D3C13"/>
    <w:rsid w:val="28A075FF"/>
    <w:rsid w:val="28A3076F"/>
    <w:rsid w:val="28A45D52"/>
    <w:rsid w:val="28A777C5"/>
    <w:rsid w:val="28B522A9"/>
    <w:rsid w:val="28CA23B8"/>
    <w:rsid w:val="28CA593A"/>
    <w:rsid w:val="28D45915"/>
    <w:rsid w:val="28D72132"/>
    <w:rsid w:val="290556B4"/>
    <w:rsid w:val="29063C3A"/>
    <w:rsid w:val="290D2324"/>
    <w:rsid w:val="29150DA5"/>
    <w:rsid w:val="29206EB8"/>
    <w:rsid w:val="293F47BA"/>
    <w:rsid w:val="294F3D9C"/>
    <w:rsid w:val="29595666"/>
    <w:rsid w:val="29842A7C"/>
    <w:rsid w:val="29874881"/>
    <w:rsid w:val="29A71065"/>
    <w:rsid w:val="29A94291"/>
    <w:rsid w:val="29AD6E75"/>
    <w:rsid w:val="29CA2B0F"/>
    <w:rsid w:val="29CC5FAF"/>
    <w:rsid w:val="29E325E0"/>
    <w:rsid w:val="2A0A2AC2"/>
    <w:rsid w:val="2A0B1E1B"/>
    <w:rsid w:val="2A0E1AF7"/>
    <w:rsid w:val="2A172960"/>
    <w:rsid w:val="2A34555F"/>
    <w:rsid w:val="2A420FB0"/>
    <w:rsid w:val="2A452503"/>
    <w:rsid w:val="2A5E7E1B"/>
    <w:rsid w:val="2A65743E"/>
    <w:rsid w:val="2A8B5492"/>
    <w:rsid w:val="2A9F5029"/>
    <w:rsid w:val="2AA669D3"/>
    <w:rsid w:val="2AA8279A"/>
    <w:rsid w:val="2AB90CBD"/>
    <w:rsid w:val="2AC27D36"/>
    <w:rsid w:val="2AC93873"/>
    <w:rsid w:val="2AD92454"/>
    <w:rsid w:val="2AFB1DA3"/>
    <w:rsid w:val="2B1062C2"/>
    <w:rsid w:val="2B1203EB"/>
    <w:rsid w:val="2B2D41F4"/>
    <w:rsid w:val="2B3C6A33"/>
    <w:rsid w:val="2B46502C"/>
    <w:rsid w:val="2B4D2282"/>
    <w:rsid w:val="2B5C16A8"/>
    <w:rsid w:val="2B661F26"/>
    <w:rsid w:val="2B796C9B"/>
    <w:rsid w:val="2B960845"/>
    <w:rsid w:val="2B962D98"/>
    <w:rsid w:val="2B993EA3"/>
    <w:rsid w:val="2BA936A8"/>
    <w:rsid w:val="2BBA1068"/>
    <w:rsid w:val="2BCA4280"/>
    <w:rsid w:val="2BD2786C"/>
    <w:rsid w:val="2BF27F6B"/>
    <w:rsid w:val="2C0B7E81"/>
    <w:rsid w:val="2C1E3707"/>
    <w:rsid w:val="2C315A5A"/>
    <w:rsid w:val="2C446A83"/>
    <w:rsid w:val="2C494727"/>
    <w:rsid w:val="2C494BD3"/>
    <w:rsid w:val="2C4B1C25"/>
    <w:rsid w:val="2C5F31FE"/>
    <w:rsid w:val="2C776C59"/>
    <w:rsid w:val="2C7831FE"/>
    <w:rsid w:val="2C7A65CD"/>
    <w:rsid w:val="2C7A68BB"/>
    <w:rsid w:val="2C7C15E5"/>
    <w:rsid w:val="2C8C054A"/>
    <w:rsid w:val="2CAD7E26"/>
    <w:rsid w:val="2CD23AFF"/>
    <w:rsid w:val="2CD817F3"/>
    <w:rsid w:val="2CF50186"/>
    <w:rsid w:val="2CFA27E0"/>
    <w:rsid w:val="2D0623D7"/>
    <w:rsid w:val="2D293FDC"/>
    <w:rsid w:val="2D3B7974"/>
    <w:rsid w:val="2D5019BA"/>
    <w:rsid w:val="2D6548BB"/>
    <w:rsid w:val="2D7056E3"/>
    <w:rsid w:val="2D9E56F5"/>
    <w:rsid w:val="2DF11AEB"/>
    <w:rsid w:val="2E025882"/>
    <w:rsid w:val="2E106777"/>
    <w:rsid w:val="2E1661E6"/>
    <w:rsid w:val="2E25064B"/>
    <w:rsid w:val="2E302606"/>
    <w:rsid w:val="2E36041D"/>
    <w:rsid w:val="2E4A2604"/>
    <w:rsid w:val="2E5229EE"/>
    <w:rsid w:val="2E667F96"/>
    <w:rsid w:val="2E6932C2"/>
    <w:rsid w:val="2E8226AB"/>
    <w:rsid w:val="2E893A37"/>
    <w:rsid w:val="2E8E6DBA"/>
    <w:rsid w:val="2E9372BE"/>
    <w:rsid w:val="2EC929D3"/>
    <w:rsid w:val="2EF170DB"/>
    <w:rsid w:val="2F04517D"/>
    <w:rsid w:val="2F3139D1"/>
    <w:rsid w:val="2F3B2A6E"/>
    <w:rsid w:val="2F3B6A8F"/>
    <w:rsid w:val="2F5703BE"/>
    <w:rsid w:val="2F703F9A"/>
    <w:rsid w:val="2F7F3566"/>
    <w:rsid w:val="2F956A3A"/>
    <w:rsid w:val="2FB70D2E"/>
    <w:rsid w:val="2FC3527C"/>
    <w:rsid w:val="2FD065E6"/>
    <w:rsid w:val="2FD8695D"/>
    <w:rsid w:val="2FD96870"/>
    <w:rsid w:val="2FEF033C"/>
    <w:rsid w:val="2FF76693"/>
    <w:rsid w:val="30001409"/>
    <w:rsid w:val="302424E7"/>
    <w:rsid w:val="303C4F44"/>
    <w:rsid w:val="304765B2"/>
    <w:rsid w:val="30580BC9"/>
    <w:rsid w:val="305E3BF7"/>
    <w:rsid w:val="3075439D"/>
    <w:rsid w:val="30A17EAE"/>
    <w:rsid w:val="30A42DA8"/>
    <w:rsid w:val="30AA1194"/>
    <w:rsid w:val="30C27D27"/>
    <w:rsid w:val="30EE3E36"/>
    <w:rsid w:val="30F74CA6"/>
    <w:rsid w:val="311E2ED7"/>
    <w:rsid w:val="31203227"/>
    <w:rsid w:val="312E3FF6"/>
    <w:rsid w:val="315619EE"/>
    <w:rsid w:val="315C449C"/>
    <w:rsid w:val="315C6DDD"/>
    <w:rsid w:val="3163566D"/>
    <w:rsid w:val="31927A5D"/>
    <w:rsid w:val="31A401F1"/>
    <w:rsid w:val="31B338D8"/>
    <w:rsid w:val="31B82709"/>
    <w:rsid w:val="31D05482"/>
    <w:rsid w:val="3220423F"/>
    <w:rsid w:val="322075AF"/>
    <w:rsid w:val="32264955"/>
    <w:rsid w:val="32400B34"/>
    <w:rsid w:val="324050C1"/>
    <w:rsid w:val="3286728A"/>
    <w:rsid w:val="329E6876"/>
    <w:rsid w:val="32DC4BF6"/>
    <w:rsid w:val="32DF4C54"/>
    <w:rsid w:val="32F41B18"/>
    <w:rsid w:val="32FD564D"/>
    <w:rsid w:val="3300598B"/>
    <w:rsid w:val="330841DA"/>
    <w:rsid w:val="333015F2"/>
    <w:rsid w:val="333D5A4A"/>
    <w:rsid w:val="33457A50"/>
    <w:rsid w:val="334B6320"/>
    <w:rsid w:val="33590D7F"/>
    <w:rsid w:val="335A5314"/>
    <w:rsid w:val="33797461"/>
    <w:rsid w:val="339D1873"/>
    <w:rsid w:val="33C5637D"/>
    <w:rsid w:val="33D934D4"/>
    <w:rsid w:val="33DD6690"/>
    <w:rsid w:val="33E2141C"/>
    <w:rsid w:val="33EB5ED9"/>
    <w:rsid w:val="33FE2F6A"/>
    <w:rsid w:val="340E07E5"/>
    <w:rsid w:val="34235BF7"/>
    <w:rsid w:val="342A7568"/>
    <w:rsid w:val="343306B5"/>
    <w:rsid w:val="34466D25"/>
    <w:rsid w:val="345F1D81"/>
    <w:rsid w:val="3479096A"/>
    <w:rsid w:val="347A477D"/>
    <w:rsid w:val="34924FC2"/>
    <w:rsid w:val="34BA2029"/>
    <w:rsid w:val="34FE1810"/>
    <w:rsid w:val="34FF56DD"/>
    <w:rsid w:val="35031AD5"/>
    <w:rsid w:val="35040DC9"/>
    <w:rsid w:val="35056CEB"/>
    <w:rsid w:val="350B52B4"/>
    <w:rsid w:val="3511199F"/>
    <w:rsid w:val="35185D42"/>
    <w:rsid w:val="351B0089"/>
    <w:rsid w:val="35250D0B"/>
    <w:rsid w:val="352E4E77"/>
    <w:rsid w:val="35446C64"/>
    <w:rsid w:val="35651522"/>
    <w:rsid w:val="356707B2"/>
    <w:rsid w:val="356C398B"/>
    <w:rsid w:val="35882556"/>
    <w:rsid w:val="358C5FA8"/>
    <w:rsid w:val="358D4A67"/>
    <w:rsid w:val="35BD4BE3"/>
    <w:rsid w:val="35C15DF1"/>
    <w:rsid w:val="35D55253"/>
    <w:rsid w:val="35D97888"/>
    <w:rsid w:val="3601604F"/>
    <w:rsid w:val="36074A7F"/>
    <w:rsid w:val="36264243"/>
    <w:rsid w:val="364E18CB"/>
    <w:rsid w:val="36923549"/>
    <w:rsid w:val="36982721"/>
    <w:rsid w:val="369B28B8"/>
    <w:rsid w:val="36AD3A77"/>
    <w:rsid w:val="36B75FBF"/>
    <w:rsid w:val="36B77ECB"/>
    <w:rsid w:val="36B83B85"/>
    <w:rsid w:val="36BD0C45"/>
    <w:rsid w:val="36BE2473"/>
    <w:rsid w:val="36C54E99"/>
    <w:rsid w:val="36CC4867"/>
    <w:rsid w:val="36D7008C"/>
    <w:rsid w:val="36EA74DD"/>
    <w:rsid w:val="374827B0"/>
    <w:rsid w:val="375C0816"/>
    <w:rsid w:val="37683966"/>
    <w:rsid w:val="37690BE5"/>
    <w:rsid w:val="377A71F5"/>
    <w:rsid w:val="3782781B"/>
    <w:rsid w:val="378E4097"/>
    <w:rsid w:val="37BD3F6B"/>
    <w:rsid w:val="37C6333F"/>
    <w:rsid w:val="37C91A1C"/>
    <w:rsid w:val="37E00298"/>
    <w:rsid w:val="37E93B44"/>
    <w:rsid w:val="38190ECA"/>
    <w:rsid w:val="383C0B74"/>
    <w:rsid w:val="38554287"/>
    <w:rsid w:val="38637D01"/>
    <w:rsid w:val="38655840"/>
    <w:rsid w:val="38676A8C"/>
    <w:rsid w:val="387A7CEB"/>
    <w:rsid w:val="388B2F81"/>
    <w:rsid w:val="389425F2"/>
    <w:rsid w:val="3897564E"/>
    <w:rsid w:val="38994225"/>
    <w:rsid w:val="38A46A54"/>
    <w:rsid w:val="38B302F9"/>
    <w:rsid w:val="38F12CD3"/>
    <w:rsid w:val="38F37E49"/>
    <w:rsid w:val="38F66729"/>
    <w:rsid w:val="38F94775"/>
    <w:rsid w:val="391B1972"/>
    <w:rsid w:val="392971ED"/>
    <w:rsid w:val="392F746D"/>
    <w:rsid w:val="39325651"/>
    <w:rsid w:val="394A036E"/>
    <w:rsid w:val="39734821"/>
    <w:rsid w:val="397D29BD"/>
    <w:rsid w:val="399A5648"/>
    <w:rsid w:val="39A2333D"/>
    <w:rsid w:val="39B80CB0"/>
    <w:rsid w:val="39C944DB"/>
    <w:rsid w:val="39E0439C"/>
    <w:rsid w:val="39F36904"/>
    <w:rsid w:val="3A027684"/>
    <w:rsid w:val="3A08484B"/>
    <w:rsid w:val="3A270E04"/>
    <w:rsid w:val="3A2A1737"/>
    <w:rsid w:val="3A2F1627"/>
    <w:rsid w:val="3A6A46C4"/>
    <w:rsid w:val="3A872856"/>
    <w:rsid w:val="3A9E4B0F"/>
    <w:rsid w:val="3AC84793"/>
    <w:rsid w:val="3ACC7C8D"/>
    <w:rsid w:val="3AD34FAD"/>
    <w:rsid w:val="3AE5049E"/>
    <w:rsid w:val="3B107B2D"/>
    <w:rsid w:val="3B1F218A"/>
    <w:rsid w:val="3B200AB9"/>
    <w:rsid w:val="3B2B0DA0"/>
    <w:rsid w:val="3B2B2F0A"/>
    <w:rsid w:val="3B3763D1"/>
    <w:rsid w:val="3B455DE4"/>
    <w:rsid w:val="3B4D373E"/>
    <w:rsid w:val="3B5646D6"/>
    <w:rsid w:val="3B5B0E38"/>
    <w:rsid w:val="3B6421C2"/>
    <w:rsid w:val="3B6A73DB"/>
    <w:rsid w:val="3B6B15FC"/>
    <w:rsid w:val="3B6B5FD9"/>
    <w:rsid w:val="3B6D7801"/>
    <w:rsid w:val="3B7C45E2"/>
    <w:rsid w:val="3BB80DAA"/>
    <w:rsid w:val="3C087974"/>
    <w:rsid w:val="3C1716F8"/>
    <w:rsid w:val="3C1C7666"/>
    <w:rsid w:val="3C1F6B18"/>
    <w:rsid w:val="3C2F18C5"/>
    <w:rsid w:val="3C2F6E1E"/>
    <w:rsid w:val="3C326368"/>
    <w:rsid w:val="3C452193"/>
    <w:rsid w:val="3C4F64BA"/>
    <w:rsid w:val="3C72710E"/>
    <w:rsid w:val="3C9D0D95"/>
    <w:rsid w:val="3CB738F8"/>
    <w:rsid w:val="3CDA245A"/>
    <w:rsid w:val="3D1E06B7"/>
    <w:rsid w:val="3D274928"/>
    <w:rsid w:val="3D3B712D"/>
    <w:rsid w:val="3D3E7B86"/>
    <w:rsid w:val="3D452EBB"/>
    <w:rsid w:val="3D856B82"/>
    <w:rsid w:val="3D910CF2"/>
    <w:rsid w:val="3DA2017F"/>
    <w:rsid w:val="3DB12122"/>
    <w:rsid w:val="3DB9589A"/>
    <w:rsid w:val="3DD443B6"/>
    <w:rsid w:val="3DE95FFE"/>
    <w:rsid w:val="3DE9616D"/>
    <w:rsid w:val="3E37026C"/>
    <w:rsid w:val="3E3905DA"/>
    <w:rsid w:val="3E3D2DA2"/>
    <w:rsid w:val="3E3D40DE"/>
    <w:rsid w:val="3E6F1743"/>
    <w:rsid w:val="3E8213D3"/>
    <w:rsid w:val="3EB27012"/>
    <w:rsid w:val="3EBA0D96"/>
    <w:rsid w:val="3EBE611A"/>
    <w:rsid w:val="3EDA0523"/>
    <w:rsid w:val="3F14769B"/>
    <w:rsid w:val="3F2A42E9"/>
    <w:rsid w:val="3F3D0257"/>
    <w:rsid w:val="3F3E6C21"/>
    <w:rsid w:val="3F414097"/>
    <w:rsid w:val="3F4145D2"/>
    <w:rsid w:val="3F4458CE"/>
    <w:rsid w:val="3F4977F1"/>
    <w:rsid w:val="3F501690"/>
    <w:rsid w:val="3F5E5B15"/>
    <w:rsid w:val="3F7B2E16"/>
    <w:rsid w:val="3F865824"/>
    <w:rsid w:val="3FB52ECF"/>
    <w:rsid w:val="40095F78"/>
    <w:rsid w:val="404F0BD4"/>
    <w:rsid w:val="405B22A3"/>
    <w:rsid w:val="407A6407"/>
    <w:rsid w:val="407C0206"/>
    <w:rsid w:val="408C432D"/>
    <w:rsid w:val="408D7FB0"/>
    <w:rsid w:val="408E7C60"/>
    <w:rsid w:val="409F1576"/>
    <w:rsid w:val="40A46282"/>
    <w:rsid w:val="40C2039C"/>
    <w:rsid w:val="40C21C87"/>
    <w:rsid w:val="40C57D2F"/>
    <w:rsid w:val="40E01579"/>
    <w:rsid w:val="40E4515D"/>
    <w:rsid w:val="40F073B0"/>
    <w:rsid w:val="40F93CFA"/>
    <w:rsid w:val="414A7725"/>
    <w:rsid w:val="41896434"/>
    <w:rsid w:val="418C6007"/>
    <w:rsid w:val="419773FD"/>
    <w:rsid w:val="41AC6E6D"/>
    <w:rsid w:val="41CF2FEB"/>
    <w:rsid w:val="41D8023A"/>
    <w:rsid w:val="41ED1C4C"/>
    <w:rsid w:val="4200449D"/>
    <w:rsid w:val="42285BE8"/>
    <w:rsid w:val="422E137F"/>
    <w:rsid w:val="423544BC"/>
    <w:rsid w:val="423A3BCC"/>
    <w:rsid w:val="424E57D2"/>
    <w:rsid w:val="425229EA"/>
    <w:rsid w:val="4281792D"/>
    <w:rsid w:val="42825D84"/>
    <w:rsid w:val="42B019DC"/>
    <w:rsid w:val="42B26C49"/>
    <w:rsid w:val="42E566E6"/>
    <w:rsid w:val="42F64831"/>
    <w:rsid w:val="42F97C1A"/>
    <w:rsid w:val="42FF42A4"/>
    <w:rsid w:val="431D3B9B"/>
    <w:rsid w:val="432C2027"/>
    <w:rsid w:val="433A6FE6"/>
    <w:rsid w:val="4345217D"/>
    <w:rsid w:val="4346740A"/>
    <w:rsid w:val="43480868"/>
    <w:rsid w:val="4350713C"/>
    <w:rsid w:val="43540426"/>
    <w:rsid w:val="436275FE"/>
    <w:rsid w:val="436653E0"/>
    <w:rsid w:val="436C39BC"/>
    <w:rsid w:val="438711E9"/>
    <w:rsid w:val="43960EE8"/>
    <w:rsid w:val="43AF5336"/>
    <w:rsid w:val="43B02C31"/>
    <w:rsid w:val="43C4431A"/>
    <w:rsid w:val="43CB255C"/>
    <w:rsid w:val="43F45D3F"/>
    <w:rsid w:val="43F57886"/>
    <w:rsid w:val="4404323D"/>
    <w:rsid w:val="44264685"/>
    <w:rsid w:val="44322A1D"/>
    <w:rsid w:val="443F694B"/>
    <w:rsid w:val="444E662B"/>
    <w:rsid w:val="44565909"/>
    <w:rsid w:val="44874E7D"/>
    <w:rsid w:val="44A80589"/>
    <w:rsid w:val="44B951CC"/>
    <w:rsid w:val="44BC27B9"/>
    <w:rsid w:val="44C75509"/>
    <w:rsid w:val="44C83D0E"/>
    <w:rsid w:val="44CA156F"/>
    <w:rsid w:val="44CD0902"/>
    <w:rsid w:val="44CD14E0"/>
    <w:rsid w:val="44D2439E"/>
    <w:rsid w:val="44F20B0B"/>
    <w:rsid w:val="44F41F23"/>
    <w:rsid w:val="45042375"/>
    <w:rsid w:val="45290085"/>
    <w:rsid w:val="452E5F4C"/>
    <w:rsid w:val="453855CF"/>
    <w:rsid w:val="45612018"/>
    <w:rsid w:val="45701657"/>
    <w:rsid w:val="45717F4D"/>
    <w:rsid w:val="457C263C"/>
    <w:rsid w:val="458946E9"/>
    <w:rsid w:val="458B0827"/>
    <w:rsid w:val="45A035C5"/>
    <w:rsid w:val="45A47C0E"/>
    <w:rsid w:val="45BD3146"/>
    <w:rsid w:val="45D55D2E"/>
    <w:rsid w:val="45E3071E"/>
    <w:rsid w:val="45F20916"/>
    <w:rsid w:val="45F91D99"/>
    <w:rsid w:val="46053227"/>
    <w:rsid w:val="46132D66"/>
    <w:rsid w:val="4645313C"/>
    <w:rsid w:val="46577FD6"/>
    <w:rsid w:val="465D6FD4"/>
    <w:rsid w:val="467C715A"/>
    <w:rsid w:val="468F0B68"/>
    <w:rsid w:val="469B5580"/>
    <w:rsid w:val="46B308EF"/>
    <w:rsid w:val="46C87131"/>
    <w:rsid w:val="46C9226F"/>
    <w:rsid w:val="46CA5BDD"/>
    <w:rsid w:val="46D955A7"/>
    <w:rsid w:val="470A03A4"/>
    <w:rsid w:val="470C2F65"/>
    <w:rsid w:val="47133957"/>
    <w:rsid w:val="471D3BB8"/>
    <w:rsid w:val="471F5F78"/>
    <w:rsid w:val="47243316"/>
    <w:rsid w:val="472B0583"/>
    <w:rsid w:val="474927B8"/>
    <w:rsid w:val="474B2E25"/>
    <w:rsid w:val="474F6334"/>
    <w:rsid w:val="476013B6"/>
    <w:rsid w:val="47803B41"/>
    <w:rsid w:val="4794202E"/>
    <w:rsid w:val="47955032"/>
    <w:rsid w:val="47A07E0C"/>
    <w:rsid w:val="47A50BB8"/>
    <w:rsid w:val="47A75223"/>
    <w:rsid w:val="47BC305B"/>
    <w:rsid w:val="47C75CDF"/>
    <w:rsid w:val="47D1096D"/>
    <w:rsid w:val="47EA3F9B"/>
    <w:rsid w:val="480D7C89"/>
    <w:rsid w:val="48217291"/>
    <w:rsid w:val="48273AC4"/>
    <w:rsid w:val="48345A92"/>
    <w:rsid w:val="48494689"/>
    <w:rsid w:val="484A67E7"/>
    <w:rsid w:val="485A10B2"/>
    <w:rsid w:val="4870272E"/>
    <w:rsid w:val="48727392"/>
    <w:rsid w:val="488527D0"/>
    <w:rsid w:val="488972DA"/>
    <w:rsid w:val="4897712B"/>
    <w:rsid w:val="48BC0D5C"/>
    <w:rsid w:val="48D903D7"/>
    <w:rsid w:val="48F74BC1"/>
    <w:rsid w:val="48FD478C"/>
    <w:rsid w:val="490F0B2C"/>
    <w:rsid w:val="49373210"/>
    <w:rsid w:val="4947182D"/>
    <w:rsid w:val="49496A9F"/>
    <w:rsid w:val="49636C95"/>
    <w:rsid w:val="496F1F94"/>
    <w:rsid w:val="49B20A16"/>
    <w:rsid w:val="49B24F8A"/>
    <w:rsid w:val="49B731BC"/>
    <w:rsid w:val="49BE748D"/>
    <w:rsid w:val="49DB40E1"/>
    <w:rsid w:val="49DC7715"/>
    <w:rsid w:val="49EC1E9C"/>
    <w:rsid w:val="49F31EBE"/>
    <w:rsid w:val="4A023139"/>
    <w:rsid w:val="4A023518"/>
    <w:rsid w:val="4A0D21AC"/>
    <w:rsid w:val="4A140138"/>
    <w:rsid w:val="4A1533B6"/>
    <w:rsid w:val="4A301712"/>
    <w:rsid w:val="4A33568B"/>
    <w:rsid w:val="4A401A62"/>
    <w:rsid w:val="4A4C20F9"/>
    <w:rsid w:val="4A6620EE"/>
    <w:rsid w:val="4A6D642C"/>
    <w:rsid w:val="4A7B576F"/>
    <w:rsid w:val="4A7D7ADD"/>
    <w:rsid w:val="4A8363D1"/>
    <w:rsid w:val="4A9E5CBF"/>
    <w:rsid w:val="4AB0004E"/>
    <w:rsid w:val="4AB45B59"/>
    <w:rsid w:val="4ABB3BF4"/>
    <w:rsid w:val="4ACF1EA6"/>
    <w:rsid w:val="4AD22404"/>
    <w:rsid w:val="4AEB3B71"/>
    <w:rsid w:val="4AF561A9"/>
    <w:rsid w:val="4B001116"/>
    <w:rsid w:val="4B1A062A"/>
    <w:rsid w:val="4B2F768D"/>
    <w:rsid w:val="4B40491C"/>
    <w:rsid w:val="4B44220F"/>
    <w:rsid w:val="4B4D2359"/>
    <w:rsid w:val="4B5024BA"/>
    <w:rsid w:val="4B563FBC"/>
    <w:rsid w:val="4B6F2901"/>
    <w:rsid w:val="4B725159"/>
    <w:rsid w:val="4B7A7B69"/>
    <w:rsid w:val="4B9D7E91"/>
    <w:rsid w:val="4B9F5B54"/>
    <w:rsid w:val="4BA451F0"/>
    <w:rsid w:val="4BAE0837"/>
    <w:rsid w:val="4BC62629"/>
    <w:rsid w:val="4BD9235C"/>
    <w:rsid w:val="4BF62949"/>
    <w:rsid w:val="4C056814"/>
    <w:rsid w:val="4C0A5BBB"/>
    <w:rsid w:val="4C1D6F9B"/>
    <w:rsid w:val="4C4626A3"/>
    <w:rsid w:val="4C4A0649"/>
    <w:rsid w:val="4C701BC3"/>
    <w:rsid w:val="4C777031"/>
    <w:rsid w:val="4C7E5ECA"/>
    <w:rsid w:val="4C82509B"/>
    <w:rsid w:val="4C8428B7"/>
    <w:rsid w:val="4C876AA5"/>
    <w:rsid w:val="4C8A3DC5"/>
    <w:rsid w:val="4C9F6352"/>
    <w:rsid w:val="4CC257BC"/>
    <w:rsid w:val="4CFD45C8"/>
    <w:rsid w:val="4D0D2958"/>
    <w:rsid w:val="4D0E00FB"/>
    <w:rsid w:val="4D176606"/>
    <w:rsid w:val="4D262875"/>
    <w:rsid w:val="4D4E4EA8"/>
    <w:rsid w:val="4D5F0F87"/>
    <w:rsid w:val="4D6402A9"/>
    <w:rsid w:val="4D9B63B6"/>
    <w:rsid w:val="4DC51D62"/>
    <w:rsid w:val="4DE669CF"/>
    <w:rsid w:val="4DEC4FB0"/>
    <w:rsid w:val="4DF50D0C"/>
    <w:rsid w:val="4E0331DA"/>
    <w:rsid w:val="4E075D8A"/>
    <w:rsid w:val="4E172A6E"/>
    <w:rsid w:val="4E3A0C44"/>
    <w:rsid w:val="4E5111F0"/>
    <w:rsid w:val="4E5A5CDE"/>
    <w:rsid w:val="4E612D65"/>
    <w:rsid w:val="4E636E62"/>
    <w:rsid w:val="4E6464D4"/>
    <w:rsid w:val="4E7133A2"/>
    <w:rsid w:val="4E7A516D"/>
    <w:rsid w:val="4EB62867"/>
    <w:rsid w:val="4EC00FAD"/>
    <w:rsid w:val="4EE62C97"/>
    <w:rsid w:val="4EEB2AE1"/>
    <w:rsid w:val="4F1F5D9E"/>
    <w:rsid w:val="4F2569FA"/>
    <w:rsid w:val="4F367092"/>
    <w:rsid w:val="4F3A68BE"/>
    <w:rsid w:val="4F5945E4"/>
    <w:rsid w:val="4F6D1902"/>
    <w:rsid w:val="4F820CD5"/>
    <w:rsid w:val="4F9843DC"/>
    <w:rsid w:val="4F9E6044"/>
    <w:rsid w:val="4FC62A8C"/>
    <w:rsid w:val="4FC96B8B"/>
    <w:rsid w:val="4FCE1232"/>
    <w:rsid w:val="4FCF61B3"/>
    <w:rsid w:val="4FD769EF"/>
    <w:rsid w:val="4FE20F0D"/>
    <w:rsid w:val="4FE51552"/>
    <w:rsid w:val="4FE67C5A"/>
    <w:rsid w:val="4FE76302"/>
    <w:rsid w:val="4FF1023C"/>
    <w:rsid w:val="50504C4B"/>
    <w:rsid w:val="506568B4"/>
    <w:rsid w:val="506730B2"/>
    <w:rsid w:val="506B1347"/>
    <w:rsid w:val="509C6E7C"/>
    <w:rsid w:val="50A152AE"/>
    <w:rsid w:val="50A73AD5"/>
    <w:rsid w:val="50DC2FF7"/>
    <w:rsid w:val="50E658DD"/>
    <w:rsid w:val="50E8279B"/>
    <w:rsid w:val="50FA3CD1"/>
    <w:rsid w:val="51294028"/>
    <w:rsid w:val="513A55F8"/>
    <w:rsid w:val="513F04ED"/>
    <w:rsid w:val="5162104E"/>
    <w:rsid w:val="51821330"/>
    <w:rsid w:val="51864D34"/>
    <w:rsid w:val="51934543"/>
    <w:rsid w:val="51AC4F03"/>
    <w:rsid w:val="51B163F5"/>
    <w:rsid w:val="51BA3E07"/>
    <w:rsid w:val="51C93880"/>
    <w:rsid w:val="51D95677"/>
    <w:rsid w:val="520619D1"/>
    <w:rsid w:val="520914C1"/>
    <w:rsid w:val="521851E1"/>
    <w:rsid w:val="52257019"/>
    <w:rsid w:val="523B2963"/>
    <w:rsid w:val="525C2BF2"/>
    <w:rsid w:val="52662D73"/>
    <w:rsid w:val="526B383B"/>
    <w:rsid w:val="528868EA"/>
    <w:rsid w:val="52956394"/>
    <w:rsid w:val="52BE7077"/>
    <w:rsid w:val="52CB0865"/>
    <w:rsid w:val="52F40BEB"/>
    <w:rsid w:val="53071F30"/>
    <w:rsid w:val="53104BCC"/>
    <w:rsid w:val="532222EB"/>
    <w:rsid w:val="53475632"/>
    <w:rsid w:val="534C54BA"/>
    <w:rsid w:val="535C2D72"/>
    <w:rsid w:val="536A1345"/>
    <w:rsid w:val="53806B50"/>
    <w:rsid w:val="538C0437"/>
    <w:rsid w:val="53982511"/>
    <w:rsid w:val="53A039CC"/>
    <w:rsid w:val="53A11FD1"/>
    <w:rsid w:val="53A1505A"/>
    <w:rsid w:val="53C80547"/>
    <w:rsid w:val="53C93986"/>
    <w:rsid w:val="53E23075"/>
    <w:rsid w:val="53FB3878"/>
    <w:rsid w:val="54063E08"/>
    <w:rsid w:val="540C2690"/>
    <w:rsid w:val="542277B5"/>
    <w:rsid w:val="54256838"/>
    <w:rsid w:val="5433069B"/>
    <w:rsid w:val="543437E8"/>
    <w:rsid w:val="543C6CB0"/>
    <w:rsid w:val="54436F0C"/>
    <w:rsid w:val="54767A79"/>
    <w:rsid w:val="548B3389"/>
    <w:rsid w:val="548D1D4F"/>
    <w:rsid w:val="5490662A"/>
    <w:rsid w:val="54996B2C"/>
    <w:rsid w:val="549F63FE"/>
    <w:rsid w:val="54BB2A8C"/>
    <w:rsid w:val="54F73313"/>
    <w:rsid w:val="54F80955"/>
    <w:rsid w:val="54F94FE8"/>
    <w:rsid w:val="551328CC"/>
    <w:rsid w:val="551B014C"/>
    <w:rsid w:val="55230411"/>
    <w:rsid w:val="5526712C"/>
    <w:rsid w:val="5529127C"/>
    <w:rsid w:val="5542664D"/>
    <w:rsid w:val="55501115"/>
    <w:rsid w:val="555170A7"/>
    <w:rsid w:val="55556A05"/>
    <w:rsid w:val="556C155E"/>
    <w:rsid w:val="55780C08"/>
    <w:rsid w:val="55782572"/>
    <w:rsid w:val="557C65B3"/>
    <w:rsid w:val="55872653"/>
    <w:rsid w:val="5587536D"/>
    <w:rsid w:val="559B174B"/>
    <w:rsid w:val="55C86560"/>
    <w:rsid w:val="55CE0CF4"/>
    <w:rsid w:val="55D26107"/>
    <w:rsid w:val="55DC7658"/>
    <w:rsid w:val="55F17BDA"/>
    <w:rsid w:val="56143ABF"/>
    <w:rsid w:val="56176DA1"/>
    <w:rsid w:val="561F746E"/>
    <w:rsid w:val="563F106D"/>
    <w:rsid w:val="56611803"/>
    <w:rsid w:val="5672190A"/>
    <w:rsid w:val="56970A38"/>
    <w:rsid w:val="56A8204E"/>
    <w:rsid w:val="56B22A9C"/>
    <w:rsid w:val="56B51D7F"/>
    <w:rsid w:val="56E10178"/>
    <w:rsid w:val="56EC2D4B"/>
    <w:rsid w:val="570034B8"/>
    <w:rsid w:val="5713619F"/>
    <w:rsid w:val="57255395"/>
    <w:rsid w:val="5742718D"/>
    <w:rsid w:val="57533430"/>
    <w:rsid w:val="575D35ED"/>
    <w:rsid w:val="576F55D5"/>
    <w:rsid w:val="579576CD"/>
    <w:rsid w:val="57B0340B"/>
    <w:rsid w:val="57B64258"/>
    <w:rsid w:val="57B72A76"/>
    <w:rsid w:val="57C3426C"/>
    <w:rsid w:val="57CE1F93"/>
    <w:rsid w:val="57DD286D"/>
    <w:rsid w:val="57DD7126"/>
    <w:rsid w:val="57DE622F"/>
    <w:rsid w:val="57FD04D0"/>
    <w:rsid w:val="58251F5B"/>
    <w:rsid w:val="582D7720"/>
    <w:rsid w:val="58347923"/>
    <w:rsid w:val="584E40D2"/>
    <w:rsid w:val="5856689F"/>
    <w:rsid w:val="58611D31"/>
    <w:rsid w:val="58781F77"/>
    <w:rsid w:val="587C13DB"/>
    <w:rsid w:val="588743D1"/>
    <w:rsid w:val="5887701A"/>
    <w:rsid w:val="58A01E9A"/>
    <w:rsid w:val="58A75275"/>
    <w:rsid w:val="58BE5039"/>
    <w:rsid w:val="58CF16C3"/>
    <w:rsid w:val="5905568D"/>
    <w:rsid w:val="59060166"/>
    <w:rsid w:val="590810E5"/>
    <w:rsid w:val="590D4266"/>
    <w:rsid w:val="592628C0"/>
    <w:rsid w:val="59342004"/>
    <w:rsid w:val="596E7343"/>
    <w:rsid w:val="59957BE2"/>
    <w:rsid w:val="59A627A0"/>
    <w:rsid w:val="59AC4062"/>
    <w:rsid w:val="59AC619F"/>
    <w:rsid w:val="59C0439F"/>
    <w:rsid w:val="59CF2C98"/>
    <w:rsid w:val="59D2036C"/>
    <w:rsid w:val="59EA607C"/>
    <w:rsid w:val="5A192A7D"/>
    <w:rsid w:val="5A1D3DD1"/>
    <w:rsid w:val="5A1F7AD4"/>
    <w:rsid w:val="5A22630D"/>
    <w:rsid w:val="5A2E5978"/>
    <w:rsid w:val="5A3C03ED"/>
    <w:rsid w:val="5A413B76"/>
    <w:rsid w:val="5A562438"/>
    <w:rsid w:val="5A6C05E1"/>
    <w:rsid w:val="5A7A3898"/>
    <w:rsid w:val="5A866761"/>
    <w:rsid w:val="5A8F7A7D"/>
    <w:rsid w:val="5A9722EA"/>
    <w:rsid w:val="5A97463C"/>
    <w:rsid w:val="5A9C3711"/>
    <w:rsid w:val="5AA419DC"/>
    <w:rsid w:val="5AB71A0D"/>
    <w:rsid w:val="5ABE2233"/>
    <w:rsid w:val="5AC3453C"/>
    <w:rsid w:val="5AEA2DFE"/>
    <w:rsid w:val="5AF53F6A"/>
    <w:rsid w:val="5B226F1D"/>
    <w:rsid w:val="5B313B9E"/>
    <w:rsid w:val="5B506202"/>
    <w:rsid w:val="5B6843C2"/>
    <w:rsid w:val="5B7C27D9"/>
    <w:rsid w:val="5B9A1C49"/>
    <w:rsid w:val="5B9B584E"/>
    <w:rsid w:val="5BA44F23"/>
    <w:rsid w:val="5BAD1DA0"/>
    <w:rsid w:val="5BC94B29"/>
    <w:rsid w:val="5BDF5D95"/>
    <w:rsid w:val="5BFE7528"/>
    <w:rsid w:val="5C1C129A"/>
    <w:rsid w:val="5C1D1878"/>
    <w:rsid w:val="5C1F5822"/>
    <w:rsid w:val="5C320933"/>
    <w:rsid w:val="5C5F74F9"/>
    <w:rsid w:val="5C69635A"/>
    <w:rsid w:val="5C756209"/>
    <w:rsid w:val="5C7B2CE8"/>
    <w:rsid w:val="5C8652EA"/>
    <w:rsid w:val="5C9566C0"/>
    <w:rsid w:val="5CA80D82"/>
    <w:rsid w:val="5CD50A6D"/>
    <w:rsid w:val="5CDD2FFC"/>
    <w:rsid w:val="5CE048CC"/>
    <w:rsid w:val="5D242BE3"/>
    <w:rsid w:val="5D465377"/>
    <w:rsid w:val="5DA027C8"/>
    <w:rsid w:val="5DA52370"/>
    <w:rsid w:val="5DCA4DB8"/>
    <w:rsid w:val="5E0239AE"/>
    <w:rsid w:val="5E024813"/>
    <w:rsid w:val="5E194D4B"/>
    <w:rsid w:val="5E2467F1"/>
    <w:rsid w:val="5E3F7AC6"/>
    <w:rsid w:val="5E4D4822"/>
    <w:rsid w:val="5E544B14"/>
    <w:rsid w:val="5E5D37A0"/>
    <w:rsid w:val="5E6644CF"/>
    <w:rsid w:val="5EA06D09"/>
    <w:rsid w:val="5EA35CC4"/>
    <w:rsid w:val="5EC22885"/>
    <w:rsid w:val="5ECE7DD0"/>
    <w:rsid w:val="5ED969EC"/>
    <w:rsid w:val="5EDE4C96"/>
    <w:rsid w:val="5EEE55F4"/>
    <w:rsid w:val="5F0417D7"/>
    <w:rsid w:val="5F1A2B43"/>
    <w:rsid w:val="5F5674AE"/>
    <w:rsid w:val="5F650EE9"/>
    <w:rsid w:val="5F8D3283"/>
    <w:rsid w:val="5F9B0EB3"/>
    <w:rsid w:val="5FB837BB"/>
    <w:rsid w:val="5FD2225B"/>
    <w:rsid w:val="5FD56F2F"/>
    <w:rsid w:val="5FD70456"/>
    <w:rsid w:val="5FDA54CD"/>
    <w:rsid w:val="5FE26B80"/>
    <w:rsid w:val="600B6B71"/>
    <w:rsid w:val="60493BD6"/>
    <w:rsid w:val="604C4984"/>
    <w:rsid w:val="60591866"/>
    <w:rsid w:val="607925E6"/>
    <w:rsid w:val="607B2C6C"/>
    <w:rsid w:val="60B02DC1"/>
    <w:rsid w:val="60B036FB"/>
    <w:rsid w:val="60B2494D"/>
    <w:rsid w:val="60BC3B81"/>
    <w:rsid w:val="60CC405A"/>
    <w:rsid w:val="60D542CC"/>
    <w:rsid w:val="60E41B61"/>
    <w:rsid w:val="60E54FE5"/>
    <w:rsid w:val="60EE5136"/>
    <w:rsid w:val="61025EF9"/>
    <w:rsid w:val="611D1AC8"/>
    <w:rsid w:val="61346E0A"/>
    <w:rsid w:val="61470A8F"/>
    <w:rsid w:val="616F3568"/>
    <w:rsid w:val="617B03EF"/>
    <w:rsid w:val="6185247F"/>
    <w:rsid w:val="618E3C39"/>
    <w:rsid w:val="61936F7C"/>
    <w:rsid w:val="619A0200"/>
    <w:rsid w:val="619F0C85"/>
    <w:rsid w:val="61A66B65"/>
    <w:rsid w:val="61AD1B1B"/>
    <w:rsid w:val="61B67716"/>
    <w:rsid w:val="61BA0CE2"/>
    <w:rsid w:val="61C06195"/>
    <w:rsid w:val="61E215D8"/>
    <w:rsid w:val="61E66D8A"/>
    <w:rsid w:val="61E82D68"/>
    <w:rsid w:val="62014B01"/>
    <w:rsid w:val="620E2166"/>
    <w:rsid w:val="620F4DDA"/>
    <w:rsid w:val="621B3775"/>
    <w:rsid w:val="622B6A2C"/>
    <w:rsid w:val="62364782"/>
    <w:rsid w:val="62397BA1"/>
    <w:rsid w:val="62590CC8"/>
    <w:rsid w:val="626B4524"/>
    <w:rsid w:val="62B6218B"/>
    <w:rsid w:val="62B72874"/>
    <w:rsid w:val="62BC4273"/>
    <w:rsid w:val="62C658A5"/>
    <w:rsid w:val="62DF6550"/>
    <w:rsid w:val="62E21426"/>
    <w:rsid w:val="62EF7549"/>
    <w:rsid w:val="62FB676E"/>
    <w:rsid w:val="63140133"/>
    <w:rsid w:val="636214F2"/>
    <w:rsid w:val="63633776"/>
    <w:rsid w:val="638F2DBA"/>
    <w:rsid w:val="6394356A"/>
    <w:rsid w:val="63B50516"/>
    <w:rsid w:val="63C61B2C"/>
    <w:rsid w:val="63D40BE9"/>
    <w:rsid w:val="640241F3"/>
    <w:rsid w:val="64102431"/>
    <w:rsid w:val="641F2C00"/>
    <w:rsid w:val="64227230"/>
    <w:rsid w:val="642F47E6"/>
    <w:rsid w:val="64324894"/>
    <w:rsid w:val="644F7A51"/>
    <w:rsid w:val="64546B3D"/>
    <w:rsid w:val="645C03F8"/>
    <w:rsid w:val="646E07E1"/>
    <w:rsid w:val="64804D97"/>
    <w:rsid w:val="64992E51"/>
    <w:rsid w:val="64A5243A"/>
    <w:rsid w:val="64A739E1"/>
    <w:rsid w:val="64B00A4F"/>
    <w:rsid w:val="64D03FAA"/>
    <w:rsid w:val="64D83BA6"/>
    <w:rsid w:val="64F531DE"/>
    <w:rsid w:val="651B2B49"/>
    <w:rsid w:val="6520004B"/>
    <w:rsid w:val="65373578"/>
    <w:rsid w:val="653C591C"/>
    <w:rsid w:val="65504EF6"/>
    <w:rsid w:val="65532A2B"/>
    <w:rsid w:val="655B517C"/>
    <w:rsid w:val="65864B9B"/>
    <w:rsid w:val="658F0058"/>
    <w:rsid w:val="659162E9"/>
    <w:rsid w:val="65A65827"/>
    <w:rsid w:val="65DD3591"/>
    <w:rsid w:val="65F66714"/>
    <w:rsid w:val="66060657"/>
    <w:rsid w:val="663C5FA9"/>
    <w:rsid w:val="663E21B4"/>
    <w:rsid w:val="66445E5D"/>
    <w:rsid w:val="664C4803"/>
    <w:rsid w:val="664D64F8"/>
    <w:rsid w:val="66546608"/>
    <w:rsid w:val="66781853"/>
    <w:rsid w:val="66901A41"/>
    <w:rsid w:val="669A1B16"/>
    <w:rsid w:val="669C0B84"/>
    <w:rsid w:val="66AB57DF"/>
    <w:rsid w:val="66AE1C7A"/>
    <w:rsid w:val="66B54639"/>
    <w:rsid w:val="66BE548D"/>
    <w:rsid w:val="66C5423D"/>
    <w:rsid w:val="66C6708F"/>
    <w:rsid w:val="66C67DBD"/>
    <w:rsid w:val="66E11610"/>
    <w:rsid w:val="670C6BF1"/>
    <w:rsid w:val="67105E32"/>
    <w:rsid w:val="671F124A"/>
    <w:rsid w:val="67391EC9"/>
    <w:rsid w:val="674D3CE9"/>
    <w:rsid w:val="675F6557"/>
    <w:rsid w:val="67720386"/>
    <w:rsid w:val="677A33C6"/>
    <w:rsid w:val="678E03A2"/>
    <w:rsid w:val="6790725A"/>
    <w:rsid w:val="6792038F"/>
    <w:rsid w:val="67A46585"/>
    <w:rsid w:val="67C57BB8"/>
    <w:rsid w:val="67E326DF"/>
    <w:rsid w:val="67EF4848"/>
    <w:rsid w:val="67F124A5"/>
    <w:rsid w:val="67F35D4B"/>
    <w:rsid w:val="67FB0A3C"/>
    <w:rsid w:val="68027BF9"/>
    <w:rsid w:val="681B2D5B"/>
    <w:rsid w:val="681F6961"/>
    <w:rsid w:val="682D2C6B"/>
    <w:rsid w:val="684B0BFF"/>
    <w:rsid w:val="685B6410"/>
    <w:rsid w:val="68610A2F"/>
    <w:rsid w:val="68805514"/>
    <w:rsid w:val="68925D65"/>
    <w:rsid w:val="68A12A5C"/>
    <w:rsid w:val="68D07C1D"/>
    <w:rsid w:val="68E96544"/>
    <w:rsid w:val="68F06922"/>
    <w:rsid w:val="68F83F81"/>
    <w:rsid w:val="692B0A88"/>
    <w:rsid w:val="69314893"/>
    <w:rsid w:val="69316E2F"/>
    <w:rsid w:val="6935271D"/>
    <w:rsid w:val="694E2071"/>
    <w:rsid w:val="69593D6F"/>
    <w:rsid w:val="6966717F"/>
    <w:rsid w:val="696B6996"/>
    <w:rsid w:val="69766163"/>
    <w:rsid w:val="697A3B33"/>
    <w:rsid w:val="697F107E"/>
    <w:rsid w:val="69943606"/>
    <w:rsid w:val="699940A5"/>
    <w:rsid w:val="69AF05F4"/>
    <w:rsid w:val="69B74F5A"/>
    <w:rsid w:val="69B76B81"/>
    <w:rsid w:val="69CF2E5B"/>
    <w:rsid w:val="69D44760"/>
    <w:rsid w:val="69D95B9B"/>
    <w:rsid w:val="69E92016"/>
    <w:rsid w:val="69ED6F02"/>
    <w:rsid w:val="6A050368"/>
    <w:rsid w:val="6A2E1512"/>
    <w:rsid w:val="6A3133A3"/>
    <w:rsid w:val="6A476C37"/>
    <w:rsid w:val="6A520EC7"/>
    <w:rsid w:val="6A594E71"/>
    <w:rsid w:val="6A5F3F1C"/>
    <w:rsid w:val="6A6C3AE1"/>
    <w:rsid w:val="6A784F4F"/>
    <w:rsid w:val="6A7C3A4F"/>
    <w:rsid w:val="6A832677"/>
    <w:rsid w:val="6A937572"/>
    <w:rsid w:val="6AA96918"/>
    <w:rsid w:val="6AAC4DF2"/>
    <w:rsid w:val="6AB04778"/>
    <w:rsid w:val="6AB623DF"/>
    <w:rsid w:val="6AC41295"/>
    <w:rsid w:val="6AE7057D"/>
    <w:rsid w:val="6AEB28E5"/>
    <w:rsid w:val="6AF351E1"/>
    <w:rsid w:val="6AF82C8F"/>
    <w:rsid w:val="6AF87E20"/>
    <w:rsid w:val="6B0143D1"/>
    <w:rsid w:val="6B0E55F1"/>
    <w:rsid w:val="6B1F02F6"/>
    <w:rsid w:val="6B2421BE"/>
    <w:rsid w:val="6B2834FC"/>
    <w:rsid w:val="6B322639"/>
    <w:rsid w:val="6B3B488D"/>
    <w:rsid w:val="6B3D467C"/>
    <w:rsid w:val="6B6462A2"/>
    <w:rsid w:val="6B684C6E"/>
    <w:rsid w:val="6B765E79"/>
    <w:rsid w:val="6B7C259F"/>
    <w:rsid w:val="6B7D6906"/>
    <w:rsid w:val="6BA31B88"/>
    <w:rsid w:val="6BB90BDA"/>
    <w:rsid w:val="6BC9379C"/>
    <w:rsid w:val="6BE5013D"/>
    <w:rsid w:val="6BFD6C57"/>
    <w:rsid w:val="6C0E761B"/>
    <w:rsid w:val="6C1D7A89"/>
    <w:rsid w:val="6C206C75"/>
    <w:rsid w:val="6C4517E3"/>
    <w:rsid w:val="6C5307D4"/>
    <w:rsid w:val="6C5C7005"/>
    <w:rsid w:val="6C636C38"/>
    <w:rsid w:val="6C687635"/>
    <w:rsid w:val="6C742192"/>
    <w:rsid w:val="6C7D28FE"/>
    <w:rsid w:val="6C7D7CD6"/>
    <w:rsid w:val="6CA3676E"/>
    <w:rsid w:val="6CB829D8"/>
    <w:rsid w:val="6CBE6188"/>
    <w:rsid w:val="6CEA0BB7"/>
    <w:rsid w:val="6D000759"/>
    <w:rsid w:val="6D067D36"/>
    <w:rsid w:val="6D213CE1"/>
    <w:rsid w:val="6D2A0812"/>
    <w:rsid w:val="6D5842BF"/>
    <w:rsid w:val="6D6B3C5A"/>
    <w:rsid w:val="6D993199"/>
    <w:rsid w:val="6DB34098"/>
    <w:rsid w:val="6DB545B6"/>
    <w:rsid w:val="6DC82348"/>
    <w:rsid w:val="6DE02FB4"/>
    <w:rsid w:val="6DE22044"/>
    <w:rsid w:val="6DE86D95"/>
    <w:rsid w:val="6E0B4C8D"/>
    <w:rsid w:val="6E102493"/>
    <w:rsid w:val="6E315BD0"/>
    <w:rsid w:val="6E323894"/>
    <w:rsid w:val="6E3435C7"/>
    <w:rsid w:val="6E514CED"/>
    <w:rsid w:val="6E8252C2"/>
    <w:rsid w:val="6E8E7B3D"/>
    <w:rsid w:val="6EAE0FCF"/>
    <w:rsid w:val="6EB446AF"/>
    <w:rsid w:val="6EB563D5"/>
    <w:rsid w:val="6EB7198E"/>
    <w:rsid w:val="6EB72579"/>
    <w:rsid w:val="6ED358A6"/>
    <w:rsid w:val="6ED92677"/>
    <w:rsid w:val="6F03131A"/>
    <w:rsid w:val="6F1D7512"/>
    <w:rsid w:val="6F225983"/>
    <w:rsid w:val="6F2424DF"/>
    <w:rsid w:val="6F575027"/>
    <w:rsid w:val="6F630F84"/>
    <w:rsid w:val="6F8F29E9"/>
    <w:rsid w:val="6F9F02E3"/>
    <w:rsid w:val="6FA83C6F"/>
    <w:rsid w:val="6FB03E36"/>
    <w:rsid w:val="6FBD4490"/>
    <w:rsid w:val="6FCA2A98"/>
    <w:rsid w:val="6FF733CC"/>
    <w:rsid w:val="6FFC5590"/>
    <w:rsid w:val="70052EDC"/>
    <w:rsid w:val="70151AF2"/>
    <w:rsid w:val="70196891"/>
    <w:rsid w:val="701B7A3C"/>
    <w:rsid w:val="703C2354"/>
    <w:rsid w:val="70407809"/>
    <w:rsid w:val="70610CC5"/>
    <w:rsid w:val="706B5C22"/>
    <w:rsid w:val="706D1DD0"/>
    <w:rsid w:val="707A2F8B"/>
    <w:rsid w:val="707B220B"/>
    <w:rsid w:val="707D5EEF"/>
    <w:rsid w:val="70856B87"/>
    <w:rsid w:val="70972202"/>
    <w:rsid w:val="70BD2481"/>
    <w:rsid w:val="70BF1F46"/>
    <w:rsid w:val="70C8429A"/>
    <w:rsid w:val="70D527EE"/>
    <w:rsid w:val="712E3D8E"/>
    <w:rsid w:val="713709E6"/>
    <w:rsid w:val="71573B9F"/>
    <w:rsid w:val="715B5300"/>
    <w:rsid w:val="71620FC4"/>
    <w:rsid w:val="71817EB5"/>
    <w:rsid w:val="71D27F8A"/>
    <w:rsid w:val="71F31582"/>
    <w:rsid w:val="72091A83"/>
    <w:rsid w:val="720F0A2F"/>
    <w:rsid w:val="72214331"/>
    <w:rsid w:val="72250E9F"/>
    <w:rsid w:val="72475FCF"/>
    <w:rsid w:val="72553024"/>
    <w:rsid w:val="725B49EB"/>
    <w:rsid w:val="72603705"/>
    <w:rsid w:val="72692C76"/>
    <w:rsid w:val="726D313D"/>
    <w:rsid w:val="72752D61"/>
    <w:rsid w:val="727C09B9"/>
    <w:rsid w:val="728811E4"/>
    <w:rsid w:val="72A37894"/>
    <w:rsid w:val="72B05D43"/>
    <w:rsid w:val="72B55550"/>
    <w:rsid w:val="72C0256E"/>
    <w:rsid w:val="72D95858"/>
    <w:rsid w:val="72FF629D"/>
    <w:rsid w:val="730D3DE0"/>
    <w:rsid w:val="73122968"/>
    <w:rsid w:val="731355AE"/>
    <w:rsid w:val="731D7A66"/>
    <w:rsid w:val="731F5D5E"/>
    <w:rsid w:val="732C410E"/>
    <w:rsid w:val="733003FD"/>
    <w:rsid w:val="733A1F63"/>
    <w:rsid w:val="7363696B"/>
    <w:rsid w:val="73733DD8"/>
    <w:rsid w:val="73864226"/>
    <w:rsid w:val="73873CC9"/>
    <w:rsid w:val="738B179F"/>
    <w:rsid w:val="739A2483"/>
    <w:rsid w:val="73A62BBC"/>
    <w:rsid w:val="73C51AD5"/>
    <w:rsid w:val="73C627C6"/>
    <w:rsid w:val="73CD0149"/>
    <w:rsid w:val="73D32DA5"/>
    <w:rsid w:val="73D428E3"/>
    <w:rsid w:val="73ED63DD"/>
    <w:rsid w:val="73F97190"/>
    <w:rsid w:val="741E793C"/>
    <w:rsid w:val="74380321"/>
    <w:rsid w:val="743C5FA5"/>
    <w:rsid w:val="745E3944"/>
    <w:rsid w:val="746E41F6"/>
    <w:rsid w:val="746F4AF3"/>
    <w:rsid w:val="747A4C96"/>
    <w:rsid w:val="747C066B"/>
    <w:rsid w:val="74A80E43"/>
    <w:rsid w:val="74B0056F"/>
    <w:rsid w:val="74CC21AE"/>
    <w:rsid w:val="75007CD1"/>
    <w:rsid w:val="753219E9"/>
    <w:rsid w:val="753365D8"/>
    <w:rsid w:val="75391381"/>
    <w:rsid w:val="75450F07"/>
    <w:rsid w:val="75606B17"/>
    <w:rsid w:val="757A7520"/>
    <w:rsid w:val="759543A8"/>
    <w:rsid w:val="75C161EE"/>
    <w:rsid w:val="75CB12C3"/>
    <w:rsid w:val="75CC62BA"/>
    <w:rsid w:val="76023A5F"/>
    <w:rsid w:val="76327A46"/>
    <w:rsid w:val="7635099D"/>
    <w:rsid w:val="763779EF"/>
    <w:rsid w:val="763D0213"/>
    <w:rsid w:val="7662726E"/>
    <w:rsid w:val="76695D2B"/>
    <w:rsid w:val="766D1B33"/>
    <w:rsid w:val="767F261A"/>
    <w:rsid w:val="768C367C"/>
    <w:rsid w:val="76992564"/>
    <w:rsid w:val="76BF382B"/>
    <w:rsid w:val="76C36E4E"/>
    <w:rsid w:val="76CF52FC"/>
    <w:rsid w:val="76E47717"/>
    <w:rsid w:val="76FF7441"/>
    <w:rsid w:val="770305F6"/>
    <w:rsid w:val="770E7401"/>
    <w:rsid w:val="772F26BB"/>
    <w:rsid w:val="7733135F"/>
    <w:rsid w:val="774B0104"/>
    <w:rsid w:val="77571295"/>
    <w:rsid w:val="775934E8"/>
    <w:rsid w:val="775E50C3"/>
    <w:rsid w:val="77762421"/>
    <w:rsid w:val="77992071"/>
    <w:rsid w:val="77AB3C65"/>
    <w:rsid w:val="77B450EF"/>
    <w:rsid w:val="77B56B1F"/>
    <w:rsid w:val="77B84C6C"/>
    <w:rsid w:val="77F5327A"/>
    <w:rsid w:val="780F09F4"/>
    <w:rsid w:val="781722A9"/>
    <w:rsid w:val="78446FDD"/>
    <w:rsid w:val="784F2B3A"/>
    <w:rsid w:val="788350BD"/>
    <w:rsid w:val="78A90480"/>
    <w:rsid w:val="78CE4CDA"/>
    <w:rsid w:val="78E42141"/>
    <w:rsid w:val="78FE57B9"/>
    <w:rsid w:val="78FF0B38"/>
    <w:rsid w:val="791B1956"/>
    <w:rsid w:val="791E5B72"/>
    <w:rsid w:val="793B5B55"/>
    <w:rsid w:val="79592177"/>
    <w:rsid w:val="7967192C"/>
    <w:rsid w:val="797B4BE1"/>
    <w:rsid w:val="798B3C37"/>
    <w:rsid w:val="79977D58"/>
    <w:rsid w:val="799C4845"/>
    <w:rsid w:val="79A1279E"/>
    <w:rsid w:val="79B04BC9"/>
    <w:rsid w:val="79B5664E"/>
    <w:rsid w:val="79BF7235"/>
    <w:rsid w:val="79CB0C87"/>
    <w:rsid w:val="7A004A79"/>
    <w:rsid w:val="7A2A00A3"/>
    <w:rsid w:val="7A2C3D27"/>
    <w:rsid w:val="7A2F26FF"/>
    <w:rsid w:val="7A364017"/>
    <w:rsid w:val="7A8265E1"/>
    <w:rsid w:val="7A996503"/>
    <w:rsid w:val="7ABD538E"/>
    <w:rsid w:val="7AFD53CD"/>
    <w:rsid w:val="7B067D46"/>
    <w:rsid w:val="7B173ADE"/>
    <w:rsid w:val="7B2A03FD"/>
    <w:rsid w:val="7B425AB7"/>
    <w:rsid w:val="7B564EC8"/>
    <w:rsid w:val="7B5F779F"/>
    <w:rsid w:val="7B662C06"/>
    <w:rsid w:val="7B686D42"/>
    <w:rsid w:val="7B752E48"/>
    <w:rsid w:val="7B753A39"/>
    <w:rsid w:val="7B7B1A9E"/>
    <w:rsid w:val="7B841746"/>
    <w:rsid w:val="7B854CCB"/>
    <w:rsid w:val="7B8F7A59"/>
    <w:rsid w:val="7B9027A5"/>
    <w:rsid w:val="7BB24E00"/>
    <w:rsid w:val="7BEA5A8D"/>
    <w:rsid w:val="7C033517"/>
    <w:rsid w:val="7C036C80"/>
    <w:rsid w:val="7C0748AE"/>
    <w:rsid w:val="7C0E5228"/>
    <w:rsid w:val="7C105464"/>
    <w:rsid w:val="7C213A1F"/>
    <w:rsid w:val="7C2201A7"/>
    <w:rsid w:val="7C26752C"/>
    <w:rsid w:val="7C3E268E"/>
    <w:rsid w:val="7C6B43B5"/>
    <w:rsid w:val="7C6C5AC7"/>
    <w:rsid w:val="7C834FEF"/>
    <w:rsid w:val="7C92488F"/>
    <w:rsid w:val="7CC277F0"/>
    <w:rsid w:val="7CC6544B"/>
    <w:rsid w:val="7CD31CD0"/>
    <w:rsid w:val="7CE913F8"/>
    <w:rsid w:val="7CFB7833"/>
    <w:rsid w:val="7D0239FF"/>
    <w:rsid w:val="7D090FD1"/>
    <w:rsid w:val="7D175C45"/>
    <w:rsid w:val="7D5E40CD"/>
    <w:rsid w:val="7D7C2F20"/>
    <w:rsid w:val="7D852AF3"/>
    <w:rsid w:val="7D896DFF"/>
    <w:rsid w:val="7D8E4B67"/>
    <w:rsid w:val="7DC6136D"/>
    <w:rsid w:val="7DCA2865"/>
    <w:rsid w:val="7DCD56F2"/>
    <w:rsid w:val="7DD65E4C"/>
    <w:rsid w:val="7DE250AC"/>
    <w:rsid w:val="7DE44A0D"/>
    <w:rsid w:val="7E682B5C"/>
    <w:rsid w:val="7E9067F0"/>
    <w:rsid w:val="7E9A752A"/>
    <w:rsid w:val="7ED93C5C"/>
    <w:rsid w:val="7EED73AB"/>
    <w:rsid w:val="7F001CE7"/>
    <w:rsid w:val="7F5811E7"/>
    <w:rsid w:val="7F5E259D"/>
    <w:rsid w:val="7F7579D6"/>
    <w:rsid w:val="7F8F36C2"/>
    <w:rsid w:val="7F911901"/>
    <w:rsid w:val="7FE47E50"/>
    <w:rsid w:val="7FFC4DD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qFormat="1"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qFormat="1" w:uiPriority="99"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45"/>
    <w:qFormat/>
    <w:locked/>
    <w:uiPriority w:val="0"/>
    <w:pPr>
      <w:keepNext/>
      <w:keepLines/>
      <w:spacing w:before="260" w:after="260" w:line="416" w:lineRule="auto"/>
      <w:outlineLvl w:val="1"/>
    </w:pPr>
    <w:rPr>
      <w:rFonts w:ascii="等线 Light" w:hAnsi="等线 Light" w:eastAsia="等线 Light" w:cs="Times New Roman"/>
      <w:b/>
      <w:bCs/>
      <w:sz w:val="32"/>
      <w:szCs w:val="32"/>
    </w:rPr>
  </w:style>
  <w:style w:type="paragraph" w:styleId="6">
    <w:name w:val="heading 3"/>
    <w:basedOn w:val="1"/>
    <w:next w:val="1"/>
    <w:qFormat/>
    <w:locked/>
    <w:uiPriority w:val="0"/>
    <w:pPr>
      <w:keepNext/>
      <w:keepLines/>
      <w:adjustRightInd w:val="0"/>
      <w:snapToGrid w:val="0"/>
      <w:spacing w:before="120" w:after="120" w:line="500" w:lineRule="exact"/>
      <w:outlineLvl w:val="2"/>
    </w:pPr>
    <w:rPr>
      <w:b/>
      <w:sz w:val="28"/>
      <w:szCs w:val="20"/>
    </w:rPr>
  </w:style>
  <w:style w:type="paragraph" w:styleId="7">
    <w:name w:val="heading 4"/>
    <w:basedOn w:val="1"/>
    <w:next w:val="1"/>
    <w:link w:val="46"/>
    <w:qFormat/>
    <w:locked/>
    <w:uiPriority w:val="0"/>
    <w:pPr>
      <w:keepNext/>
      <w:keepLines/>
      <w:spacing w:before="280" w:after="290" w:line="376" w:lineRule="auto"/>
      <w:outlineLvl w:val="3"/>
    </w:pPr>
    <w:rPr>
      <w:rFonts w:ascii="等线 Light" w:hAnsi="等线 Light" w:eastAsia="等线 Light" w:cs="Times New Roman"/>
      <w:b/>
      <w:bCs/>
      <w:sz w:val="28"/>
      <w:szCs w:val="28"/>
    </w:rPr>
  </w:style>
  <w:style w:type="paragraph" w:styleId="8">
    <w:name w:val="heading 5"/>
    <w:basedOn w:val="1"/>
    <w:next w:val="1"/>
    <w:link w:val="47"/>
    <w:qFormat/>
    <w:locked/>
    <w:uiPriority w:val="0"/>
    <w:pPr>
      <w:keepNext/>
      <w:keepLines/>
      <w:spacing w:before="280" w:after="290" w:line="376" w:lineRule="auto"/>
      <w:outlineLvl w:val="4"/>
    </w:pPr>
    <w:rPr>
      <w:b/>
      <w:bCs/>
      <w:sz w:val="28"/>
      <w:szCs w:val="28"/>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qFormat/>
    <w:locked/>
    <w:uiPriority w:val="0"/>
    <w:pPr>
      <w:suppressLineNumbers w:val="0"/>
      <w:spacing w:afterLines="0"/>
      <w:ind w:left="420" w:leftChars="200" w:firstLine="420" w:firstLineChars="200"/>
    </w:pPr>
    <w:rPr>
      <w:rFonts w:ascii="Times New Roman" w:hAnsi="Times New Roman" w:eastAsia="宋体"/>
      <w:sz w:val="24"/>
    </w:rPr>
  </w:style>
  <w:style w:type="paragraph" w:styleId="3">
    <w:name w:val="Body Text Indent"/>
    <w:basedOn w:val="1"/>
    <w:next w:val="2"/>
    <w:link w:val="50"/>
    <w:qFormat/>
    <w:uiPriority w:val="0"/>
    <w:pPr>
      <w:spacing w:after="120"/>
      <w:ind w:left="420" w:leftChars="200"/>
    </w:pPr>
    <w:rPr>
      <w:kern w:val="0"/>
      <w:sz w:val="24"/>
      <w:szCs w:val="20"/>
    </w:rPr>
  </w:style>
  <w:style w:type="paragraph" w:styleId="9">
    <w:name w:val="Note Heading"/>
    <w:basedOn w:val="1"/>
    <w:next w:val="1"/>
    <w:unhideWhenUsed/>
    <w:qFormat/>
    <w:locked/>
    <w:uiPriority w:val="99"/>
    <w:pPr>
      <w:jc w:val="center"/>
    </w:pPr>
    <w:rPr>
      <w:szCs w:val="20"/>
    </w:rPr>
  </w:style>
  <w:style w:type="paragraph" w:styleId="10">
    <w:name w:val="Normal Indent"/>
    <w:basedOn w:val="1"/>
    <w:next w:val="1"/>
    <w:link w:val="48"/>
    <w:qFormat/>
    <w:locked/>
    <w:uiPriority w:val="0"/>
    <w:pPr>
      <w:ind w:firstLine="420"/>
    </w:pPr>
  </w:style>
  <w:style w:type="paragraph" w:styleId="11">
    <w:name w:val="annotation text"/>
    <w:basedOn w:val="1"/>
    <w:link w:val="49"/>
    <w:qFormat/>
    <w:uiPriority w:val="0"/>
    <w:pPr>
      <w:jc w:val="left"/>
    </w:pPr>
    <w:rPr>
      <w:kern w:val="0"/>
      <w:sz w:val="24"/>
      <w:szCs w:val="20"/>
    </w:rPr>
  </w:style>
  <w:style w:type="paragraph" w:styleId="12">
    <w:name w:val="Body Text"/>
    <w:basedOn w:val="1"/>
    <w:next w:val="13"/>
    <w:link w:val="43"/>
    <w:qFormat/>
    <w:uiPriority w:val="0"/>
    <w:pPr>
      <w:widowControl/>
      <w:snapToGrid w:val="0"/>
      <w:spacing w:before="60" w:after="160" w:line="259" w:lineRule="auto"/>
      <w:ind w:right="113"/>
    </w:pPr>
    <w:rPr>
      <w:kern w:val="0"/>
      <w:sz w:val="18"/>
      <w:szCs w:val="20"/>
    </w:rPr>
  </w:style>
  <w:style w:type="paragraph" w:styleId="13">
    <w:name w:val="Body Text 2"/>
    <w:basedOn w:val="1"/>
    <w:link w:val="44"/>
    <w:qFormat/>
    <w:locked/>
    <w:uiPriority w:val="0"/>
    <w:pPr>
      <w:spacing w:after="120" w:line="480" w:lineRule="auto"/>
    </w:pPr>
  </w:style>
  <w:style w:type="paragraph" w:styleId="14">
    <w:name w:val="Plain Text"/>
    <w:basedOn w:val="1"/>
    <w:next w:val="15"/>
    <w:link w:val="51"/>
    <w:qFormat/>
    <w:locked/>
    <w:uiPriority w:val="0"/>
    <w:rPr>
      <w:rFonts w:ascii="宋体" w:hAnsi="Courier New" w:cs="Courier New"/>
      <w:szCs w:val="21"/>
    </w:rPr>
  </w:style>
  <w:style w:type="paragraph" w:styleId="15">
    <w:name w:val="List Number 5"/>
    <w:basedOn w:val="1"/>
    <w:qFormat/>
    <w:locked/>
    <w:uiPriority w:val="0"/>
    <w:pPr>
      <w:numPr>
        <w:ilvl w:val="0"/>
        <w:numId w:val="1"/>
      </w:numPr>
    </w:pPr>
  </w:style>
  <w:style w:type="paragraph" w:styleId="16">
    <w:name w:val="Date"/>
    <w:basedOn w:val="1"/>
    <w:next w:val="1"/>
    <w:link w:val="52"/>
    <w:qFormat/>
    <w:uiPriority w:val="0"/>
    <w:pPr>
      <w:ind w:left="100" w:leftChars="2500"/>
    </w:pPr>
    <w:rPr>
      <w:kern w:val="0"/>
      <w:sz w:val="24"/>
      <w:szCs w:val="20"/>
    </w:rPr>
  </w:style>
  <w:style w:type="paragraph" w:styleId="17">
    <w:name w:val="Body Text Indent 2"/>
    <w:basedOn w:val="1"/>
    <w:next w:val="1"/>
    <w:link w:val="53"/>
    <w:qFormat/>
    <w:locked/>
    <w:uiPriority w:val="0"/>
    <w:pPr>
      <w:framePr w:hSpace="181" w:wrap="around" w:vAnchor="page" w:hAnchor="margin" w:y="1716"/>
      <w:adjustRightInd w:val="0"/>
      <w:snapToGrid w:val="0"/>
      <w:spacing w:line="360" w:lineRule="auto"/>
      <w:ind w:firstLine="480" w:firstLineChars="200"/>
      <w:jc w:val="left"/>
    </w:pPr>
    <w:rPr>
      <w:rFonts w:ascii="宋体" w:hAnsi="宋体" w:eastAsia="宋体" w:cs="Times New Roman"/>
      <w:color w:val="000000"/>
      <w:sz w:val="24"/>
    </w:rPr>
  </w:style>
  <w:style w:type="paragraph" w:styleId="18">
    <w:name w:val="Balloon Text"/>
    <w:basedOn w:val="1"/>
    <w:link w:val="54"/>
    <w:semiHidden/>
    <w:qFormat/>
    <w:uiPriority w:val="0"/>
    <w:rPr>
      <w:kern w:val="0"/>
      <w:sz w:val="18"/>
      <w:szCs w:val="20"/>
    </w:rPr>
  </w:style>
  <w:style w:type="paragraph" w:styleId="19">
    <w:name w:val="footer"/>
    <w:basedOn w:val="1"/>
    <w:next w:val="1"/>
    <w:link w:val="55"/>
    <w:qFormat/>
    <w:uiPriority w:val="99"/>
    <w:pPr>
      <w:tabs>
        <w:tab w:val="center" w:pos="4153"/>
        <w:tab w:val="right" w:pos="8306"/>
      </w:tabs>
      <w:snapToGrid w:val="0"/>
      <w:jc w:val="left"/>
    </w:pPr>
    <w:rPr>
      <w:kern w:val="0"/>
      <w:sz w:val="18"/>
      <w:szCs w:val="20"/>
    </w:rPr>
  </w:style>
  <w:style w:type="paragraph" w:styleId="20">
    <w:name w:val="header"/>
    <w:basedOn w:val="1"/>
    <w:next w:val="21"/>
    <w:link w:val="56"/>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1">
    <w:name w:val="样式5"/>
    <w:basedOn w:val="10"/>
    <w:qFormat/>
    <w:uiPriority w:val="99"/>
    <w:pPr>
      <w:spacing w:line="440" w:lineRule="exact"/>
      <w:ind w:right="-105" w:rightChars="-50"/>
      <w:jc w:val="center"/>
    </w:pPr>
    <w:rPr>
      <w:rFonts w:ascii="宋体" w:hAnsi="宋体"/>
    </w:rPr>
  </w:style>
  <w:style w:type="paragraph" w:styleId="22">
    <w:name w:val="Body Text Indent 3"/>
    <w:basedOn w:val="1"/>
    <w:link w:val="57"/>
    <w:qFormat/>
    <w:locked/>
    <w:uiPriority w:val="0"/>
    <w:pPr>
      <w:spacing w:after="120"/>
      <w:ind w:left="420" w:leftChars="200"/>
    </w:pPr>
    <w:rPr>
      <w:sz w:val="16"/>
      <w:szCs w:val="16"/>
    </w:rPr>
  </w:style>
  <w:style w:type="paragraph" w:styleId="23">
    <w:name w:val="toc 2"/>
    <w:basedOn w:val="1"/>
    <w:next w:val="1"/>
    <w:qFormat/>
    <w:locked/>
    <w:uiPriority w:val="39"/>
    <w:pPr>
      <w:spacing w:line="240" w:lineRule="auto"/>
      <w:ind w:left="420" w:leftChars="200"/>
    </w:pPr>
    <w:rPr>
      <w:rFonts w:ascii="Calibri" w:hAnsi="Calibri"/>
      <w:sz w:val="21"/>
      <w:szCs w:val="24"/>
    </w:rPr>
  </w:style>
  <w:style w:type="paragraph" w:styleId="24">
    <w:name w:val="Normal (Web)"/>
    <w:basedOn w:val="1"/>
    <w:link w:val="58"/>
    <w:qFormat/>
    <w:uiPriority w:val="99"/>
    <w:pPr>
      <w:widowControl/>
      <w:spacing w:before="100" w:beforeAutospacing="1" w:after="100" w:afterAutospacing="1"/>
      <w:jc w:val="left"/>
    </w:pPr>
    <w:rPr>
      <w:rFonts w:ascii="宋体" w:hAnsi="宋体"/>
      <w:kern w:val="0"/>
      <w:sz w:val="24"/>
      <w:szCs w:val="20"/>
    </w:rPr>
  </w:style>
  <w:style w:type="paragraph" w:styleId="25">
    <w:name w:val="annotation subject"/>
    <w:basedOn w:val="11"/>
    <w:next w:val="11"/>
    <w:link w:val="59"/>
    <w:semiHidden/>
    <w:qFormat/>
    <w:uiPriority w:val="0"/>
    <w:rPr>
      <w:b/>
      <w:sz w:val="24"/>
      <w:szCs w:val="20"/>
    </w:rPr>
  </w:style>
  <w:style w:type="paragraph" w:styleId="26">
    <w:name w:val="Body Text First Indent"/>
    <w:basedOn w:val="12"/>
    <w:unhideWhenUsed/>
    <w:qFormat/>
    <w:locked/>
    <w:uiPriority w:val="99"/>
    <w:pPr>
      <w:ind w:firstLine="420" w:firstLineChars="100"/>
    </w:pPr>
  </w:style>
  <w:style w:type="table" w:styleId="28">
    <w:name w:val="Table Grid"/>
    <w:basedOn w:val="2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qFormat/>
    <w:locked/>
    <w:uiPriority w:val="22"/>
    <w:rPr>
      <w:b/>
    </w:rPr>
  </w:style>
  <w:style w:type="character" w:styleId="31">
    <w:name w:val="page number"/>
    <w:qFormat/>
    <w:locked/>
    <w:uiPriority w:val="0"/>
  </w:style>
  <w:style w:type="character" w:styleId="32">
    <w:name w:val="FollowedHyperlink"/>
    <w:qFormat/>
    <w:locked/>
    <w:uiPriority w:val="0"/>
    <w:rPr>
      <w:color w:val="338DE6"/>
      <w:u w:val="none"/>
    </w:rPr>
  </w:style>
  <w:style w:type="character" w:styleId="33">
    <w:name w:val="Emphasis"/>
    <w:qFormat/>
    <w:locked/>
    <w:uiPriority w:val="0"/>
  </w:style>
  <w:style w:type="character" w:styleId="34">
    <w:name w:val="HTML Definition"/>
    <w:qFormat/>
    <w:locked/>
    <w:uiPriority w:val="0"/>
  </w:style>
  <w:style w:type="character" w:styleId="35">
    <w:name w:val="HTML Variable"/>
    <w:qFormat/>
    <w:locked/>
    <w:uiPriority w:val="0"/>
  </w:style>
  <w:style w:type="character" w:styleId="36">
    <w:name w:val="Hyperlink"/>
    <w:qFormat/>
    <w:locked/>
    <w:uiPriority w:val="0"/>
    <w:rPr>
      <w:color w:val="338DE6"/>
      <w:u w:val="none"/>
    </w:rPr>
  </w:style>
  <w:style w:type="character" w:styleId="37">
    <w:name w:val="HTML Code"/>
    <w:qFormat/>
    <w:locked/>
    <w:uiPriority w:val="0"/>
    <w:rPr>
      <w:rFonts w:ascii="serif" w:hAnsi="serif" w:eastAsia="serif" w:cs="serif"/>
      <w:sz w:val="21"/>
      <w:szCs w:val="21"/>
    </w:rPr>
  </w:style>
  <w:style w:type="character" w:styleId="38">
    <w:name w:val="annotation reference"/>
    <w:semiHidden/>
    <w:qFormat/>
    <w:uiPriority w:val="0"/>
    <w:rPr>
      <w:sz w:val="21"/>
    </w:rPr>
  </w:style>
  <w:style w:type="character" w:styleId="39">
    <w:name w:val="HTML Cite"/>
    <w:qFormat/>
    <w:locked/>
    <w:uiPriority w:val="0"/>
  </w:style>
  <w:style w:type="character" w:styleId="40">
    <w:name w:val="HTML Keyboard"/>
    <w:qFormat/>
    <w:locked/>
    <w:uiPriority w:val="0"/>
    <w:rPr>
      <w:rFonts w:hint="default" w:ascii="serif" w:hAnsi="serif" w:eastAsia="serif" w:cs="serif"/>
      <w:sz w:val="21"/>
      <w:szCs w:val="21"/>
    </w:rPr>
  </w:style>
  <w:style w:type="character" w:styleId="41">
    <w:name w:val="HTML Sample"/>
    <w:qFormat/>
    <w:locked/>
    <w:uiPriority w:val="0"/>
    <w:rPr>
      <w:rFonts w:hint="default" w:ascii="serif" w:hAnsi="serif" w:eastAsia="serif" w:cs="serif"/>
      <w:sz w:val="21"/>
      <w:szCs w:val="21"/>
    </w:rPr>
  </w:style>
  <w:style w:type="paragraph" w:customStyle="1" w:styleId="42">
    <w:name w:val="表格内"/>
    <w:basedOn w:val="1"/>
    <w:qFormat/>
    <w:uiPriority w:val="0"/>
    <w:pPr>
      <w:adjustRightInd w:val="0"/>
      <w:spacing w:line="240" w:lineRule="atLeast"/>
      <w:jc w:val="center"/>
      <w:textAlignment w:val="baseline"/>
    </w:pPr>
    <w:rPr>
      <w:rFonts w:ascii="宋体" w:hAnsi="Times New Roman"/>
      <w:kern w:val="0"/>
      <w:sz w:val="28"/>
      <w:szCs w:val="20"/>
    </w:rPr>
  </w:style>
  <w:style w:type="character" w:customStyle="1" w:styleId="43">
    <w:name w:val="正文文本 字符"/>
    <w:link w:val="12"/>
    <w:qFormat/>
    <w:locked/>
    <w:uiPriority w:val="0"/>
    <w:rPr>
      <w:sz w:val="18"/>
    </w:rPr>
  </w:style>
  <w:style w:type="character" w:customStyle="1" w:styleId="44">
    <w:name w:val="正文文本 2 字符"/>
    <w:link w:val="13"/>
    <w:qFormat/>
    <w:uiPriority w:val="0"/>
    <w:rPr>
      <w:kern w:val="2"/>
      <w:sz w:val="21"/>
      <w:szCs w:val="24"/>
    </w:rPr>
  </w:style>
  <w:style w:type="character" w:customStyle="1" w:styleId="45">
    <w:name w:val="标题 2 字符"/>
    <w:link w:val="5"/>
    <w:semiHidden/>
    <w:qFormat/>
    <w:uiPriority w:val="0"/>
    <w:rPr>
      <w:rFonts w:ascii="等线 Light" w:hAnsi="等线 Light" w:eastAsia="等线 Light" w:cs="Times New Roman"/>
      <w:b/>
      <w:bCs/>
      <w:kern w:val="2"/>
      <w:sz w:val="32"/>
      <w:szCs w:val="32"/>
    </w:rPr>
  </w:style>
  <w:style w:type="character" w:customStyle="1" w:styleId="46">
    <w:name w:val="标题 4 字符"/>
    <w:link w:val="7"/>
    <w:semiHidden/>
    <w:qFormat/>
    <w:uiPriority w:val="0"/>
    <w:rPr>
      <w:rFonts w:ascii="等线 Light" w:hAnsi="等线 Light" w:eastAsia="等线 Light" w:cs="Times New Roman"/>
      <w:b/>
      <w:bCs/>
      <w:kern w:val="2"/>
      <w:sz w:val="28"/>
      <w:szCs w:val="28"/>
    </w:rPr>
  </w:style>
  <w:style w:type="character" w:customStyle="1" w:styleId="47">
    <w:name w:val="标题 5 字符"/>
    <w:link w:val="8"/>
    <w:qFormat/>
    <w:uiPriority w:val="0"/>
    <w:rPr>
      <w:b/>
      <w:bCs/>
      <w:kern w:val="2"/>
      <w:sz w:val="28"/>
      <w:szCs w:val="28"/>
    </w:rPr>
  </w:style>
  <w:style w:type="character" w:customStyle="1" w:styleId="48">
    <w:name w:val="正文缩进 字符"/>
    <w:link w:val="10"/>
    <w:qFormat/>
    <w:uiPriority w:val="0"/>
    <w:rPr>
      <w:kern w:val="2"/>
      <w:sz w:val="21"/>
      <w:szCs w:val="24"/>
    </w:rPr>
  </w:style>
  <w:style w:type="character" w:customStyle="1" w:styleId="49">
    <w:name w:val="批注文字 字符"/>
    <w:link w:val="11"/>
    <w:qFormat/>
    <w:locked/>
    <w:uiPriority w:val="0"/>
    <w:rPr>
      <w:rFonts w:ascii="Times New Roman" w:hAnsi="Times New Roman" w:eastAsia="宋体"/>
      <w:sz w:val="24"/>
    </w:rPr>
  </w:style>
  <w:style w:type="character" w:customStyle="1" w:styleId="50">
    <w:name w:val="正文文本缩进 字符"/>
    <w:link w:val="3"/>
    <w:qFormat/>
    <w:locked/>
    <w:uiPriority w:val="0"/>
    <w:rPr>
      <w:rFonts w:ascii="Times New Roman" w:hAnsi="Times New Roman" w:eastAsia="宋体"/>
      <w:sz w:val="24"/>
    </w:rPr>
  </w:style>
  <w:style w:type="character" w:customStyle="1" w:styleId="51">
    <w:name w:val="纯文本 字符"/>
    <w:link w:val="14"/>
    <w:qFormat/>
    <w:locked/>
    <w:uiPriority w:val="0"/>
    <w:rPr>
      <w:rFonts w:ascii="宋体" w:hAnsi="Courier New" w:cs="Courier New"/>
      <w:kern w:val="2"/>
      <w:sz w:val="21"/>
      <w:szCs w:val="21"/>
    </w:rPr>
  </w:style>
  <w:style w:type="character" w:customStyle="1" w:styleId="52">
    <w:name w:val="日期 字符1"/>
    <w:link w:val="16"/>
    <w:qFormat/>
    <w:locked/>
    <w:uiPriority w:val="0"/>
    <w:rPr>
      <w:rFonts w:ascii="Times New Roman" w:hAnsi="Times New Roman" w:eastAsia="宋体"/>
      <w:sz w:val="24"/>
    </w:rPr>
  </w:style>
  <w:style w:type="character" w:customStyle="1" w:styleId="53">
    <w:name w:val="正文文本缩进 2 字符"/>
    <w:link w:val="17"/>
    <w:qFormat/>
    <w:uiPriority w:val="0"/>
    <w:rPr>
      <w:rFonts w:ascii="宋体" w:hAnsi="宋体"/>
      <w:color w:val="000000"/>
      <w:kern w:val="2"/>
      <w:sz w:val="24"/>
      <w:szCs w:val="24"/>
    </w:rPr>
  </w:style>
  <w:style w:type="character" w:customStyle="1" w:styleId="54">
    <w:name w:val="批注框文本 字符"/>
    <w:link w:val="18"/>
    <w:semiHidden/>
    <w:qFormat/>
    <w:locked/>
    <w:uiPriority w:val="0"/>
    <w:rPr>
      <w:rFonts w:ascii="Times New Roman" w:hAnsi="Times New Roman" w:eastAsia="宋体"/>
      <w:sz w:val="18"/>
    </w:rPr>
  </w:style>
  <w:style w:type="character" w:customStyle="1" w:styleId="55">
    <w:name w:val="页脚 字符1"/>
    <w:link w:val="19"/>
    <w:qFormat/>
    <w:locked/>
    <w:uiPriority w:val="99"/>
    <w:rPr>
      <w:sz w:val="18"/>
    </w:rPr>
  </w:style>
  <w:style w:type="character" w:customStyle="1" w:styleId="56">
    <w:name w:val="页眉 字符"/>
    <w:link w:val="20"/>
    <w:qFormat/>
    <w:locked/>
    <w:uiPriority w:val="0"/>
    <w:rPr>
      <w:sz w:val="18"/>
    </w:rPr>
  </w:style>
  <w:style w:type="character" w:customStyle="1" w:styleId="57">
    <w:name w:val="正文文本缩进 3 字符"/>
    <w:link w:val="22"/>
    <w:qFormat/>
    <w:uiPriority w:val="0"/>
    <w:rPr>
      <w:kern w:val="2"/>
      <w:sz w:val="16"/>
      <w:szCs w:val="16"/>
    </w:rPr>
  </w:style>
  <w:style w:type="character" w:customStyle="1" w:styleId="58">
    <w:name w:val="普通(网站) 字符"/>
    <w:link w:val="24"/>
    <w:qFormat/>
    <w:locked/>
    <w:uiPriority w:val="0"/>
    <w:rPr>
      <w:rFonts w:ascii="宋体" w:hAnsi="宋体" w:eastAsia="宋体"/>
      <w:sz w:val="24"/>
    </w:rPr>
  </w:style>
  <w:style w:type="character" w:customStyle="1" w:styleId="59">
    <w:name w:val="批注主题 字符"/>
    <w:link w:val="25"/>
    <w:semiHidden/>
    <w:qFormat/>
    <w:locked/>
    <w:uiPriority w:val="0"/>
    <w:rPr>
      <w:rFonts w:ascii="Times New Roman" w:hAnsi="Times New Roman" w:eastAsia="宋体"/>
      <w:b/>
      <w:kern w:val="2"/>
      <w:sz w:val="24"/>
    </w:rPr>
  </w:style>
  <w:style w:type="character" w:customStyle="1" w:styleId="60">
    <w:name w:val="表格表头 Char"/>
    <w:link w:val="61"/>
    <w:qFormat/>
    <w:uiPriority w:val="0"/>
    <w:rPr>
      <w:rFonts w:ascii="宋体" w:hAnsi="宋体"/>
      <w:b/>
      <w:sz w:val="21"/>
      <w:szCs w:val="21"/>
    </w:rPr>
  </w:style>
  <w:style w:type="paragraph" w:customStyle="1" w:styleId="61">
    <w:name w:val="表格表头"/>
    <w:basedOn w:val="1"/>
    <w:link w:val="60"/>
    <w:qFormat/>
    <w:uiPriority w:val="0"/>
    <w:pPr>
      <w:spacing w:line="360" w:lineRule="auto"/>
      <w:jc w:val="center"/>
    </w:pPr>
    <w:rPr>
      <w:rFonts w:ascii="宋体" w:hAnsi="宋体"/>
      <w:b/>
      <w:kern w:val="0"/>
      <w:szCs w:val="21"/>
    </w:rPr>
  </w:style>
  <w:style w:type="character" w:customStyle="1" w:styleId="62">
    <w:name w:val="hover"/>
    <w:qFormat/>
    <w:uiPriority w:val="0"/>
    <w:rPr>
      <w:color w:val="015293"/>
    </w:rPr>
  </w:style>
  <w:style w:type="character" w:customStyle="1" w:styleId="63">
    <w:name w:val="标题二 Char"/>
    <w:link w:val="64"/>
    <w:qFormat/>
    <w:uiPriority w:val="0"/>
    <w:rPr>
      <w:b/>
      <w:kern w:val="2"/>
      <w:sz w:val="28"/>
      <w:szCs w:val="24"/>
    </w:rPr>
  </w:style>
  <w:style w:type="paragraph" w:customStyle="1" w:styleId="64">
    <w:name w:val="标题二"/>
    <w:basedOn w:val="1"/>
    <w:link w:val="63"/>
    <w:qFormat/>
    <w:uiPriority w:val="0"/>
    <w:pPr>
      <w:spacing w:line="360" w:lineRule="auto"/>
    </w:pPr>
    <w:rPr>
      <w:b/>
      <w:sz w:val="28"/>
    </w:rPr>
  </w:style>
  <w:style w:type="character" w:customStyle="1" w:styleId="65">
    <w:name w:val="报告正文 Char Char"/>
    <w:link w:val="66"/>
    <w:qFormat/>
    <w:uiPriority w:val="0"/>
    <w:rPr>
      <w:kern w:val="2"/>
      <w:sz w:val="24"/>
      <w:szCs w:val="22"/>
    </w:rPr>
  </w:style>
  <w:style w:type="paragraph" w:customStyle="1" w:styleId="66">
    <w:name w:val="报告正文"/>
    <w:basedOn w:val="67"/>
    <w:link w:val="65"/>
    <w:qFormat/>
    <w:uiPriority w:val="0"/>
    <w:pPr>
      <w:widowControl w:val="0"/>
      <w:spacing w:line="360" w:lineRule="auto"/>
      <w:ind w:firstLine="200" w:firstLineChars="200"/>
      <w:jc w:val="both"/>
    </w:pPr>
    <w:rPr>
      <w:kern w:val="2"/>
      <w:sz w:val="24"/>
      <w:szCs w:val="22"/>
      <w:lang w:val="en-US" w:eastAsia="zh-CN" w:bidi="ar-SA"/>
    </w:rPr>
  </w:style>
  <w:style w:type="paragraph" w:customStyle="1" w:styleId="67">
    <w:name w:val="p17"/>
    <w:basedOn w:val="1"/>
    <w:qFormat/>
    <w:uiPriority w:val="0"/>
    <w:pPr>
      <w:widowControl/>
    </w:pPr>
    <w:rPr>
      <w:rFonts w:ascii="宋体" w:hAnsi="宋体" w:cs="宋体"/>
      <w:kern w:val="0"/>
      <w:szCs w:val="21"/>
    </w:rPr>
  </w:style>
  <w:style w:type="character" w:customStyle="1" w:styleId="68">
    <w:name w:val="表头名称 Char"/>
    <w:link w:val="69"/>
    <w:qFormat/>
    <w:uiPriority w:val="0"/>
    <w:rPr>
      <w:rFonts w:ascii="黑体" w:hAnsi="宋体" w:eastAsia="黑体"/>
      <w:color w:val="000000"/>
      <w:kern w:val="2"/>
      <w:sz w:val="24"/>
      <w:szCs w:val="21"/>
    </w:rPr>
  </w:style>
  <w:style w:type="paragraph" w:customStyle="1" w:styleId="69">
    <w:name w:val="表头名称"/>
    <w:basedOn w:val="10"/>
    <w:link w:val="68"/>
    <w:qFormat/>
    <w:uiPriority w:val="0"/>
    <w:pPr>
      <w:autoSpaceDE w:val="0"/>
      <w:autoSpaceDN w:val="0"/>
      <w:adjustRightInd w:val="0"/>
      <w:spacing w:line="360" w:lineRule="auto"/>
      <w:ind w:firstLine="0" w:firstLineChars="200"/>
      <w:jc w:val="center"/>
    </w:pPr>
    <w:rPr>
      <w:rFonts w:ascii="黑体" w:hAnsi="宋体" w:eastAsia="黑体"/>
      <w:color w:val="000000"/>
      <w:sz w:val="24"/>
      <w:szCs w:val="21"/>
    </w:rPr>
  </w:style>
  <w:style w:type="character" w:customStyle="1" w:styleId="70">
    <w:name w:val="日期 字符"/>
    <w:semiHidden/>
    <w:qFormat/>
    <w:uiPriority w:val="0"/>
    <w:rPr>
      <w:rFonts w:ascii="Times New Roman" w:hAnsi="Times New Roman" w:eastAsia="宋体"/>
      <w:sz w:val="24"/>
    </w:rPr>
  </w:style>
  <w:style w:type="character" w:customStyle="1" w:styleId="71">
    <w:name w:val="表格1 Char"/>
    <w:link w:val="72"/>
    <w:qFormat/>
    <w:uiPriority w:val="0"/>
    <w:rPr>
      <w:rFonts w:ascii="Times New Roman" w:hAnsi="Times New Roman" w:eastAsia="FZFangSong-Z02"/>
      <w:color w:val="000000"/>
      <w:sz w:val="21"/>
      <w:szCs w:val="24"/>
    </w:rPr>
  </w:style>
  <w:style w:type="paragraph" w:customStyle="1" w:styleId="72">
    <w:name w:val="表格1"/>
    <w:basedOn w:val="1"/>
    <w:link w:val="71"/>
    <w:qFormat/>
    <w:uiPriority w:val="0"/>
    <w:pPr>
      <w:adjustRightInd w:val="0"/>
      <w:snapToGrid w:val="0"/>
      <w:jc w:val="center"/>
    </w:pPr>
    <w:rPr>
      <w:rFonts w:ascii="Times New Roman" w:hAnsi="Times New Roman" w:eastAsia="FZFangSong-Z02"/>
      <w:color w:val="000000"/>
      <w:kern w:val="0"/>
    </w:rPr>
  </w:style>
  <w:style w:type="character" w:customStyle="1" w:styleId="73">
    <w:name w:val="标题三 Char"/>
    <w:link w:val="74"/>
    <w:qFormat/>
    <w:uiPriority w:val="0"/>
    <w:rPr>
      <w:b/>
      <w:bCs/>
      <w:kern w:val="2"/>
      <w:sz w:val="24"/>
      <w:szCs w:val="32"/>
    </w:rPr>
  </w:style>
  <w:style w:type="paragraph" w:customStyle="1" w:styleId="74">
    <w:name w:val="标题三"/>
    <w:basedOn w:val="6"/>
    <w:link w:val="73"/>
    <w:qFormat/>
    <w:uiPriority w:val="0"/>
    <w:pPr>
      <w:keepNext w:val="0"/>
      <w:keepLines w:val="0"/>
      <w:adjustRightInd/>
      <w:snapToGrid/>
      <w:spacing w:before="0" w:after="0" w:line="360" w:lineRule="auto"/>
    </w:pPr>
    <w:rPr>
      <w:bCs/>
      <w:sz w:val="24"/>
      <w:szCs w:val="32"/>
    </w:rPr>
  </w:style>
  <w:style w:type="character" w:customStyle="1" w:styleId="75">
    <w:name w:val="m011"/>
    <w:qFormat/>
    <w:uiPriority w:val="0"/>
  </w:style>
  <w:style w:type="character" w:customStyle="1" w:styleId="76">
    <w:name w:val="表头1 字符"/>
    <w:link w:val="77"/>
    <w:qFormat/>
    <w:uiPriority w:val="0"/>
    <w:rPr>
      <w:b/>
      <w:kern w:val="36"/>
      <w:sz w:val="21"/>
      <w:szCs w:val="24"/>
    </w:rPr>
  </w:style>
  <w:style w:type="paragraph" w:customStyle="1" w:styleId="77">
    <w:name w:val="表头1"/>
    <w:basedOn w:val="1"/>
    <w:link w:val="76"/>
    <w:qFormat/>
    <w:uiPriority w:val="0"/>
    <w:pPr>
      <w:adjustRightInd w:val="0"/>
      <w:snapToGrid w:val="0"/>
      <w:spacing w:line="360" w:lineRule="auto"/>
      <w:jc w:val="center"/>
    </w:pPr>
    <w:rPr>
      <w:b/>
      <w:kern w:val="36"/>
    </w:rPr>
  </w:style>
  <w:style w:type="character" w:customStyle="1" w:styleId="78">
    <w:name w:val="正文内容 字符"/>
    <w:link w:val="79"/>
    <w:qFormat/>
    <w:uiPriority w:val="0"/>
    <w:rPr>
      <w:rFonts w:ascii="Times New Roman" w:hAnsi="Times New Roman" w:eastAsia="FangSong_GB2312"/>
      <w:color w:val="000000"/>
      <w:sz w:val="28"/>
      <w:szCs w:val="30"/>
    </w:rPr>
  </w:style>
  <w:style w:type="paragraph" w:customStyle="1" w:styleId="79">
    <w:name w:val="正文内容"/>
    <w:basedOn w:val="1"/>
    <w:link w:val="78"/>
    <w:qFormat/>
    <w:uiPriority w:val="0"/>
    <w:pPr>
      <w:adjustRightInd w:val="0"/>
      <w:snapToGrid w:val="0"/>
      <w:spacing w:line="360" w:lineRule="auto"/>
      <w:ind w:firstLine="560" w:firstLineChars="200"/>
    </w:pPr>
    <w:rPr>
      <w:rFonts w:ascii="Times New Roman" w:hAnsi="Times New Roman" w:eastAsia="FangSong_GB2312"/>
      <w:color w:val="000000"/>
      <w:kern w:val="0"/>
      <w:sz w:val="28"/>
      <w:szCs w:val="30"/>
    </w:rPr>
  </w:style>
  <w:style w:type="character" w:customStyle="1" w:styleId="80">
    <w:name w:val="正文文本 字符1"/>
    <w:semiHidden/>
    <w:qFormat/>
    <w:uiPriority w:val="0"/>
    <w:rPr>
      <w:rFonts w:ascii="Times New Roman" w:hAnsi="Times New Roman" w:eastAsia="宋体"/>
      <w:sz w:val="24"/>
    </w:rPr>
  </w:style>
  <w:style w:type="character" w:customStyle="1" w:styleId="81">
    <w:name w:val="dates"/>
    <w:qFormat/>
    <w:uiPriority w:val="0"/>
  </w:style>
  <w:style w:type="character" w:customStyle="1" w:styleId="82">
    <w:name w:val="hover16"/>
    <w:qFormat/>
    <w:uiPriority w:val="0"/>
    <w:rPr>
      <w:color w:val="015293"/>
    </w:rPr>
  </w:style>
  <w:style w:type="character" w:customStyle="1" w:styleId="83">
    <w:name w:val="more"/>
    <w:qFormat/>
    <w:uiPriority w:val="0"/>
    <w:rPr>
      <w:color w:val="666666"/>
      <w:sz w:val="14"/>
      <w:szCs w:val="14"/>
    </w:rPr>
  </w:style>
  <w:style w:type="character" w:customStyle="1" w:styleId="84">
    <w:name w:val="more3"/>
    <w:qFormat/>
    <w:uiPriority w:val="0"/>
    <w:rPr>
      <w:color w:val="666666"/>
      <w:sz w:val="14"/>
      <w:szCs w:val="14"/>
    </w:rPr>
  </w:style>
  <w:style w:type="character" w:customStyle="1" w:styleId="85">
    <w:name w:val="font"/>
    <w:qFormat/>
    <w:uiPriority w:val="0"/>
  </w:style>
  <w:style w:type="character" w:customStyle="1" w:styleId="86">
    <w:name w:val="hover17"/>
    <w:qFormat/>
    <w:uiPriority w:val="0"/>
    <w:rPr>
      <w:color w:val="015293"/>
    </w:rPr>
  </w:style>
  <w:style w:type="character" w:customStyle="1" w:styleId="87">
    <w:name w:val="正文1 字符"/>
    <w:link w:val="88"/>
    <w:qFormat/>
    <w:uiPriority w:val="0"/>
    <w:rPr>
      <w:bCs/>
      <w:snapToGrid/>
      <w:sz w:val="21"/>
      <w:szCs w:val="21"/>
    </w:rPr>
  </w:style>
  <w:style w:type="paragraph" w:customStyle="1" w:styleId="88">
    <w:name w:val="正文1"/>
    <w:basedOn w:val="1"/>
    <w:link w:val="87"/>
    <w:qFormat/>
    <w:uiPriority w:val="0"/>
    <w:pPr>
      <w:adjustRightInd w:val="0"/>
      <w:snapToGrid w:val="0"/>
      <w:spacing w:line="340" w:lineRule="exact"/>
      <w:jc w:val="center"/>
      <w:textAlignment w:val="baseline"/>
    </w:pPr>
    <w:rPr>
      <w:bCs/>
      <w:snapToGrid w:val="0"/>
      <w:kern w:val="0"/>
      <w:szCs w:val="21"/>
    </w:rPr>
  </w:style>
  <w:style w:type="character" w:customStyle="1" w:styleId="89">
    <w:name w:val="tabg"/>
    <w:qFormat/>
    <w:uiPriority w:val="0"/>
    <w:rPr>
      <w:color w:val="FFFFFF"/>
      <w:sz w:val="21"/>
      <w:szCs w:val="21"/>
    </w:rPr>
  </w:style>
  <w:style w:type="character" w:customStyle="1" w:styleId="90">
    <w:name w:val="hover19"/>
    <w:qFormat/>
    <w:uiPriority w:val="0"/>
    <w:rPr>
      <w:color w:val="015293"/>
    </w:rPr>
  </w:style>
  <w:style w:type="character" w:customStyle="1" w:styleId="91">
    <w:name w:val="15"/>
    <w:basedOn w:val="29"/>
    <w:qFormat/>
    <w:uiPriority w:val="0"/>
  </w:style>
  <w:style w:type="character" w:customStyle="1" w:styleId="92">
    <w:name w:val="fontborder"/>
    <w:qFormat/>
    <w:uiPriority w:val="0"/>
    <w:rPr>
      <w:bdr w:val="single" w:color="000000" w:sz="4" w:space="0"/>
    </w:rPr>
  </w:style>
  <w:style w:type="character" w:customStyle="1" w:styleId="93">
    <w:name w:val="样式4 Char Char"/>
    <w:link w:val="94"/>
    <w:qFormat/>
    <w:locked/>
    <w:uiPriority w:val="0"/>
    <w:rPr>
      <w:rFonts w:ascii="宋体" w:hAnsi="宋体"/>
      <w:color w:val="000000"/>
      <w:spacing w:val="-6"/>
      <w:kern w:val="2"/>
      <w:sz w:val="28"/>
      <w:szCs w:val="28"/>
    </w:rPr>
  </w:style>
  <w:style w:type="paragraph" w:customStyle="1" w:styleId="94">
    <w:name w:val="样式4"/>
    <w:basedOn w:val="1"/>
    <w:link w:val="93"/>
    <w:qFormat/>
    <w:uiPriority w:val="0"/>
    <w:pPr>
      <w:autoSpaceDE w:val="0"/>
      <w:autoSpaceDN w:val="0"/>
      <w:adjustRightInd w:val="0"/>
      <w:snapToGrid w:val="0"/>
      <w:spacing w:line="620" w:lineRule="exact"/>
      <w:ind w:firstLine="200" w:firstLineChars="200"/>
    </w:pPr>
    <w:rPr>
      <w:rFonts w:ascii="宋体" w:hAnsi="宋体"/>
      <w:color w:val="000000"/>
      <w:spacing w:val="-6"/>
      <w:sz w:val="28"/>
      <w:szCs w:val="28"/>
    </w:rPr>
  </w:style>
  <w:style w:type="character" w:customStyle="1" w:styleId="95">
    <w:name w:val="表头 Char Char"/>
    <w:qFormat/>
    <w:uiPriority w:val="0"/>
    <w:rPr>
      <w:rFonts w:hAnsi="宋体"/>
      <w:b/>
      <w:kern w:val="24"/>
      <w:sz w:val="24"/>
      <w:szCs w:val="24"/>
    </w:rPr>
  </w:style>
  <w:style w:type="character" w:customStyle="1" w:styleId="96">
    <w:name w:val="textbig1"/>
    <w:qFormat/>
    <w:uiPriority w:val="0"/>
    <w:rPr>
      <w:color w:val="000000"/>
      <w:sz w:val="18"/>
      <w:szCs w:val="18"/>
    </w:rPr>
  </w:style>
  <w:style w:type="character" w:customStyle="1" w:styleId="97">
    <w:name w:val="m01"/>
    <w:qFormat/>
    <w:uiPriority w:val="0"/>
  </w:style>
  <w:style w:type="character" w:customStyle="1" w:styleId="98">
    <w:name w:val="3博创正文 Char"/>
    <w:link w:val="99"/>
    <w:qFormat/>
    <w:uiPriority w:val="0"/>
  </w:style>
  <w:style w:type="paragraph" w:customStyle="1" w:styleId="99">
    <w:name w:val="3博创正文"/>
    <w:basedOn w:val="1"/>
    <w:link w:val="98"/>
    <w:unhideWhenUsed/>
    <w:qFormat/>
    <w:uiPriority w:val="0"/>
  </w:style>
  <w:style w:type="character" w:customStyle="1" w:styleId="100">
    <w:name w:val="bg01"/>
    <w:qFormat/>
    <w:uiPriority w:val="0"/>
  </w:style>
  <w:style w:type="character" w:customStyle="1" w:styleId="101">
    <w:name w:val="Default Char"/>
    <w:link w:val="102"/>
    <w:qFormat/>
    <w:uiPriority w:val="0"/>
    <w:rPr>
      <w:rFonts w:ascii="FangSong_GB2312" w:eastAsia="FangSong_GB2312" w:cs="FangSong_GB2312"/>
      <w:color w:val="000000"/>
      <w:sz w:val="24"/>
      <w:szCs w:val="24"/>
    </w:rPr>
  </w:style>
  <w:style w:type="paragraph" w:customStyle="1" w:styleId="102">
    <w:name w:val="Default"/>
    <w:link w:val="101"/>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character" w:customStyle="1" w:styleId="103">
    <w:name w:val="name"/>
    <w:qFormat/>
    <w:uiPriority w:val="0"/>
    <w:rPr>
      <w:color w:val="6A6A6A"/>
      <w:u w:val="single"/>
    </w:rPr>
  </w:style>
  <w:style w:type="character" w:customStyle="1" w:styleId="104">
    <w:name w:val="laypage_curr"/>
    <w:qFormat/>
    <w:uiPriority w:val="0"/>
    <w:rPr>
      <w:color w:val="FFFDF4"/>
      <w:shd w:val="clear" w:color="auto" w:fill="0B67A6"/>
    </w:rPr>
  </w:style>
  <w:style w:type="character" w:customStyle="1" w:styleId="105">
    <w:name w:val="表格 Char"/>
    <w:link w:val="106"/>
    <w:qFormat/>
    <w:locked/>
    <w:uiPriority w:val="0"/>
    <w:rPr>
      <w:rFonts w:ascii="宋体"/>
      <w:sz w:val="21"/>
    </w:rPr>
  </w:style>
  <w:style w:type="paragraph" w:customStyle="1" w:styleId="106">
    <w:name w:val="表格"/>
    <w:basedOn w:val="1"/>
    <w:next w:val="1"/>
    <w:link w:val="105"/>
    <w:qFormat/>
    <w:uiPriority w:val="0"/>
    <w:pPr>
      <w:adjustRightInd w:val="0"/>
      <w:snapToGrid w:val="0"/>
      <w:spacing w:beforeLines="10" w:afterLines="10" w:line="259" w:lineRule="auto"/>
      <w:jc w:val="center"/>
    </w:pPr>
    <w:rPr>
      <w:rFonts w:ascii="宋体"/>
      <w:kern w:val="0"/>
      <w:szCs w:val="20"/>
    </w:rPr>
  </w:style>
  <w:style w:type="character" w:customStyle="1" w:styleId="107">
    <w:name w:val="fontstrikethrough"/>
    <w:qFormat/>
    <w:uiPriority w:val="0"/>
    <w:rPr>
      <w:strike/>
    </w:rPr>
  </w:style>
  <w:style w:type="character" w:customStyle="1" w:styleId="108">
    <w:name w:val="normal1"/>
    <w:qFormat/>
    <w:uiPriority w:val="0"/>
    <w:rPr>
      <w:b/>
      <w:sz w:val="15"/>
      <w:szCs w:val="15"/>
    </w:rPr>
  </w:style>
  <w:style w:type="character" w:customStyle="1" w:styleId="109">
    <w:name w:val="页脚 字符"/>
    <w:qFormat/>
    <w:uiPriority w:val="99"/>
  </w:style>
  <w:style w:type="character" w:customStyle="1" w:styleId="110">
    <w:name w:val="hover18"/>
    <w:qFormat/>
    <w:uiPriority w:val="0"/>
    <w:rPr>
      <w:color w:val="015293"/>
    </w:rPr>
  </w:style>
  <w:style w:type="character" w:customStyle="1" w:styleId="111">
    <w:name w:val="表头 Char"/>
    <w:link w:val="112"/>
    <w:qFormat/>
    <w:uiPriority w:val="0"/>
    <w:rPr>
      <w:rFonts w:ascii="黑体" w:eastAsia="黑体"/>
      <w:spacing w:val="8"/>
      <w:kern w:val="21"/>
      <w:sz w:val="22"/>
    </w:rPr>
  </w:style>
  <w:style w:type="paragraph" w:customStyle="1" w:styleId="112">
    <w:name w:val="表头"/>
    <w:basedOn w:val="1"/>
    <w:next w:val="1"/>
    <w:link w:val="111"/>
    <w:qFormat/>
    <w:uiPriority w:val="0"/>
    <w:pPr>
      <w:spacing w:before="120" w:after="48" w:afterLines="20" w:line="400" w:lineRule="exact"/>
      <w:ind w:firstLine="590" w:firstLineChars="250"/>
    </w:pPr>
    <w:rPr>
      <w:rFonts w:ascii="黑体" w:eastAsia="黑体"/>
      <w:spacing w:val="8"/>
      <w:kern w:val="21"/>
      <w:sz w:val="22"/>
      <w:szCs w:val="20"/>
    </w:rPr>
  </w:style>
  <w:style w:type="character" w:customStyle="1" w:styleId="113">
    <w:name w:val="font1"/>
    <w:qFormat/>
    <w:uiPriority w:val="0"/>
  </w:style>
  <w:style w:type="character" w:customStyle="1" w:styleId="114">
    <w:name w:val="正文(首行缩进) Char"/>
    <w:link w:val="115"/>
    <w:qFormat/>
    <w:uiPriority w:val="0"/>
    <w:rPr>
      <w:snapToGrid/>
      <w:color w:val="000000"/>
      <w:sz w:val="24"/>
      <w:szCs w:val="21"/>
    </w:rPr>
  </w:style>
  <w:style w:type="paragraph" w:customStyle="1" w:styleId="115">
    <w:name w:val="正文(首行缩进)"/>
    <w:basedOn w:val="1"/>
    <w:next w:val="1"/>
    <w:link w:val="114"/>
    <w:qFormat/>
    <w:uiPriority w:val="0"/>
    <w:pPr>
      <w:spacing w:line="360" w:lineRule="auto"/>
      <w:ind w:firstLine="540" w:firstLineChars="225"/>
    </w:pPr>
    <w:rPr>
      <w:snapToGrid w:val="0"/>
      <w:color w:val="000000"/>
      <w:kern w:val="0"/>
      <w:sz w:val="24"/>
      <w:szCs w:val="21"/>
    </w:rPr>
  </w:style>
  <w:style w:type="character" w:customStyle="1" w:styleId="116">
    <w:name w:val="批注文字 字符1"/>
    <w:semiHidden/>
    <w:qFormat/>
    <w:uiPriority w:val="0"/>
    <w:rPr>
      <w:rFonts w:ascii="Times New Roman" w:hAnsi="Times New Roman" w:eastAsia="宋体"/>
      <w:sz w:val="24"/>
    </w:rPr>
  </w:style>
  <w:style w:type="character" w:customStyle="1" w:styleId="117">
    <w:name w:val="bg02"/>
    <w:qFormat/>
    <w:uiPriority w:val="0"/>
  </w:style>
  <w:style w:type="character" w:customStyle="1" w:styleId="118">
    <w:name w:val="font3"/>
    <w:qFormat/>
    <w:uiPriority w:val="0"/>
  </w:style>
  <w:style w:type="character" w:customStyle="1" w:styleId="119">
    <w:name w:val="font2"/>
    <w:qFormat/>
    <w:uiPriority w:val="0"/>
  </w:style>
  <w:style w:type="character" w:customStyle="1" w:styleId="120">
    <w:name w:val="列表段落 字符"/>
    <w:link w:val="121"/>
    <w:qFormat/>
    <w:uiPriority w:val="99"/>
    <w:rPr>
      <w:kern w:val="2"/>
      <w:sz w:val="21"/>
      <w:szCs w:val="22"/>
    </w:rPr>
  </w:style>
  <w:style w:type="paragraph" w:styleId="121">
    <w:name w:val="List Paragraph"/>
    <w:basedOn w:val="1"/>
    <w:link w:val="120"/>
    <w:qFormat/>
    <w:uiPriority w:val="99"/>
    <w:pPr>
      <w:ind w:firstLine="420" w:firstLineChars="200"/>
    </w:pPr>
    <w:rPr>
      <w:szCs w:val="22"/>
    </w:rPr>
  </w:style>
  <w:style w:type="character" w:customStyle="1" w:styleId="122">
    <w:name w:val="more4"/>
    <w:qFormat/>
    <w:uiPriority w:val="0"/>
    <w:rPr>
      <w:color w:val="666666"/>
      <w:sz w:val="14"/>
      <w:szCs w:val="14"/>
    </w:rPr>
  </w:style>
  <w:style w:type="paragraph" w:customStyle="1" w:styleId="123">
    <w:name w:val="_Style 4"/>
    <w:next w:val="1"/>
    <w:qFormat/>
    <w:uiPriority w:val="1"/>
    <w:pPr>
      <w:widowControl w:val="0"/>
      <w:jc w:val="both"/>
    </w:pPr>
    <w:rPr>
      <w:rFonts w:ascii="Times New Roman" w:hAnsi="Times New Roman" w:eastAsia="FangSong_GB2312" w:cs="Times New Roman"/>
      <w:kern w:val="2"/>
      <w:sz w:val="24"/>
      <w:szCs w:val="22"/>
      <w:lang w:val="en-US" w:eastAsia="zh-CN" w:bidi="ar-SA"/>
    </w:rPr>
  </w:style>
  <w:style w:type="paragraph" w:customStyle="1" w:styleId="124">
    <w:name w:val="表格内容"/>
    <w:qFormat/>
    <w:uiPriority w:val="0"/>
    <w:pPr>
      <w:adjustRightInd w:val="0"/>
      <w:snapToGrid w:val="0"/>
      <w:spacing w:line="360" w:lineRule="exact"/>
      <w:jc w:val="center"/>
    </w:pPr>
    <w:rPr>
      <w:rFonts w:ascii="Times New Roman" w:hAnsi="Times New Roman" w:eastAsia="宋体" w:cs="Times New Roman"/>
      <w:color w:val="000000"/>
      <w:sz w:val="21"/>
      <w:szCs w:val="24"/>
      <w:lang w:val="en-US" w:eastAsia="zh-CN" w:bidi="ar-SA"/>
    </w:rPr>
  </w:style>
  <w:style w:type="paragraph" w:customStyle="1" w:styleId="125">
    <w:name w:val="表头  报告书"/>
    <w:basedOn w:val="1"/>
    <w:qFormat/>
    <w:uiPriority w:val="0"/>
    <w:pPr>
      <w:spacing w:before="50" w:beforeLines="50" w:line="360" w:lineRule="auto"/>
      <w:ind w:firstLine="200" w:firstLineChars="200"/>
      <w:jc w:val="center"/>
    </w:pPr>
    <w:rPr>
      <w:rFonts w:hAnsi="宋体"/>
      <w:b/>
      <w:sz w:val="24"/>
      <w:szCs w:val="21"/>
    </w:rPr>
  </w:style>
  <w:style w:type="paragraph" w:customStyle="1" w:styleId="126">
    <w:name w:val="altdcxsplas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7">
    <w:name w:val="默认段落"/>
    <w:basedOn w:val="1"/>
    <w:qFormat/>
    <w:uiPriority w:val="99"/>
  </w:style>
  <w:style w:type="paragraph" w:customStyle="1" w:styleId="128">
    <w:name w:val="5博创表格"/>
    <w:basedOn w:val="1"/>
    <w:unhideWhenUsed/>
    <w:qFormat/>
    <w:uiPriority w:val="0"/>
    <w:pPr>
      <w:spacing w:line="240" w:lineRule="auto"/>
      <w:ind w:firstLine="0" w:firstLineChars="0"/>
      <w:jc w:val="center"/>
    </w:pPr>
    <w:rPr>
      <w:sz w:val="21"/>
    </w:rPr>
  </w:style>
  <w:style w:type="paragraph" w:customStyle="1" w:styleId="129">
    <w:name w:val="表格居中"/>
    <w:next w:val="1"/>
    <w:qFormat/>
    <w:uiPriority w:val="0"/>
    <w:rPr>
      <w:rFonts w:ascii="Times New Roman" w:hAnsi="Times New Roman" w:eastAsia="宋体" w:cs="Times New Roman"/>
      <w:lang w:val="en-US" w:eastAsia="zh-CN" w:bidi="ar-SA"/>
    </w:rPr>
  </w:style>
  <w:style w:type="paragraph" w:customStyle="1" w:styleId="130">
    <w:name w:val="4博创表格标题"/>
    <w:basedOn w:val="1"/>
    <w:unhideWhenUsed/>
    <w:qFormat/>
    <w:uiPriority w:val="0"/>
    <w:pPr>
      <w:spacing w:line="240" w:lineRule="auto"/>
      <w:ind w:firstLine="0" w:firstLineChars="0"/>
      <w:jc w:val="center"/>
    </w:pPr>
    <w:rPr>
      <w:b/>
    </w:rPr>
  </w:style>
  <w:style w:type="paragraph" w:customStyle="1" w:styleId="131">
    <w:name w:val="样式 样式 首行缩进:  0.85 厘米 + 段前: 0.5 行"/>
    <w:basedOn w:val="1"/>
    <w:qFormat/>
    <w:uiPriority w:val="0"/>
    <w:pPr>
      <w:spacing w:before="50" w:line="360" w:lineRule="auto"/>
      <w:ind w:firstLine="482"/>
    </w:pPr>
    <w:rPr>
      <w:sz w:val="24"/>
      <w:szCs w:val="20"/>
    </w:rPr>
  </w:style>
  <w:style w:type="paragraph" w:customStyle="1" w:styleId="132">
    <w:name w:val="正文（自定义）"/>
    <w:basedOn w:val="1"/>
    <w:qFormat/>
    <w:uiPriority w:val="0"/>
    <w:pPr>
      <w:adjustRightInd w:val="0"/>
      <w:snapToGrid w:val="0"/>
      <w:spacing w:line="480" w:lineRule="exact"/>
      <w:ind w:firstLine="200" w:firstLineChars="200"/>
      <w:jc w:val="left"/>
    </w:pPr>
    <w:rPr>
      <w:rFonts w:ascii="宋体" w:hAnsi="宋体"/>
      <w:kern w:val="0"/>
      <w:sz w:val="25"/>
      <w:szCs w:val="25"/>
      <w:lang w:eastAsia="en-US"/>
    </w:rPr>
  </w:style>
  <w:style w:type="paragraph" w:customStyle="1" w:styleId="133">
    <w:name w:val="表格名称"/>
    <w:basedOn w:val="1"/>
    <w:qFormat/>
    <w:uiPriority w:val="0"/>
    <w:pPr>
      <w:ind w:firstLine="0" w:firstLineChars="0"/>
      <w:jc w:val="center"/>
      <w:outlineLvl w:val="4"/>
    </w:pPr>
    <w:rPr>
      <w:b/>
      <w:szCs w:val="21"/>
    </w:rPr>
  </w:style>
  <w:style w:type="paragraph" w:customStyle="1" w:styleId="134">
    <w:name w:val="@正文缩进"/>
    <w:basedOn w:val="1"/>
    <w:qFormat/>
    <w:uiPriority w:val="0"/>
    <w:pPr>
      <w:pBdr>
        <w:top w:val="none" w:color="auto" w:sz="0" w:space="3"/>
        <w:left w:val="none" w:color="auto" w:sz="0" w:space="4"/>
        <w:bottom w:val="none" w:color="auto" w:sz="0" w:space="1"/>
        <w:right w:val="none" w:color="auto" w:sz="0" w:space="4"/>
      </w:pBdr>
      <w:spacing w:line="360" w:lineRule="auto"/>
      <w:ind w:firstLine="420" w:firstLineChars="200"/>
      <w:textAlignment w:val="baseline"/>
    </w:pPr>
    <w:rPr>
      <w:rFonts w:ascii="Times New Roman" w:hAnsi="Times New Roman"/>
      <w:sz w:val="24"/>
    </w:rPr>
  </w:style>
  <w:style w:type="paragraph" w:customStyle="1" w:styleId="135">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szCs w:val="24"/>
    </w:rPr>
  </w:style>
  <w:style w:type="paragraph" w:customStyle="1" w:styleId="136">
    <w:name w:val="报告表正文"/>
    <w:basedOn w:val="66"/>
    <w:qFormat/>
    <w:uiPriority w:val="0"/>
    <w:pPr>
      <w:adjustRightInd w:val="0"/>
      <w:spacing w:line="312" w:lineRule="auto"/>
      <w:ind w:left="113" w:right="113" w:firstLine="482"/>
      <w:jc w:val="left"/>
      <w:textAlignment w:val="baseline"/>
    </w:pPr>
    <w:rPr>
      <w:rFonts w:ascii="Times New Roman" w:hAnsi="Times New Roman"/>
      <w:kern w:val="0"/>
      <w:sz w:val="24"/>
      <w:szCs w:val="20"/>
    </w:rPr>
  </w:style>
  <w:style w:type="paragraph" w:customStyle="1" w:styleId="137">
    <w:name w:val="Char Char Char Char Char Char Char Char Char1 Char Char Char Char"/>
    <w:basedOn w:val="1"/>
    <w:semiHidden/>
    <w:qFormat/>
    <w:uiPriority w:val="0"/>
    <w:pPr>
      <w:spacing w:line="360" w:lineRule="auto"/>
      <w:ind w:firstLine="200" w:firstLineChars="200"/>
    </w:pPr>
    <w:rPr>
      <w:rFonts w:ascii="宋体" w:hAnsi="宋体" w:cs="宋体"/>
      <w:sz w:val="24"/>
      <w:szCs w:val="26"/>
    </w:rPr>
  </w:style>
  <w:style w:type="paragraph" w:customStyle="1" w:styleId="138">
    <w:name w:val="样式 样式 样式 样式 小四 左 首行缩进:  2 字符 + 首行缩进:  2 字符 Char + 右  0 字符1 + 首行缩...3"/>
    <w:basedOn w:val="1"/>
    <w:qFormat/>
    <w:uiPriority w:val="0"/>
    <w:pPr>
      <w:adjustRightInd w:val="0"/>
      <w:ind w:firstLine="480" w:firstLineChars="200"/>
      <w:jc w:val="left"/>
      <w:textAlignment w:val="baseline"/>
    </w:pPr>
    <w:rPr>
      <w:rFonts w:cs="宋体"/>
      <w:szCs w:val="20"/>
    </w:rPr>
  </w:style>
  <w:style w:type="paragraph" w:customStyle="1" w:styleId="139">
    <w:name w:val="正文文本首行缩进 21"/>
    <w:basedOn w:val="3"/>
    <w:qFormat/>
    <w:uiPriority w:val="99"/>
    <w:pPr>
      <w:ind w:firstLine="420"/>
    </w:pPr>
  </w:style>
  <w:style w:type="paragraph" w:customStyle="1" w:styleId="140">
    <w:name w:val="表格刘"/>
    <w:basedOn w:val="1"/>
    <w:qFormat/>
    <w:uiPriority w:val="0"/>
    <w:pPr>
      <w:adjustRightInd w:val="0"/>
      <w:snapToGrid w:val="0"/>
      <w:spacing w:line="240" w:lineRule="atLeast"/>
      <w:jc w:val="center"/>
    </w:pPr>
    <w:rPr>
      <w:szCs w:val="20"/>
    </w:rPr>
  </w:style>
  <w:style w:type="paragraph" w:customStyle="1" w:styleId="141">
    <w:name w:val="lh-正文-报告表"/>
    <w:basedOn w:val="1"/>
    <w:qFormat/>
    <w:uiPriority w:val="0"/>
    <w:pPr>
      <w:spacing w:line="360" w:lineRule="auto"/>
      <w:ind w:firstLine="480" w:firstLineChars="200"/>
      <w:jc w:val="left"/>
    </w:pPr>
    <w:rPr>
      <w:kern w:val="0"/>
      <w:sz w:val="24"/>
      <w:szCs w:val="21"/>
      <w:lang w:eastAsia="en-US"/>
    </w:rPr>
  </w:style>
  <w:style w:type="paragraph" w:customStyle="1" w:styleId="142">
    <w:name w:val="_Style 115"/>
    <w:basedOn w:val="3"/>
    <w:next w:val="2"/>
    <w:qFormat/>
    <w:uiPriority w:val="0"/>
    <w:pPr>
      <w:adjustRightInd/>
      <w:snapToGrid/>
      <w:spacing w:line="360" w:lineRule="auto"/>
      <w:ind w:firstLine="420"/>
      <w:jc w:val="both"/>
    </w:pPr>
    <w:rPr>
      <w:kern w:val="0"/>
      <w:sz w:val="24"/>
      <w:szCs w:val="24"/>
    </w:rPr>
  </w:style>
  <w:style w:type="paragraph" w:customStyle="1" w:styleId="14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144">
    <w:name w:val="表格内容格式"/>
    <w:basedOn w:val="1"/>
    <w:qFormat/>
    <w:uiPriority w:val="0"/>
    <w:pPr>
      <w:adjustRightInd w:val="0"/>
      <w:spacing w:line="240" w:lineRule="atLeast"/>
      <w:ind w:firstLine="640" w:firstLineChars="200"/>
      <w:textAlignment w:val="baseline"/>
    </w:pPr>
    <w:rPr>
      <w:rFonts w:ascii="宋体" w:hAnsi="宋体"/>
      <w:snapToGrid w:val="0"/>
      <w:color w:val="000000"/>
      <w:kern w:val="0"/>
      <w:sz w:val="28"/>
      <w:szCs w:val="20"/>
    </w:rPr>
  </w:style>
  <w:style w:type="paragraph" w:customStyle="1" w:styleId="145">
    <w:name w:val="公式"/>
    <w:basedOn w:val="1"/>
    <w:next w:val="1"/>
    <w:qFormat/>
    <w:uiPriority w:val="0"/>
    <w:pPr>
      <w:snapToGrid w:val="0"/>
      <w:spacing w:before="120" w:after="120"/>
      <w:jc w:val="center"/>
    </w:pPr>
    <w:rPr>
      <w:rFonts w:eastAsia="FangSong_GB2312"/>
      <w:snapToGrid w:val="0"/>
      <w:color w:val="000000"/>
      <w:sz w:val="30"/>
      <w:szCs w:val="32"/>
    </w:rPr>
  </w:style>
  <w:style w:type="paragraph" w:customStyle="1" w:styleId="146">
    <w:name w:val="char"/>
    <w:basedOn w:val="1"/>
    <w:qFormat/>
    <w:uiPriority w:val="0"/>
    <w:pPr>
      <w:widowControl/>
      <w:spacing w:after="160" w:line="240" w:lineRule="exact"/>
      <w:ind w:firstLine="200" w:firstLineChars="200"/>
      <w:jc w:val="left"/>
    </w:pPr>
    <w:rPr>
      <w:rFonts w:ascii="Verdana" w:hAnsi="Verdana" w:eastAsia="FangSong_GB2312" w:cs="”“Times New Roman”“"/>
      <w:kern w:val="0"/>
      <w:sz w:val="24"/>
      <w:szCs w:val="22"/>
      <w:lang w:eastAsia="en-US"/>
    </w:rPr>
  </w:style>
  <w:style w:type="paragraph" w:customStyle="1" w:styleId="147">
    <w:name w:val="Char2"/>
    <w:basedOn w:val="1"/>
    <w:qFormat/>
    <w:uiPriority w:val="0"/>
    <w:pPr>
      <w:spacing w:after="160" w:line="240" w:lineRule="exact"/>
      <w:jc w:val="left"/>
    </w:pPr>
    <w:rPr>
      <w:rFonts w:ascii="Times New Roman" w:hAnsi="Times New Roman"/>
      <w:szCs w:val="20"/>
    </w:rPr>
  </w:style>
  <w:style w:type="paragraph" w:customStyle="1" w:styleId="148">
    <w:name w:val="Table Paragraph"/>
    <w:basedOn w:val="1"/>
    <w:qFormat/>
    <w:uiPriority w:val="1"/>
    <w:pPr>
      <w:autoSpaceDE w:val="0"/>
      <w:autoSpaceDN w:val="0"/>
      <w:adjustRightInd w:val="0"/>
      <w:jc w:val="left"/>
    </w:pPr>
    <w:rPr>
      <w:kern w:val="0"/>
      <w:sz w:val="24"/>
    </w:rPr>
  </w:style>
  <w:style w:type="paragraph" w:customStyle="1" w:styleId="14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0">
    <w:name w:val="表头字体"/>
    <w:basedOn w:val="1"/>
    <w:qFormat/>
    <w:uiPriority w:val="0"/>
    <w:pPr>
      <w:spacing w:line="360" w:lineRule="auto"/>
      <w:jc w:val="center"/>
    </w:pPr>
    <w:rPr>
      <w:rFonts w:ascii="Times New Roman" w:hAnsi="Times New Roman" w:cs="Times New Roman"/>
      <w:b/>
      <w:sz w:val="24"/>
    </w:rPr>
  </w:style>
  <w:style w:type="paragraph" w:customStyle="1" w:styleId="151">
    <w:name w:val="正文文本缩进1"/>
    <w:basedOn w:val="1"/>
    <w:qFormat/>
    <w:uiPriority w:val="0"/>
    <w:pPr>
      <w:spacing w:line="360" w:lineRule="auto"/>
      <w:ind w:firstLine="420"/>
    </w:pPr>
    <w:rPr>
      <w:rFonts w:ascii="宋体" w:hAnsi="宋体"/>
      <w:sz w:val="24"/>
      <w:szCs w:val="20"/>
    </w:rPr>
  </w:style>
  <w:style w:type="paragraph" w:customStyle="1" w:styleId="152">
    <w:name w:val="文本"/>
    <w:basedOn w:val="1"/>
    <w:qFormat/>
    <w:uiPriority w:val="0"/>
    <w:pPr>
      <w:adjustRightInd w:val="0"/>
      <w:snapToGrid w:val="0"/>
      <w:spacing w:line="360" w:lineRule="auto"/>
      <w:ind w:firstLine="480" w:firstLineChars="200"/>
      <w:jc w:val="left"/>
    </w:pPr>
    <w:rPr>
      <w:sz w:val="24"/>
      <w:szCs w:val="24"/>
    </w:rPr>
  </w:style>
  <w:style w:type="paragraph" w:customStyle="1" w:styleId="153">
    <w:name w:val="No Spacing"/>
    <w:qFormat/>
    <w:uiPriority w:val="0"/>
    <w:pPr>
      <w:widowControl w:val="0"/>
      <w:jc w:val="center"/>
    </w:pPr>
    <w:rPr>
      <w:rFonts w:ascii="宋体" w:hAnsi="Times New Roman" w:eastAsia="宋体" w:cs="Times New Roman"/>
      <w:kern w:val="2"/>
      <w:sz w:val="24"/>
      <w:lang w:val="en-US" w:eastAsia="zh-CN" w:bidi="ar-SA"/>
    </w:rPr>
  </w:style>
  <w:style w:type="paragraph" w:customStyle="1" w:styleId="154">
    <w:name w:val="正文A"/>
    <w:basedOn w:val="155"/>
    <w:qFormat/>
    <w:uiPriority w:val="0"/>
    <w:rPr>
      <w:rFonts w:ascii="Times New Roman" w:hAnsi="Times New Roman" w:eastAsia="宋体"/>
    </w:rPr>
  </w:style>
  <w:style w:type="paragraph" w:customStyle="1" w:styleId="155">
    <w:name w:val="正文!!!!!!!!!!!"/>
    <w:basedOn w:val="156"/>
    <w:qFormat/>
    <w:uiPriority w:val="0"/>
    <w:pPr>
      <w:ind w:firstLine="480"/>
    </w:pPr>
    <w:rPr>
      <w:rFonts w:ascii="华文仿宋" w:hAnsi="华文仿宋" w:eastAsia="华文仿宋" w:cs="华文仿宋"/>
    </w:rPr>
  </w:style>
  <w:style w:type="paragraph" w:customStyle="1" w:styleId="156">
    <w:name w:val="正文 楷体"/>
    <w:basedOn w:val="1"/>
    <w:qFormat/>
    <w:uiPriority w:val="0"/>
    <w:pPr>
      <w:spacing w:line="500" w:lineRule="exact"/>
      <w:ind w:firstLine="200" w:firstLineChars="200"/>
    </w:pPr>
    <w:rPr>
      <w:rFonts w:ascii="楷体_GB2312" w:hAnsi="楷体_GB2312" w:eastAsia="楷体_GB2312" w:cs="宋体"/>
      <w:sz w:val="24"/>
      <w:szCs w:val="24"/>
    </w:rPr>
  </w:style>
  <w:style w:type="paragraph" w:customStyle="1" w:styleId="157">
    <w:name w:val="我"/>
    <w:basedOn w:val="1"/>
    <w:qFormat/>
    <w:uiPriority w:val="0"/>
    <w:pPr>
      <w:ind w:firstLine="640"/>
    </w:pPr>
    <w:rPr>
      <w:kern w:val="0"/>
      <w:szCs w:val="20"/>
    </w:rPr>
  </w:style>
  <w:style w:type="paragraph" w:customStyle="1" w:styleId="158">
    <w:name w:val="表内文字"/>
    <w:basedOn w:val="1"/>
    <w:qFormat/>
    <w:uiPriority w:val="1"/>
    <w:pPr>
      <w:spacing w:line="240" w:lineRule="auto"/>
      <w:ind w:firstLine="0" w:firstLineChars="0"/>
      <w:jc w:val="center"/>
    </w:pPr>
    <w:rPr>
      <w:rFonts w:ascii="宋体" w:hAnsi="宋体" w:cs="宋体"/>
      <w:sz w:val="21"/>
      <w:szCs w:val="24"/>
      <w:lang w:val="zh-CN" w:bidi="zh-CN"/>
    </w:rPr>
  </w:style>
  <w:style w:type="table" w:customStyle="1" w:styleId="159">
    <w:name w:val="网格型1"/>
    <w:basedOn w:val="27"/>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
    <w:name w:val="Table Normal"/>
    <w:unhideWhenUsed/>
    <w:qFormat/>
    <w:uiPriority w:val="0"/>
    <w:tblPr>
      <w:tblCellMar>
        <w:top w:w="0" w:type="dxa"/>
        <w:left w:w="0" w:type="dxa"/>
        <w:bottom w:w="0" w:type="dxa"/>
        <w:right w:w="0" w:type="dxa"/>
      </w:tblCellMar>
    </w:tblPr>
  </w:style>
  <w:style w:type="paragraph" w:customStyle="1" w:styleId="161">
    <w:name w:val="样式1"/>
    <w:basedOn w:val="24"/>
    <w:qFormat/>
    <w:uiPriority w:val="99"/>
    <w:pPr>
      <w:ind w:firstLine="480"/>
      <w:jc w:val="both"/>
    </w:pPr>
    <w:rPr>
      <w:rFonts w:eastAsia="仿宋_GB2312" w:cs="Times New Roman"/>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1.jpeg"/><Relationship Id="rId22" Type="http://schemas.openxmlformats.org/officeDocument/2006/relationships/image" Target="media/image10.wmf"/><Relationship Id="rId21" Type="http://schemas.openxmlformats.org/officeDocument/2006/relationships/image" Target="media/image9.w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8.wmf"/><Relationship Id="rId17" Type="http://schemas.openxmlformats.org/officeDocument/2006/relationships/oleObject" Target="embeddings/oleObject3.bin"/><Relationship Id="rId16" Type="http://schemas.openxmlformats.org/officeDocument/2006/relationships/image" Target="media/image7.wmf"/><Relationship Id="rId15" Type="http://schemas.openxmlformats.org/officeDocument/2006/relationships/oleObject" Target="embeddings/oleObject2.bin"/><Relationship Id="rId14" Type="http://schemas.openxmlformats.org/officeDocument/2006/relationships/image" Target="media/image6.wmf"/><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79</Pages>
  <Words>32721</Words>
  <Characters>37818</Characters>
  <Lines>241</Lines>
  <Paragraphs>68</Paragraphs>
  <TotalTime>1</TotalTime>
  <ScaleCrop>false</ScaleCrop>
  <LinksUpToDate>false</LinksUpToDate>
  <CharactersWithSpaces>37995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刘彦辰</cp:lastModifiedBy>
  <cp:lastPrinted>2021-07-01T11:51:00Z</cp:lastPrinted>
  <dcterms:modified xsi:type="dcterms:W3CDTF">2022-11-09T12:50:40Z</dcterms:modified>
  <dc:title>附件2</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D7A4DA76FF3B490DA8635E2E9FE6ADD4</vt:lpwstr>
  </property>
</Properties>
</file>