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0" w:name="_Hlk81493718"/>
      <w:bookmarkEnd w:id="0"/>
      <w:bookmarkStart w:id="1" w:name="_Hlk57883707"/>
    </w:p>
    <w:bookmarkEnd w:id="1"/>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（生态影响类）</w:t>
      </w:r>
    </w:p>
    <w:p>
      <w:pPr>
        <w:adjustRightInd w:val="0"/>
        <w:snapToGrid w:val="0"/>
        <w:spacing w:before="192" w:beforeLines="80"/>
        <w:jc w:val="center"/>
        <w:rPr>
          <w:rFonts w:ascii="楷体_GB2312" w:eastAsia="楷体_GB2312"/>
          <w:bCs/>
          <w:sz w:val="48"/>
          <w:szCs w:val="48"/>
        </w:rPr>
      </w:pPr>
    </w:p>
    <w:p>
      <w:pPr>
        <w:ind w:firstLine="1040"/>
        <w:rPr>
          <w:rFonts w:eastAsia="仿宋"/>
          <w:sz w:val="44"/>
          <w:szCs w:val="44"/>
        </w:rPr>
      </w:pPr>
      <w:bookmarkStart w:id="2" w:name="_Hlk57883728"/>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bookmarkEnd w:id="2"/>
    <w:p>
      <w:pPr>
        <w:ind w:firstLine="1040"/>
        <w:rPr>
          <w:rFonts w:eastAsia="仿宋"/>
          <w:sz w:val="44"/>
          <w:szCs w:val="44"/>
        </w:rPr>
      </w:pPr>
    </w:p>
    <w:p>
      <w:pPr>
        <w:adjustRightInd w:val="0"/>
        <w:snapToGrid w:val="0"/>
        <w:spacing w:line="288" w:lineRule="auto"/>
        <w:ind w:left="2591" w:leftChars="472" w:hanging="1600" w:hangingChars="500"/>
        <w:rPr>
          <w:rFonts w:ascii="仿宋_GB2312" w:eastAsia="仿宋_GB2312"/>
          <w:sz w:val="32"/>
          <w:szCs w:val="32"/>
          <w:u w:val="single"/>
        </w:rPr>
      </w:pPr>
      <w:r>
        <w:rPr>
          <w:rFonts w:hint="eastAsia" w:ascii="仿宋_GB2312" w:eastAsia="仿宋_GB2312"/>
          <w:sz w:val="32"/>
          <w:szCs w:val="32"/>
        </w:rPr>
        <w:t>项目名称：</w:t>
      </w:r>
      <w:bookmarkStart w:id="3" w:name="_Hlk102990969"/>
      <w:r>
        <w:rPr>
          <w:rFonts w:hint="eastAsia" w:ascii="仿宋_GB2312" w:eastAsia="仿宋_GB2312"/>
          <w:spacing w:val="4"/>
          <w:sz w:val="32"/>
          <w:szCs w:val="32"/>
          <w:u w:val="single"/>
        </w:rPr>
        <w:t>车排46井勘探钻探项目</w:t>
      </w:r>
      <w:bookmarkEnd w:id="3"/>
      <w:r>
        <w:rPr>
          <w:rFonts w:hint="eastAsia" w:ascii="仿宋_GB2312" w:eastAsia="仿宋_GB2312"/>
          <w:spacing w:val="4"/>
          <w:sz w:val="32"/>
          <w:szCs w:val="32"/>
          <w:u w:val="single"/>
        </w:rPr>
        <w:t xml:space="preserve"> </w:t>
      </w:r>
      <w:r>
        <w:rPr>
          <w:rFonts w:ascii="仿宋_GB2312" w:eastAsia="仿宋_GB2312"/>
          <w:spacing w:val="4"/>
          <w:sz w:val="32"/>
          <w:szCs w:val="32"/>
          <w:u w:val="single"/>
        </w:rPr>
        <w:t xml:space="preserve">                   </w:t>
      </w:r>
    </w:p>
    <w:p>
      <w:pPr>
        <w:adjustRightInd w:val="0"/>
        <w:snapToGrid w:val="0"/>
        <w:spacing w:line="288" w:lineRule="auto"/>
        <w:ind w:firstLine="1040"/>
        <w:rPr>
          <w:rFonts w:ascii="仿宋_GB2312" w:eastAsia="仿宋_GB2312"/>
          <w:sz w:val="32"/>
          <w:szCs w:val="32"/>
          <w:u w:val="single"/>
        </w:rPr>
      </w:pPr>
      <w:r>
        <w:rPr>
          <w:rFonts w:hint="eastAsia" w:ascii="仿宋_GB2312" w:eastAsia="仿宋_GB2312"/>
          <w:sz w:val="32"/>
          <w:szCs w:val="32"/>
        </w:rPr>
        <w:t>建设单位（盖章）：</w:t>
      </w:r>
      <w:r>
        <w:rPr>
          <w:rFonts w:hint="eastAsia" w:ascii="仿宋_GB2312" w:eastAsia="仿宋_GB2312"/>
          <w:sz w:val="32"/>
          <w:szCs w:val="32"/>
          <w:u w:val="single"/>
        </w:rPr>
        <w:t xml:space="preserve">中国石油新疆油田分公司勘探事业部 </w:t>
      </w:r>
      <w:r>
        <w:rPr>
          <w:rFonts w:ascii="仿宋_GB2312" w:eastAsia="仿宋_GB2312"/>
          <w:sz w:val="32"/>
          <w:szCs w:val="32"/>
          <w:u w:val="single"/>
        </w:rPr>
        <w:t xml:space="preserve">  </w:t>
      </w:r>
    </w:p>
    <w:p>
      <w:pPr>
        <w:adjustRightInd w:val="0"/>
        <w:snapToGrid w:val="0"/>
        <w:spacing w:line="288" w:lineRule="auto"/>
        <w:ind w:firstLine="1040"/>
        <w:rPr>
          <w:rFonts w:ascii="仿宋_GB2312" w:eastAsia="仿宋_GB2312"/>
          <w:sz w:val="32"/>
          <w:szCs w:val="32"/>
          <w:u w:val="single"/>
        </w:rPr>
      </w:pPr>
      <w:r>
        <w:rPr>
          <w:rFonts w:hint="eastAsia" w:ascii="仿宋_GB2312" w:eastAsia="仿宋_GB2312"/>
          <w:sz w:val="32"/>
          <w:szCs w:val="32"/>
        </w:rPr>
        <w:t>编制日期：</w:t>
      </w:r>
      <w:r>
        <w:rPr>
          <w:rFonts w:ascii="仿宋_GB2312" w:eastAsia="仿宋_GB2312"/>
          <w:sz w:val="32"/>
          <w:szCs w:val="32"/>
          <w:u w:val="single"/>
        </w:rPr>
        <w:t>2022</w:t>
      </w:r>
      <w:r>
        <w:rPr>
          <w:rFonts w:hint="eastAsia" w:ascii="仿宋_GB2312" w:eastAsia="仿宋_GB2312"/>
          <w:sz w:val="32"/>
          <w:szCs w:val="32"/>
          <w:u w:val="single"/>
        </w:rPr>
        <w:t>年0</w:t>
      </w:r>
      <w:r>
        <w:rPr>
          <w:rFonts w:ascii="仿宋_GB2312" w:eastAsia="仿宋_GB2312"/>
          <w:sz w:val="32"/>
          <w:szCs w:val="32"/>
          <w:u w:val="single"/>
        </w:rPr>
        <w:t>9</w:t>
      </w:r>
      <w:r>
        <w:rPr>
          <w:rFonts w:hint="eastAsia" w:ascii="仿宋_GB2312" w:eastAsia="仿宋_GB2312"/>
          <w:sz w:val="32"/>
          <w:szCs w:val="32"/>
          <w:u w:val="single"/>
        </w:rPr>
        <w:t xml:space="preserve">月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adjustRightInd w:val="0"/>
        <w:snapToGrid w:val="0"/>
        <w:spacing w:line="288" w:lineRule="auto"/>
        <w:ind w:firstLine="1040"/>
        <w:rPr>
          <w:rFonts w:ascii="仿宋_GB2312" w:eastAsia="仿宋_GB2312"/>
          <w:sz w:val="36"/>
          <w:szCs w:val="36"/>
          <w:u w:val="single"/>
        </w:rPr>
      </w:pPr>
    </w:p>
    <w:p>
      <w:pPr>
        <w:tabs>
          <w:tab w:val="left" w:pos="2444"/>
        </w:tabs>
        <w:adjustRightInd w:val="0"/>
        <w:snapToGrid w:val="0"/>
        <w:spacing w:line="288" w:lineRule="auto"/>
        <w:ind w:firstLine="1040"/>
        <w:rPr>
          <w:rFonts w:ascii="仿宋_GB2312" w:eastAsia="仿宋_GB2312"/>
          <w:sz w:val="36"/>
          <w:szCs w:val="36"/>
        </w:rPr>
      </w:pPr>
      <w:r>
        <w:rPr>
          <w:rFonts w:ascii="仿宋_GB2312" w:eastAsia="仿宋_GB2312"/>
          <w:sz w:val="36"/>
          <w:szCs w:val="36"/>
        </w:rPr>
        <w:tab/>
      </w: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jc w:val="center"/>
        <w:rPr>
          <w:sz w:val="24"/>
        </w:rPr>
      </w:pPr>
      <w:r>
        <w:rPr>
          <w:rFonts w:hint="eastAsia" w:ascii="楷体_GB2312" w:eastAsia="楷体_GB2312"/>
          <w:sz w:val="36"/>
          <w:szCs w:val="36"/>
        </w:rPr>
        <w:t>中华人民共和国生态环境部制</w:t>
      </w:r>
    </w:p>
    <w:p>
      <w:pPr>
        <w:widowControl/>
        <w:jc w:val="left"/>
      </w:pPr>
      <w:r>
        <w:br w:type="page"/>
      </w:r>
    </w:p>
    <w:p>
      <w:pPr>
        <w:widowControl/>
        <w:spacing w:line="343" w:lineRule="auto"/>
        <w:sectPr>
          <w:footerReference r:id="rId5" w:type="first"/>
          <w:footerReference r:id="rId3" w:type="default"/>
          <w:footerReference r:id="rId4" w:type="even"/>
          <w:pgSz w:w="11910" w:h="16840"/>
          <w:pgMar w:top="1580" w:right="1320" w:bottom="1240" w:left="1420" w:header="720" w:footer="1055" w:gutter="0"/>
          <w:cols w:space="720" w:num="1"/>
        </w:sectPr>
      </w:pPr>
      <w:bookmarkStart w:id="58" w:name="_GoBack"/>
      <w:bookmarkEnd w:id="58"/>
    </w:p>
    <w:p>
      <w:pPr>
        <w:pStyle w:val="2"/>
        <w:rPr>
          <w:snapToGrid w:val="0"/>
          <w:color w:val="auto"/>
        </w:rPr>
      </w:pPr>
      <w:r>
        <w:rPr>
          <w:rFonts w:hint="eastAsia"/>
          <w:snapToGrid w:val="0"/>
          <w:color w:val="auto"/>
        </w:rPr>
        <w:t>一、建设项目基本情况</w:t>
      </w:r>
    </w:p>
    <w:tbl>
      <w:tblPr>
        <w:tblStyle w:val="17"/>
        <w:tblW w:w="86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41"/>
        <w:gridCol w:w="430"/>
        <w:gridCol w:w="545"/>
        <w:gridCol w:w="159"/>
        <w:gridCol w:w="992"/>
        <w:gridCol w:w="1134"/>
        <w:gridCol w:w="1985"/>
        <w:gridCol w:w="2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975" w:type="dxa"/>
            <w:gridSpan w:val="4"/>
            <w:tcMar>
              <w:top w:w="16" w:type="dxa"/>
              <w:left w:w="16" w:type="dxa"/>
              <w:right w:w="16" w:type="dxa"/>
            </w:tcMar>
            <w:vAlign w:val="center"/>
          </w:tcPr>
          <w:p>
            <w:pPr>
              <w:adjustRightInd w:val="0"/>
              <w:snapToGrid w:val="0"/>
              <w:jc w:val="center"/>
              <w:rPr>
                <w:rFonts w:ascii="宋体" w:hAnsi="宋体" w:cs="宋体"/>
                <w:sz w:val="24"/>
              </w:rPr>
            </w:pPr>
            <w:bookmarkStart w:id="4" w:name="_Hlk75966669"/>
            <w:r>
              <w:rPr>
                <w:rFonts w:hint="eastAsia" w:ascii="宋体" w:hAnsi="宋体" w:cs="宋体"/>
                <w:sz w:val="24"/>
              </w:rPr>
              <w:t>建设项目名称</w:t>
            </w:r>
          </w:p>
        </w:tc>
        <w:tc>
          <w:tcPr>
            <w:tcW w:w="6662" w:type="dxa"/>
            <w:gridSpan w:val="4"/>
            <w:vAlign w:val="center"/>
          </w:tcPr>
          <w:p>
            <w:pPr>
              <w:adjustRightInd w:val="0"/>
              <w:snapToGrid w:val="0"/>
              <w:jc w:val="center"/>
              <w:rPr>
                <w:rFonts w:ascii="宋体" w:hAnsi="宋体" w:cs="宋体"/>
                <w:sz w:val="24"/>
              </w:rPr>
            </w:pPr>
            <w:r>
              <w:rPr>
                <w:rFonts w:hint="eastAsia" w:ascii="宋体" w:hAnsi="宋体" w:cs="宋体"/>
                <w:sz w:val="24"/>
              </w:rPr>
              <w:t>车排46井勘探钻探项目</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3" w:hRule="atLeast"/>
          <w:jc w:val="center"/>
        </w:trPr>
        <w:tc>
          <w:tcPr>
            <w:tcW w:w="1975" w:type="dxa"/>
            <w:gridSpan w:val="4"/>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项目代码</w:t>
            </w:r>
          </w:p>
        </w:tc>
        <w:tc>
          <w:tcPr>
            <w:tcW w:w="6662" w:type="dxa"/>
            <w:gridSpan w:val="4"/>
            <w:vAlign w:val="center"/>
          </w:tcPr>
          <w:p>
            <w:pPr>
              <w:adjustRightInd w:val="0"/>
              <w:snapToGrid w:val="0"/>
              <w:jc w:val="center"/>
              <w:rPr>
                <w:rFonts w:ascii="宋体" w:hAnsi="宋体" w:cs="宋体"/>
                <w:sz w:val="24"/>
              </w:rPr>
            </w:pPr>
            <w:r>
              <w:rPr>
                <w:rFonts w:hint="eastAsia" w:ascii="宋体" w:hAnsi="宋体" w:cs="宋体"/>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2" w:hRule="atLeast"/>
          <w:jc w:val="center"/>
        </w:trPr>
        <w:tc>
          <w:tcPr>
            <w:tcW w:w="1975" w:type="dxa"/>
            <w:gridSpan w:val="4"/>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建设单位联系人</w:t>
            </w:r>
          </w:p>
        </w:tc>
        <w:tc>
          <w:tcPr>
            <w:tcW w:w="2126" w:type="dxa"/>
            <w:gridSpan w:val="2"/>
            <w:vAlign w:val="center"/>
          </w:tcPr>
          <w:p>
            <w:pPr>
              <w:adjustRightInd w:val="0"/>
              <w:snapToGrid w:val="0"/>
              <w:jc w:val="center"/>
              <w:rPr>
                <w:rFonts w:ascii="宋体" w:hAnsi="宋体" w:cs="宋体"/>
                <w:sz w:val="24"/>
              </w:rPr>
            </w:pPr>
            <w:r>
              <w:rPr>
                <w:rFonts w:hint="eastAsia"/>
                <w:sz w:val="24"/>
              </w:rPr>
              <w:t>付连明</w:t>
            </w:r>
          </w:p>
        </w:tc>
        <w:tc>
          <w:tcPr>
            <w:tcW w:w="1985" w:type="dxa"/>
            <w:vAlign w:val="center"/>
          </w:tcPr>
          <w:p>
            <w:pPr>
              <w:adjustRightInd w:val="0"/>
              <w:snapToGrid w:val="0"/>
              <w:jc w:val="center"/>
              <w:rPr>
                <w:rFonts w:ascii="宋体" w:hAnsi="宋体" w:cs="宋体"/>
                <w:sz w:val="24"/>
              </w:rPr>
            </w:pPr>
            <w:r>
              <w:rPr>
                <w:rFonts w:hint="eastAsia" w:ascii="宋体" w:hAnsi="宋体" w:cs="宋体"/>
                <w:sz w:val="24"/>
              </w:rPr>
              <w:t>联系方式</w:t>
            </w:r>
          </w:p>
        </w:tc>
        <w:tc>
          <w:tcPr>
            <w:tcW w:w="2551" w:type="dxa"/>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2" w:hRule="atLeast"/>
          <w:jc w:val="center"/>
        </w:trPr>
        <w:tc>
          <w:tcPr>
            <w:tcW w:w="1975" w:type="dxa"/>
            <w:gridSpan w:val="4"/>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建设地点</w:t>
            </w:r>
          </w:p>
        </w:tc>
        <w:tc>
          <w:tcPr>
            <w:tcW w:w="6662" w:type="dxa"/>
            <w:gridSpan w:val="4"/>
            <w:vAlign w:val="center"/>
          </w:tcPr>
          <w:p>
            <w:pPr>
              <w:adjustRightInd w:val="0"/>
              <w:snapToGrid w:val="0"/>
              <w:jc w:val="center"/>
              <w:rPr>
                <w:rFonts w:ascii="宋体" w:hAnsi="宋体"/>
                <w:sz w:val="24"/>
                <w:highlight w:val="yellow"/>
              </w:rPr>
            </w:pPr>
            <w:r>
              <w:rPr>
                <w:rFonts w:hint="eastAsia" w:ascii="宋体" w:hAnsi="宋体" w:cs="宋体"/>
                <w:sz w:val="24"/>
              </w:rPr>
              <w:t>新疆生产建设兵团第七师</w:t>
            </w:r>
            <w:r>
              <w:rPr>
                <w:rFonts w:ascii="宋体" w:hAnsi="宋体" w:cs="宋体"/>
                <w:sz w:val="24"/>
              </w:rPr>
              <w:t>130</w:t>
            </w:r>
            <w:r>
              <w:rPr>
                <w:rFonts w:hint="eastAsia" w:ascii="宋体" w:hAnsi="宋体" w:cs="宋体"/>
                <w:sz w:val="24"/>
              </w:rPr>
              <w:t>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9" w:hRule="atLeast"/>
          <w:jc w:val="center"/>
        </w:trPr>
        <w:tc>
          <w:tcPr>
            <w:tcW w:w="1975" w:type="dxa"/>
            <w:gridSpan w:val="4"/>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地理坐标</w:t>
            </w:r>
          </w:p>
        </w:tc>
        <w:tc>
          <w:tcPr>
            <w:tcW w:w="6662" w:type="dxa"/>
            <w:gridSpan w:val="4"/>
            <w:vAlign w:val="center"/>
          </w:tcPr>
          <w:p>
            <w:pPr>
              <w:adjustRightInd w:val="0"/>
              <w:snapToGrid w:val="0"/>
              <w:jc w:val="center"/>
              <w:rPr>
                <w:rFonts w:ascii="宋体" w:hAnsi="宋体" w:cs="宋体"/>
                <w:spacing w:val="-20"/>
                <w:sz w:val="24"/>
              </w:rPr>
            </w:pPr>
            <w:r>
              <w:rPr>
                <w:rFonts w:hint="eastAsia" w:ascii="宋体" w:hAnsi="宋体" w:cs="宋体"/>
                <w:spacing w:val="-20"/>
                <w:sz w:val="24"/>
              </w:rPr>
              <w:t>东经：</w:t>
            </w:r>
            <w:r>
              <w:rPr>
                <w:rFonts w:ascii="宋体" w:hAnsi="宋体" w:cs="宋体"/>
                <w:spacing w:val="-20"/>
                <w:sz w:val="24"/>
              </w:rPr>
              <w:t xml:space="preserve">  </w:t>
            </w:r>
            <w:r>
              <w:rPr>
                <w:rFonts w:hint="eastAsia" w:ascii="宋体" w:hAnsi="宋体" w:cs="宋体"/>
                <w:spacing w:val="-20"/>
                <w:sz w:val="24"/>
              </w:rPr>
              <w:t>度</w:t>
            </w:r>
            <w:r>
              <w:rPr>
                <w:rFonts w:ascii="宋体" w:hAnsi="宋体" w:cs="宋体"/>
                <w:spacing w:val="-20"/>
                <w:sz w:val="24"/>
              </w:rPr>
              <w:t xml:space="preserve">  </w:t>
            </w:r>
            <w:r>
              <w:rPr>
                <w:rFonts w:hint="eastAsia" w:ascii="宋体" w:hAnsi="宋体" w:cs="宋体"/>
                <w:spacing w:val="-20"/>
                <w:sz w:val="24"/>
              </w:rPr>
              <w:t>分</w:t>
            </w:r>
            <w:r>
              <w:rPr>
                <w:rFonts w:ascii="宋体" w:hAnsi="宋体" w:cs="宋体"/>
                <w:spacing w:val="-20"/>
                <w:sz w:val="24"/>
              </w:rPr>
              <w:t xml:space="preserve">   </w:t>
            </w:r>
            <w:r>
              <w:rPr>
                <w:rFonts w:hint="eastAsia" w:ascii="宋体" w:hAnsi="宋体" w:cs="宋体"/>
                <w:spacing w:val="-20"/>
                <w:sz w:val="24"/>
              </w:rPr>
              <w:t>秒，北纬：</w:t>
            </w:r>
            <w:r>
              <w:rPr>
                <w:rFonts w:ascii="宋体" w:hAnsi="宋体" w:cs="宋体"/>
                <w:spacing w:val="-20"/>
                <w:sz w:val="24"/>
              </w:rPr>
              <w:t xml:space="preserve">  </w:t>
            </w:r>
            <w:r>
              <w:rPr>
                <w:rFonts w:hint="eastAsia" w:ascii="宋体" w:hAnsi="宋体" w:cs="宋体"/>
                <w:spacing w:val="-20"/>
                <w:sz w:val="24"/>
              </w:rPr>
              <w:t>度</w:t>
            </w:r>
            <w:r>
              <w:rPr>
                <w:rFonts w:ascii="宋体" w:hAnsi="宋体" w:cs="宋体"/>
                <w:spacing w:val="-20"/>
                <w:sz w:val="24"/>
              </w:rPr>
              <w:t xml:space="preserve">  </w:t>
            </w:r>
            <w:r>
              <w:rPr>
                <w:rFonts w:hint="eastAsia" w:ascii="宋体" w:hAnsi="宋体" w:cs="宋体"/>
                <w:spacing w:val="-20"/>
                <w:sz w:val="24"/>
              </w:rPr>
              <w:t>分</w:t>
            </w:r>
            <w:r>
              <w:rPr>
                <w:rFonts w:ascii="宋体" w:hAnsi="宋体" w:cs="宋体"/>
                <w:spacing w:val="-20"/>
                <w:sz w:val="24"/>
              </w:rPr>
              <w:t xml:space="preserve">   </w:t>
            </w:r>
            <w:r>
              <w:rPr>
                <w:rFonts w:hint="eastAsia" w:ascii="宋体" w:hAnsi="宋体" w:cs="宋体"/>
                <w:spacing w:val="-20"/>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1975" w:type="dxa"/>
            <w:gridSpan w:val="4"/>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建设项目</w:t>
            </w:r>
          </w:p>
          <w:p>
            <w:pPr>
              <w:adjustRightInd w:val="0"/>
              <w:snapToGrid w:val="0"/>
              <w:jc w:val="center"/>
              <w:rPr>
                <w:rFonts w:ascii="宋体" w:hAnsi="宋体" w:cs="宋体"/>
                <w:sz w:val="24"/>
              </w:rPr>
            </w:pPr>
            <w:r>
              <w:rPr>
                <w:rFonts w:hint="eastAsia" w:ascii="宋体" w:hAnsi="宋体" w:cs="宋体"/>
                <w:sz w:val="24"/>
              </w:rPr>
              <w:t>行业类别</w:t>
            </w:r>
          </w:p>
        </w:tc>
        <w:tc>
          <w:tcPr>
            <w:tcW w:w="2126" w:type="dxa"/>
            <w:gridSpan w:val="2"/>
            <w:vAlign w:val="center"/>
          </w:tcPr>
          <w:p>
            <w:pPr>
              <w:adjustRightInd w:val="0"/>
              <w:snapToGrid w:val="0"/>
              <w:ind w:left="-7" w:leftChars="-27" w:hanging="50" w:hangingChars="21"/>
              <w:rPr>
                <w:rFonts w:ascii="宋体" w:hAnsi="宋体" w:cs="宋体"/>
                <w:sz w:val="24"/>
              </w:rPr>
            </w:pPr>
            <w:r>
              <w:rPr>
                <w:rFonts w:hint="eastAsia" w:ascii="宋体" w:hAnsi="宋体" w:cs="宋体"/>
                <w:sz w:val="24"/>
              </w:rPr>
              <w:t>四十六、专业技术服务业—99陆地矿产资源地质勘查（含油气资源勘探）；二氧化碳地质封存</w:t>
            </w:r>
          </w:p>
        </w:tc>
        <w:tc>
          <w:tcPr>
            <w:tcW w:w="1985" w:type="dxa"/>
            <w:vAlign w:val="center"/>
          </w:tcPr>
          <w:p>
            <w:pPr>
              <w:adjustRightInd w:val="0"/>
              <w:snapToGrid w:val="0"/>
              <w:jc w:val="center"/>
              <w:rPr>
                <w:rFonts w:ascii="宋体" w:hAnsi="宋体" w:cs="宋体"/>
                <w:sz w:val="24"/>
              </w:rPr>
            </w:pPr>
            <w:r>
              <w:rPr>
                <w:rFonts w:hint="eastAsia" w:ascii="宋体" w:hAnsi="宋体" w:cs="宋体"/>
                <w:sz w:val="24"/>
              </w:rPr>
              <w:t>用地面积（</w:t>
            </w:r>
            <w:r>
              <w:rPr>
                <w:rFonts w:ascii="宋体" w:hAnsi="宋体" w:cs="宋体"/>
                <w:sz w:val="24"/>
              </w:rPr>
              <w:t>m</w:t>
            </w:r>
            <w:r>
              <w:rPr>
                <w:rFonts w:ascii="宋体" w:hAnsi="宋体" w:cs="宋体"/>
                <w:sz w:val="24"/>
                <w:vertAlign w:val="superscript"/>
              </w:rPr>
              <w:t>2</w:t>
            </w:r>
            <w:r>
              <w:rPr>
                <w:rFonts w:hint="eastAsia" w:ascii="宋体" w:hAnsi="宋体" w:cs="宋体"/>
                <w:sz w:val="24"/>
              </w:rPr>
              <w:t>）</w:t>
            </w:r>
          </w:p>
        </w:tc>
        <w:tc>
          <w:tcPr>
            <w:tcW w:w="2551" w:type="dxa"/>
            <w:vAlign w:val="center"/>
          </w:tcPr>
          <w:p>
            <w:pPr>
              <w:adjustRightInd w:val="0"/>
              <w:snapToGrid w:val="0"/>
              <w:jc w:val="center"/>
              <w:rPr>
                <w:rFonts w:ascii="宋体" w:hAnsi="宋体" w:cs="宋体"/>
                <w:sz w:val="24"/>
                <w:vertAlign w:val="superscript"/>
              </w:rPr>
            </w:pPr>
            <w:r>
              <w:rPr>
                <w:rFonts w:ascii="宋体" w:hAnsi="宋体" w:cs="宋体"/>
                <w:sz w:val="24"/>
              </w:rPr>
              <w:t>12877</w:t>
            </w:r>
            <w:r>
              <w:rPr>
                <w:rFonts w:hint="eastAsia" w:ascii="宋体" w:hAnsi="宋体" w:cs="宋体"/>
                <w:sz w:val="24"/>
              </w:rPr>
              <w:t>（临时占地）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1975" w:type="dxa"/>
            <w:gridSpan w:val="4"/>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建设性质</w:t>
            </w:r>
          </w:p>
        </w:tc>
        <w:tc>
          <w:tcPr>
            <w:tcW w:w="2126" w:type="dxa"/>
            <w:gridSpan w:val="2"/>
            <w:vAlign w:val="center"/>
          </w:tcPr>
          <w:p>
            <w:pPr>
              <w:adjustRightInd w:val="0"/>
              <w:snapToGrid w:val="0"/>
              <w:jc w:val="left"/>
              <w:rPr>
                <w:rFonts w:ascii="宋体" w:hAnsi="宋体" w:cs="宋体"/>
                <w:sz w:val="24"/>
              </w:rPr>
            </w:pPr>
            <w:r>
              <w:rPr>
                <w:rFonts w:hint="eastAsia" w:ascii="宋体" w:hAnsi="宋体" w:cs="宋体"/>
                <w:sz w:val="24"/>
              </w:rPr>
              <w:t>☑新建（迁建）</w:t>
            </w:r>
          </w:p>
          <w:p>
            <w:pPr>
              <w:adjustRightInd w:val="0"/>
              <w:snapToGrid w:val="0"/>
              <w:jc w:val="left"/>
              <w:rPr>
                <w:rFonts w:ascii="宋体" w:hAnsi="宋体" w:cs="宋体"/>
                <w:sz w:val="24"/>
              </w:rPr>
            </w:pPr>
            <w:r>
              <w:rPr>
                <w:rFonts w:hint="eastAsia" w:ascii="宋体" w:hAnsi="宋体" w:cs="宋体"/>
                <w:sz w:val="24"/>
              </w:rPr>
              <w:t>□改建</w:t>
            </w:r>
          </w:p>
          <w:p>
            <w:pPr>
              <w:adjustRightInd w:val="0"/>
              <w:snapToGrid w:val="0"/>
              <w:jc w:val="left"/>
              <w:rPr>
                <w:rFonts w:ascii="宋体" w:hAnsi="宋体" w:cs="宋体"/>
                <w:sz w:val="24"/>
              </w:rPr>
            </w:pPr>
            <w:r>
              <w:rPr>
                <w:rFonts w:hint="eastAsia" w:ascii="宋体" w:hAnsi="宋体" w:cs="宋体"/>
                <w:sz w:val="24"/>
              </w:rPr>
              <w:t>□扩建</w:t>
            </w:r>
          </w:p>
          <w:p>
            <w:pPr>
              <w:adjustRightInd w:val="0"/>
              <w:snapToGrid w:val="0"/>
              <w:jc w:val="left"/>
              <w:rPr>
                <w:rFonts w:ascii="宋体" w:hAnsi="宋体" w:cs="宋体"/>
                <w:sz w:val="24"/>
              </w:rPr>
            </w:pPr>
            <w:r>
              <w:rPr>
                <w:rFonts w:hint="eastAsia" w:ascii="宋体" w:hAnsi="宋体" w:cs="宋体"/>
                <w:sz w:val="24"/>
              </w:rPr>
              <w:t>□技术改造</w:t>
            </w:r>
          </w:p>
        </w:tc>
        <w:tc>
          <w:tcPr>
            <w:tcW w:w="1985" w:type="dxa"/>
            <w:vAlign w:val="center"/>
          </w:tcPr>
          <w:p>
            <w:pPr>
              <w:adjustRightInd w:val="0"/>
              <w:snapToGrid w:val="0"/>
              <w:jc w:val="center"/>
              <w:rPr>
                <w:rFonts w:ascii="宋体" w:hAnsi="宋体" w:cs="宋体"/>
                <w:sz w:val="24"/>
              </w:rPr>
            </w:pPr>
            <w:r>
              <w:rPr>
                <w:rFonts w:hint="eastAsia" w:ascii="宋体" w:hAnsi="宋体" w:cs="宋体"/>
                <w:sz w:val="24"/>
              </w:rPr>
              <w:t>建设项目</w:t>
            </w:r>
          </w:p>
          <w:p>
            <w:pPr>
              <w:adjustRightInd w:val="0"/>
              <w:snapToGrid w:val="0"/>
              <w:jc w:val="center"/>
              <w:rPr>
                <w:rFonts w:ascii="宋体" w:hAnsi="宋体" w:cs="宋体"/>
                <w:sz w:val="24"/>
              </w:rPr>
            </w:pPr>
            <w:r>
              <w:rPr>
                <w:rFonts w:hint="eastAsia" w:ascii="宋体" w:hAnsi="宋体" w:cs="宋体"/>
                <w:sz w:val="24"/>
              </w:rPr>
              <w:t>申报情形</w:t>
            </w:r>
          </w:p>
        </w:tc>
        <w:tc>
          <w:tcPr>
            <w:tcW w:w="2551" w:type="dxa"/>
            <w:vAlign w:val="center"/>
          </w:tcPr>
          <w:p>
            <w:pPr>
              <w:adjustRightInd w:val="0"/>
              <w:snapToGrid w:val="0"/>
              <w:jc w:val="left"/>
              <w:rPr>
                <w:rFonts w:ascii="宋体" w:hAnsi="宋体" w:cs="宋体"/>
                <w:sz w:val="24"/>
              </w:rPr>
            </w:pPr>
            <w:r>
              <w:rPr>
                <w:rFonts w:hint="eastAsia" w:ascii="宋体" w:hAnsi="宋体" w:cs="宋体"/>
                <w:sz w:val="24"/>
              </w:rPr>
              <w:t>☑首次申报项目</w:t>
            </w:r>
          </w:p>
          <w:p>
            <w:pPr>
              <w:adjustRightInd w:val="0"/>
              <w:snapToGrid w:val="0"/>
              <w:jc w:val="left"/>
              <w:rPr>
                <w:rFonts w:ascii="宋体" w:hAnsi="宋体" w:cs="宋体"/>
                <w:sz w:val="24"/>
              </w:rPr>
            </w:pPr>
            <w:r>
              <w:rPr>
                <w:rFonts w:hint="eastAsia" w:ascii="宋体" w:hAnsi="宋体" w:cs="宋体"/>
                <w:sz w:val="24"/>
              </w:rPr>
              <w:t>□不予批准后再次申报项目</w:t>
            </w:r>
          </w:p>
          <w:p>
            <w:pPr>
              <w:adjustRightInd w:val="0"/>
              <w:snapToGrid w:val="0"/>
              <w:jc w:val="left"/>
              <w:rPr>
                <w:rFonts w:ascii="宋体" w:hAnsi="宋体" w:cs="宋体"/>
                <w:sz w:val="24"/>
              </w:rPr>
            </w:pPr>
            <w:r>
              <w:rPr>
                <w:rFonts w:hint="eastAsia" w:ascii="宋体" w:hAnsi="宋体" w:cs="宋体"/>
                <w:sz w:val="24"/>
              </w:rPr>
              <w:t>□超五年重新审核项目</w:t>
            </w:r>
          </w:p>
          <w:p>
            <w:pPr>
              <w:adjustRightInd w:val="0"/>
              <w:snapToGrid w:val="0"/>
              <w:rPr>
                <w:rFonts w:ascii="宋体" w:hAnsi="宋体" w:cs="宋体"/>
                <w:sz w:val="24"/>
              </w:rPr>
            </w:pPr>
            <w:r>
              <w:rPr>
                <w:rFonts w:hint="eastAsia" w:ascii="宋体" w:hAnsi="宋体" w:cs="宋体"/>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78" w:hRule="atLeast"/>
          <w:jc w:val="center"/>
        </w:trPr>
        <w:tc>
          <w:tcPr>
            <w:tcW w:w="1975" w:type="dxa"/>
            <w:gridSpan w:val="4"/>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项目审批（核准</w:t>
            </w:r>
            <w:r>
              <w:rPr>
                <w:rFonts w:ascii="宋体" w:hAnsi="宋体" w:cs="宋体"/>
                <w:sz w:val="24"/>
              </w:rPr>
              <w:t>/</w:t>
            </w:r>
            <w:r>
              <w:rPr>
                <w:rFonts w:hint="eastAsia" w:ascii="宋体" w:hAnsi="宋体" w:cs="宋体"/>
                <w:sz w:val="24"/>
              </w:rPr>
              <w:t>备案）部门</w:t>
            </w:r>
          </w:p>
        </w:tc>
        <w:tc>
          <w:tcPr>
            <w:tcW w:w="2126" w:type="dxa"/>
            <w:gridSpan w:val="2"/>
            <w:vAlign w:val="center"/>
          </w:tcPr>
          <w:p>
            <w:pPr>
              <w:adjustRightInd w:val="0"/>
              <w:snapToGrid w:val="0"/>
              <w:jc w:val="center"/>
              <w:rPr>
                <w:rFonts w:ascii="宋体" w:hAnsi="宋体" w:cs="宋体"/>
                <w:sz w:val="24"/>
              </w:rPr>
            </w:pPr>
            <w:r>
              <w:rPr>
                <w:rFonts w:hint="eastAsia" w:ascii="宋体" w:hAnsi="宋体" w:cs="宋体"/>
                <w:sz w:val="24"/>
              </w:rPr>
              <w:t>无</w:t>
            </w:r>
          </w:p>
        </w:tc>
        <w:tc>
          <w:tcPr>
            <w:tcW w:w="1985" w:type="dxa"/>
            <w:vAlign w:val="center"/>
          </w:tcPr>
          <w:p>
            <w:pPr>
              <w:adjustRightInd w:val="0"/>
              <w:snapToGrid w:val="0"/>
              <w:jc w:val="center"/>
              <w:rPr>
                <w:rFonts w:ascii="宋体" w:hAnsi="宋体" w:cs="宋体"/>
                <w:sz w:val="24"/>
              </w:rPr>
            </w:pPr>
            <w:r>
              <w:rPr>
                <w:rFonts w:hint="eastAsia" w:ascii="宋体" w:hAnsi="宋体" w:cs="宋体"/>
                <w:sz w:val="24"/>
              </w:rPr>
              <w:t>项目审批（核准</w:t>
            </w:r>
            <w:r>
              <w:rPr>
                <w:rFonts w:ascii="宋体" w:hAnsi="宋体" w:cs="宋体"/>
                <w:sz w:val="24"/>
              </w:rPr>
              <w:t>/</w:t>
            </w:r>
            <w:r>
              <w:rPr>
                <w:rFonts w:hint="eastAsia" w:ascii="宋体" w:hAnsi="宋体" w:cs="宋体"/>
                <w:sz w:val="24"/>
              </w:rPr>
              <w:t>备案）文号</w:t>
            </w:r>
          </w:p>
        </w:tc>
        <w:tc>
          <w:tcPr>
            <w:tcW w:w="2551" w:type="dxa"/>
            <w:vAlign w:val="center"/>
          </w:tcPr>
          <w:p>
            <w:pPr>
              <w:adjustRightInd w:val="0"/>
              <w:snapToGrid w:val="0"/>
              <w:jc w:val="center"/>
              <w:rPr>
                <w:rFonts w:ascii="宋体" w:hAnsi="宋体" w:cs="宋体"/>
                <w:sz w:val="24"/>
              </w:rPr>
            </w:pPr>
            <w:r>
              <w:rPr>
                <w:rFonts w:hint="eastAsia" w:ascii="宋体" w:hAnsi="宋体" w:cs="宋体"/>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2" w:hRule="atLeast"/>
          <w:jc w:val="center"/>
        </w:trPr>
        <w:tc>
          <w:tcPr>
            <w:tcW w:w="1975" w:type="dxa"/>
            <w:gridSpan w:val="4"/>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总投资（万元）</w:t>
            </w:r>
          </w:p>
        </w:tc>
        <w:tc>
          <w:tcPr>
            <w:tcW w:w="2126" w:type="dxa"/>
            <w:gridSpan w:val="2"/>
            <w:vAlign w:val="center"/>
          </w:tcPr>
          <w:p>
            <w:pPr>
              <w:adjustRightInd w:val="0"/>
              <w:snapToGrid w:val="0"/>
              <w:jc w:val="center"/>
              <w:rPr>
                <w:rFonts w:ascii="宋体" w:hAnsi="宋体" w:cs="宋体"/>
                <w:sz w:val="24"/>
              </w:rPr>
            </w:pPr>
            <w:r>
              <w:rPr>
                <w:rFonts w:ascii="宋体" w:hAnsi="宋体" w:cs="宋体"/>
                <w:sz w:val="24"/>
              </w:rPr>
              <w:t>1500</w:t>
            </w:r>
          </w:p>
        </w:tc>
        <w:tc>
          <w:tcPr>
            <w:tcW w:w="1985"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环保投资（万元）</w:t>
            </w:r>
          </w:p>
        </w:tc>
        <w:tc>
          <w:tcPr>
            <w:tcW w:w="2551" w:type="dxa"/>
            <w:vAlign w:val="center"/>
          </w:tcPr>
          <w:p>
            <w:pPr>
              <w:adjustRightInd w:val="0"/>
              <w:snapToGrid w:val="0"/>
              <w:jc w:val="center"/>
              <w:rPr>
                <w:rFonts w:ascii="宋体" w:hAnsi="宋体" w:cs="宋体"/>
                <w:sz w:val="24"/>
              </w:rPr>
            </w:pPr>
            <w:r>
              <w:rPr>
                <w:rFonts w:ascii="宋体" w:hAnsi="宋体" w:cs="宋体"/>
                <w:sz w:val="24"/>
              </w:rPr>
              <w:t>130.4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8" w:hRule="atLeast"/>
          <w:jc w:val="center"/>
        </w:trPr>
        <w:tc>
          <w:tcPr>
            <w:tcW w:w="1975" w:type="dxa"/>
            <w:gridSpan w:val="4"/>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环保投资占比（</w:t>
            </w:r>
            <w:r>
              <w:rPr>
                <w:rFonts w:ascii="宋体" w:hAnsi="宋体" w:cs="宋体"/>
                <w:sz w:val="24"/>
              </w:rPr>
              <w:t>%</w:t>
            </w:r>
            <w:r>
              <w:rPr>
                <w:rFonts w:hint="eastAsia" w:ascii="宋体" w:hAnsi="宋体" w:cs="宋体"/>
                <w:sz w:val="24"/>
              </w:rPr>
              <w:t>）</w:t>
            </w:r>
          </w:p>
        </w:tc>
        <w:tc>
          <w:tcPr>
            <w:tcW w:w="2126" w:type="dxa"/>
            <w:gridSpan w:val="2"/>
            <w:vAlign w:val="center"/>
          </w:tcPr>
          <w:p>
            <w:pPr>
              <w:adjustRightInd w:val="0"/>
              <w:snapToGrid w:val="0"/>
              <w:jc w:val="center"/>
              <w:rPr>
                <w:rFonts w:ascii="宋体" w:hAnsi="宋体" w:cs="宋体"/>
                <w:sz w:val="24"/>
              </w:rPr>
            </w:pPr>
            <w:r>
              <w:rPr>
                <w:rFonts w:ascii="宋体" w:hAnsi="宋体" w:cs="宋体"/>
                <w:sz w:val="24"/>
              </w:rPr>
              <w:t>8.69</w:t>
            </w:r>
          </w:p>
        </w:tc>
        <w:tc>
          <w:tcPr>
            <w:tcW w:w="1985"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施工工期</w:t>
            </w:r>
          </w:p>
        </w:tc>
        <w:tc>
          <w:tcPr>
            <w:tcW w:w="2551" w:type="dxa"/>
            <w:vAlign w:val="center"/>
          </w:tcPr>
          <w:p>
            <w:pPr>
              <w:adjustRightInd w:val="0"/>
              <w:snapToGrid w:val="0"/>
              <w:jc w:val="center"/>
              <w:rPr>
                <w:rFonts w:ascii="宋体" w:hAnsi="宋体" w:cs="宋体"/>
                <w:sz w:val="24"/>
              </w:rPr>
            </w:pPr>
            <w:r>
              <w:rPr>
                <w:rFonts w:hint="eastAsia" w:ascii="宋体" w:hAnsi="宋体" w:cs="宋体"/>
                <w:sz w:val="24"/>
              </w:rPr>
              <w:t>钻井期</w:t>
            </w:r>
            <w:r>
              <w:rPr>
                <w:rFonts w:ascii="宋体" w:hAnsi="宋体" w:cs="宋体"/>
                <w:sz w:val="24"/>
              </w:rPr>
              <w:t>62</w:t>
            </w:r>
            <w:r>
              <w:rPr>
                <w:rFonts w:hint="eastAsia" w:ascii="宋体" w:hAnsi="宋体" w:cs="宋体"/>
                <w:sz w:val="24"/>
              </w:rPr>
              <w:t>天；试油期</w:t>
            </w:r>
            <w:r>
              <w:rPr>
                <w:rFonts w:ascii="宋体" w:hAnsi="宋体" w:cs="宋体"/>
                <w:sz w:val="24"/>
              </w:rPr>
              <w:t>120</w:t>
            </w:r>
            <w:r>
              <w:rPr>
                <w:rFonts w:hint="eastAsia" w:ascii="宋体" w:hAnsi="宋体" w:cs="宋体"/>
                <w:sz w:val="24"/>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1975" w:type="dxa"/>
            <w:gridSpan w:val="4"/>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是否开工建设</w:t>
            </w:r>
          </w:p>
        </w:tc>
        <w:tc>
          <w:tcPr>
            <w:tcW w:w="6662" w:type="dxa"/>
            <w:gridSpan w:val="4"/>
            <w:vAlign w:val="center"/>
          </w:tcPr>
          <w:p>
            <w:pPr>
              <w:adjustRightInd w:val="0"/>
              <w:snapToGrid w:val="0"/>
              <w:ind w:firstLine="105"/>
              <w:jc w:val="left"/>
              <w:rPr>
                <w:rFonts w:ascii="宋体" w:hAnsi="宋体" w:cs="宋体"/>
                <w:sz w:val="24"/>
              </w:rPr>
            </w:pPr>
            <w:r>
              <w:rPr>
                <w:rFonts w:hint="eastAsia" w:ascii="宋体" w:hAnsi="宋体" w:cs="宋体"/>
                <w:sz w:val="24"/>
              </w:rPr>
              <w:t>☑否</w:t>
            </w:r>
          </w:p>
          <w:p>
            <w:pPr>
              <w:adjustRightInd w:val="0"/>
              <w:snapToGrid w:val="0"/>
              <w:ind w:firstLine="92"/>
              <w:jc w:val="left"/>
              <w:rPr>
                <w:rFonts w:ascii="宋体" w:hAnsi="宋体"/>
                <w:sz w:val="24"/>
              </w:rPr>
            </w:pPr>
            <w:r>
              <w:rPr>
                <w:rFonts w:hint="eastAsia" w:ascii="宋体" w:hAnsi="宋体" w:cs="宋体"/>
                <w:sz w:val="24"/>
              </w:rPr>
              <w:t>□是：</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7" w:hRule="atLeast"/>
          <w:jc w:val="center"/>
        </w:trPr>
        <w:tc>
          <w:tcPr>
            <w:tcW w:w="1975" w:type="dxa"/>
            <w:gridSpan w:val="4"/>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专项评价</w:t>
            </w:r>
          </w:p>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设置情况</w:t>
            </w:r>
          </w:p>
        </w:tc>
        <w:tc>
          <w:tcPr>
            <w:tcW w:w="6662" w:type="dxa"/>
            <w:gridSpan w:val="4"/>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4" w:hRule="atLeast"/>
          <w:jc w:val="center"/>
        </w:trPr>
        <w:tc>
          <w:tcPr>
            <w:tcW w:w="1975" w:type="dxa"/>
            <w:gridSpan w:val="4"/>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r>
              <w:rPr>
                <w:rFonts w:hint="eastAsia" w:ascii="宋体" w:hAnsi="宋体" w:cs="宋体"/>
                <w:sz w:val="24"/>
              </w:rPr>
              <w:t>规划情况</w:t>
            </w:r>
          </w:p>
        </w:tc>
        <w:tc>
          <w:tcPr>
            <w:tcW w:w="6662" w:type="dxa"/>
            <w:gridSpan w:val="4"/>
            <w:tcMar>
              <w:top w:w="16" w:type="dxa"/>
              <w:left w:w="16" w:type="dxa"/>
              <w:right w:w="16" w:type="dxa"/>
            </w:tcMar>
            <w:vAlign w:val="center"/>
          </w:tcPr>
          <w:p>
            <w:pPr>
              <w:pStyle w:val="46"/>
              <w:spacing w:line="300" w:lineRule="exact"/>
              <w:ind w:firstLine="0" w:firstLineChars="0"/>
              <w:jc w:val="center"/>
              <w:rPr>
                <w:rFonts w:cs="宋体"/>
                <w:kern w:val="2"/>
              </w:rPr>
            </w:pPr>
            <w:r>
              <w:rPr>
                <w:rFonts w:hint="eastAsia" w:cs="宋体"/>
                <w:color w:val="000000"/>
              </w:rPr>
              <w:t>《新疆维吾尔自治区矿产资源总体规划（2021-2025年）》</w:t>
            </w:r>
            <w:r>
              <w:rPr>
                <w:rFonts w:hint="eastAsia" w:cs="宋体"/>
                <w:color w:val="000000"/>
                <w:lang w:eastAsia="zh-Hans"/>
              </w:rPr>
              <w:t>获</w:t>
            </w:r>
            <w:r>
              <w:rPr>
                <w:rFonts w:hint="eastAsia" w:cs="宋体"/>
                <w:color w:val="000000"/>
              </w:rPr>
              <w:t>中华人民共和国自然资源部</w:t>
            </w:r>
            <w:r>
              <w:rPr>
                <w:rFonts w:hint="eastAsia" w:cs="宋体"/>
                <w:color w:val="000000"/>
                <w:lang w:eastAsia="zh-Hans"/>
              </w:rPr>
              <w:t>批复，</w:t>
            </w:r>
            <w:r>
              <w:rPr>
                <w:rFonts w:hint="eastAsia" w:cs="宋体"/>
                <w:color w:val="000000"/>
              </w:rPr>
              <w:t>审批文号：</w:t>
            </w:r>
            <w:r>
              <w:rPr>
                <w:rFonts w:hint="eastAsia" w:cs="宋体"/>
                <w:color w:val="000000"/>
                <w:lang w:eastAsia="zh-Hans"/>
              </w:rPr>
              <w:t>自然资函</w:t>
            </w:r>
            <w:r>
              <w:rPr>
                <w:rFonts w:hint="eastAsia" w:cs="宋体"/>
                <w:color w:val="000000"/>
              </w:rPr>
              <w:t>〔</w:t>
            </w:r>
            <w:r>
              <w:rPr>
                <w:rFonts w:hint="eastAsia" w:cs="宋体"/>
                <w:color w:val="000000"/>
                <w:lang w:eastAsia="zh-Hans"/>
              </w:rPr>
              <w:t>2022</w:t>
            </w:r>
            <w:r>
              <w:rPr>
                <w:rFonts w:hint="eastAsia" w:cs="宋体"/>
                <w:color w:val="000000"/>
              </w:rPr>
              <w:t>〕</w:t>
            </w:r>
            <w:r>
              <w:rPr>
                <w:rFonts w:hint="eastAsia" w:cs="宋体"/>
                <w:color w:val="000000"/>
                <w:lang w:eastAsia="zh-Hans"/>
              </w:rPr>
              <w:t>1092号</w:t>
            </w:r>
            <w:r>
              <w:rPr>
                <w:rFonts w:hint="eastAsia" w:cs="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4" w:hRule="atLeast"/>
          <w:jc w:val="center"/>
        </w:trPr>
        <w:tc>
          <w:tcPr>
            <w:tcW w:w="1975" w:type="dxa"/>
            <w:gridSpan w:val="4"/>
            <w:tcMar>
              <w:top w:w="16" w:type="dxa"/>
              <w:left w:w="16" w:type="dxa"/>
              <w:right w:w="16" w:type="dxa"/>
            </w:tcMar>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规划环境影响</w:t>
            </w:r>
          </w:p>
          <w:p>
            <w:pPr>
              <w:autoSpaceDE w:val="0"/>
              <w:autoSpaceDN w:val="0"/>
              <w:adjustRightInd w:val="0"/>
              <w:snapToGrid w:val="0"/>
              <w:jc w:val="center"/>
              <w:rPr>
                <w:rFonts w:ascii="宋体" w:hAnsi="宋体" w:cs="宋体"/>
                <w:kern w:val="0"/>
                <w:sz w:val="24"/>
              </w:rPr>
            </w:pPr>
            <w:r>
              <w:rPr>
                <w:rFonts w:hint="eastAsia" w:ascii="宋体" w:hAnsi="宋体" w:cs="宋体"/>
                <w:sz w:val="24"/>
              </w:rPr>
              <w:t>评价情况</w:t>
            </w:r>
          </w:p>
        </w:tc>
        <w:tc>
          <w:tcPr>
            <w:tcW w:w="6662" w:type="dxa"/>
            <w:gridSpan w:val="4"/>
            <w:tcMar>
              <w:top w:w="16" w:type="dxa"/>
              <w:left w:w="16" w:type="dxa"/>
              <w:right w:w="16" w:type="dxa"/>
            </w:tcMar>
            <w:vAlign w:val="center"/>
          </w:tcPr>
          <w:p>
            <w:pPr>
              <w:pStyle w:val="46"/>
              <w:spacing w:line="300" w:lineRule="exact"/>
              <w:ind w:leftChars="-9" w:hanging="19" w:hangingChars="8"/>
              <w:jc w:val="center"/>
              <w:rPr>
                <w:rFonts w:cs="宋体"/>
                <w:kern w:val="2"/>
              </w:rPr>
            </w:pPr>
            <w:r>
              <w:rPr>
                <w:rFonts w:hint="eastAsia" w:cs="宋体"/>
                <w:color w:val="000000"/>
              </w:rPr>
              <w:t>《新疆维吾尔自治区矿产资源总体规划（20</w:t>
            </w:r>
            <w:r>
              <w:rPr>
                <w:rFonts w:cs="宋体"/>
                <w:color w:val="000000"/>
              </w:rPr>
              <w:t>21</w:t>
            </w:r>
            <w:r>
              <w:rPr>
                <w:rFonts w:hint="eastAsia" w:cs="宋体"/>
                <w:color w:val="000000"/>
              </w:rPr>
              <w:t>-20</w:t>
            </w:r>
            <w:r>
              <w:rPr>
                <w:rFonts w:cs="宋体"/>
                <w:color w:val="000000"/>
              </w:rPr>
              <w:t>25</w:t>
            </w:r>
            <w:r>
              <w:rPr>
                <w:rFonts w:hint="eastAsia" w:cs="宋体"/>
                <w:color w:val="000000"/>
              </w:rPr>
              <w:t>年）环境影响报告书》</w:t>
            </w:r>
            <w:r>
              <w:rPr>
                <w:rFonts w:hint="eastAsia" w:cs="宋体"/>
                <w:color w:val="000000"/>
                <w:lang w:eastAsia="zh-Hans"/>
              </w:rPr>
              <w:t>通过</w:t>
            </w:r>
            <w:r>
              <w:rPr>
                <w:rFonts w:hint="eastAsia" w:cs="宋体"/>
                <w:color w:val="000000"/>
              </w:rPr>
              <w:t>中华人民共和国生态环境部</w:t>
            </w:r>
            <w:r>
              <w:rPr>
                <w:rFonts w:hint="eastAsia" w:cs="宋体"/>
                <w:color w:val="000000"/>
                <w:lang w:eastAsia="zh-Hans"/>
              </w:rPr>
              <w:t>技术审查，审查意见文号</w:t>
            </w:r>
            <w:r>
              <w:rPr>
                <w:rFonts w:hint="eastAsia" w:cs="宋体"/>
                <w:color w:val="000000"/>
              </w:rPr>
              <w:t>：环审〔20</w:t>
            </w:r>
            <w:r>
              <w:rPr>
                <w:rFonts w:cs="宋体"/>
                <w:color w:val="000000"/>
              </w:rPr>
              <w:t>22</w:t>
            </w:r>
            <w:r>
              <w:rPr>
                <w:rFonts w:hint="eastAsia" w:cs="宋体"/>
                <w:color w:val="000000"/>
              </w:rPr>
              <w:t>〕1</w:t>
            </w:r>
            <w:r>
              <w:rPr>
                <w:rFonts w:cs="宋体"/>
                <w:color w:val="000000"/>
              </w:rPr>
              <w:t>24</w:t>
            </w:r>
            <w:r>
              <w:rPr>
                <w:rFonts w:hint="eastAsia" w:cs="宋体"/>
                <w:color w:val="000000"/>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6" w:hRule="atLeast"/>
          <w:jc w:val="center"/>
        </w:trPr>
        <w:tc>
          <w:tcPr>
            <w:tcW w:w="1975" w:type="dxa"/>
            <w:gridSpan w:val="4"/>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规划及</w:t>
            </w:r>
            <w:r>
              <w:rPr>
                <w:rFonts w:hint="eastAsia" w:ascii="宋体" w:hAnsi="宋体" w:cs="宋体"/>
                <w:sz w:val="24"/>
              </w:rPr>
              <w:t>规划环境影响评价</w:t>
            </w:r>
            <w:r>
              <w:rPr>
                <w:rFonts w:hint="eastAsia" w:ascii="宋体" w:hAnsi="宋体" w:cs="宋体"/>
                <w:kern w:val="0"/>
                <w:sz w:val="24"/>
              </w:rPr>
              <w:t>符合性分析</w:t>
            </w:r>
          </w:p>
        </w:tc>
        <w:tc>
          <w:tcPr>
            <w:tcW w:w="6662" w:type="dxa"/>
            <w:gridSpan w:val="4"/>
            <w:tcMar>
              <w:top w:w="16" w:type="dxa"/>
              <w:left w:w="16" w:type="dxa"/>
              <w:right w:w="16" w:type="dxa"/>
            </w:tcMar>
            <w:vAlign w:val="center"/>
          </w:tcPr>
          <w:p>
            <w:pPr>
              <w:pStyle w:val="46"/>
              <w:spacing w:line="300" w:lineRule="exact"/>
              <w:ind w:firstLine="0" w:firstLineChars="0"/>
              <w:jc w:val="left"/>
            </w:pPr>
            <w:r>
              <w:rPr>
                <w:rFonts w:hint="eastAsia"/>
              </w:rPr>
              <w:t>新疆矿产资源丰富，是我国重要的能源资源开发区。规划将石油、天然气列为重点勘查开采矿种，鼓励勘探和开发；并且依据矿产资源分布特点及勘查开发利用现状，按照“深化北疆东疆，加快南疆勘查开发”的总体思路，划分了环准噶尔、环塔里木、阿尔泰、东准噶尔、西准噶尔、东天山、西天山、西南天山、西昆仑、东昆仑—阿尔金等“两环八带”十个勘查开发区。规划环评要求对产生的污染物采取相应的治理措施，对实施过程中产生的生态影响采取有效的减缓措施。</w:t>
            </w:r>
          </w:p>
          <w:p>
            <w:pPr>
              <w:pStyle w:val="46"/>
              <w:spacing w:line="300" w:lineRule="exact"/>
              <w:ind w:firstLine="480"/>
              <w:jc w:val="left"/>
            </w:pPr>
            <w:r>
              <w:rPr>
                <w:rFonts w:hint="eastAsia"/>
              </w:rPr>
              <w:t>车排4</w:t>
            </w:r>
            <w:r>
              <w:t>6</w:t>
            </w:r>
            <w:r>
              <w:rPr>
                <w:rFonts w:hint="eastAsia"/>
              </w:rPr>
              <w:t>井占地位于“‘两环八带’十个勘查开发区”中的西天山能源矿产、黑色及贵金属勘查开发区且属于陆地石油勘探，施工期产生的“三废”、噪声及生态影响均提出了相应的治理或减缓措施，符合规划及规划环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841" w:type="dxa"/>
            <w:vMerge w:val="restart"/>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bookmarkStart w:id="5" w:name="_Hlk56690880"/>
            <w:r>
              <w:rPr>
                <w:rFonts w:hint="eastAsia" w:ascii="宋体" w:hAnsi="宋体" w:cs="宋体"/>
                <w:kern w:val="0"/>
                <w:sz w:val="24"/>
              </w:rPr>
              <w:t>其他符合性分析</w:t>
            </w:r>
            <w:bookmarkEnd w:id="5"/>
          </w:p>
        </w:tc>
        <w:tc>
          <w:tcPr>
            <w:tcW w:w="1134" w:type="dxa"/>
            <w:gridSpan w:val="3"/>
            <w:tcMar>
              <w:top w:w="16" w:type="dxa"/>
              <w:left w:w="16" w:type="dxa"/>
              <w:right w:w="16" w:type="dxa"/>
            </w:tcMar>
            <w:vAlign w:val="center"/>
          </w:tcPr>
          <w:p>
            <w:pPr>
              <w:pStyle w:val="46"/>
              <w:spacing w:line="300" w:lineRule="exact"/>
              <w:ind w:firstLine="0" w:firstLineChars="0"/>
              <w:jc w:val="center"/>
              <w:rPr>
                <w:rFonts w:cs="宋体"/>
                <w:kern w:val="2"/>
              </w:rPr>
            </w:pPr>
            <w:r>
              <w:rPr>
                <w:rFonts w:hint="eastAsia" w:cs="宋体"/>
                <w:kern w:val="2"/>
              </w:rPr>
              <w:t>产业政策</w:t>
            </w:r>
          </w:p>
        </w:tc>
        <w:tc>
          <w:tcPr>
            <w:tcW w:w="6662" w:type="dxa"/>
            <w:gridSpan w:val="4"/>
            <w:vAlign w:val="center"/>
          </w:tcPr>
          <w:p>
            <w:pPr>
              <w:pStyle w:val="14"/>
              <w:spacing w:line="300" w:lineRule="exact"/>
              <w:ind w:firstLine="480" w:firstLineChars="200"/>
              <w:rPr>
                <w:rFonts w:cs="宋体"/>
                <w:kern w:val="2"/>
              </w:rPr>
            </w:pPr>
            <w:r>
              <w:rPr>
                <w:rFonts w:hint="eastAsia"/>
              </w:rPr>
              <w:t>本项目属于《产业结构调整指导目录》（2019年本）中的第一类鼓励类</w:t>
            </w:r>
            <w:r>
              <w:t>——</w:t>
            </w:r>
            <w:r>
              <w:rPr>
                <w:rFonts w:hint="eastAsia"/>
              </w:rPr>
              <w:t>七、石油、天然气</w:t>
            </w:r>
            <w:r>
              <w:t>——1</w:t>
            </w:r>
            <w:r>
              <w:rPr>
                <w:rFonts w:hint="eastAsia"/>
              </w:rPr>
              <w:t>、常规石油、天然气勘探与开采，符合国家产业政策。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430" w:type="dxa"/>
            <w:vMerge w:val="restart"/>
            <w:tcBorders>
              <w:top w:val="single" w:color="auto" w:sz="4" w:space="0"/>
            </w:tcBorders>
            <w:tcMar>
              <w:top w:w="16" w:type="dxa"/>
              <w:left w:w="16" w:type="dxa"/>
              <w:right w:w="16" w:type="dxa"/>
            </w:tcMar>
            <w:vAlign w:val="center"/>
          </w:tcPr>
          <w:p>
            <w:pPr>
              <w:pStyle w:val="46"/>
              <w:spacing w:line="300" w:lineRule="exact"/>
              <w:ind w:firstLine="480"/>
              <w:jc w:val="center"/>
              <w:rPr>
                <w:rFonts w:cs="宋体"/>
                <w:kern w:val="2"/>
              </w:rPr>
            </w:pPr>
            <w:r>
              <w:rPr>
                <w:rFonts w:hint="eastAsia" w:cs="仿宋_GB2312"/>
              </w:rPr>
              <w:t>塔</w:t>
            </w:r>
          </w:p>
          <w:p>
            <w:pPr>
              <w:pStyle w:val="46"/>
              <w:spacing w:line="300" w:lineRule="exact"/>
              <w:ind w:firstLine="480"/>
              <w:jc w:val="center"/>
              <w:rPr>
                <w:rFonts w:cs="宋体"/>
                <w:kern w:val="2"/>
              </w:rPr>
            </w:pPr>
            <w:r>
              <w:rPr>
                <w:rFonts w:hint="eastAsia" w:cs="仿宋_GB2312"/>
              </w:rPr>
              <w:t>管“三线一单”符合性分析</w:t>
            </w:r>
          </w:p>
        </w:tc>
        <w:tc>
          <w:tcPr>
            <w:tcW w:w="704" w:type="dxa"/>
            <w:gridSpan w:val="2"/>
            <w:vAlign w:val="center"/>
          </w:tcPr>
          <w:p>
            <w:pPr>
              <w:pStyle w:val="46"/>
              <w:spacing w:line="300" w:lineRule="exact"/>
              <w:ind w:firstLine="0" w:firstLineChars="0"/>
              <w:jc w:val="center"/>
              <w:rPr>
                <w:rFonts w:cs="宋体"/>
                <w:kern w:val="2"/>
              </w:rPr>
            </w:pPr>
            <w:r>
              <w:rPr>
                <w:rFonts w:hint="eastAsia" w:cs="宋体"/>
                <w:kern w:val="2"/>
              </w:rPr>
              <w:t>生态保护红线</w:t>
            </w:r>
          </w:p>
        </w:tc>
        <w:tc>
          <w:tcPr>
            <w:tcW w:w="6662" w:type="dxa"/>
            <w:gridSpan w:val="4"/>
            <w:vAlign w:val="center"/>
          </w:tcPr>
          <w:p>
            <w:pPr>
              <w:pStyle w:val="46"/>
              <w:wordWrap w:val="0"/>
              <w:spacing w:line="300" w:lineRule="exact"/>
              <w:ind w:firstLine="480"/>
              <w:rPr>
                <w:spacing w:val="6"/>
              </w:rPr>
            </w:pPr>
            <w:r>
              <w:rPr>
                <w:rFonts w:hint="eastAsia" w:cs="宋体"/>
              </w:rPr>
              <w:t>根据《关于印发〈第七师胡杨河市“三线一单”生态环境分区管控方案〉的通知》，车排46井位于重点环境管控单元（编码为</w:t>
            </w:r>
            <w:r>
              <w:rPr>
                <w:rFonts w:cs="宋体"/>
              </w:rPr>
              <w:t>ZH65770820001</w:t>
            </w:r>
            <w:r>
              <w:rPr>
                <w:rFonts w:hint="eastAsia" w:cs="仿宋_GB2312"/>
                <w:spacing w:val="6"/>
              </w:rPr>
              <w:t>）</w:t>
            </w:r>
            <w:r>
              <w:rPr>
                <w:rFonts w:hint="eastAsia" w:cs="宋体"/>
              </w:rPr>
              <w:t>，具体</w:t>
            </w:r>
            <w:r>
              <w:rPr>
                <w:rFonts w:hint="eastAsia" w:cs="仿宋_GB2312"/>
                <w:spacing w:val="6"/>
              </w:rPr>
              <w:t>位置见附图1，</w:t>
            </w:r>
            <w:r>
              <w:rPr>
                <w:rFonts w:hint="eastAsia"/>
                <w:spacing w:val="6"/>
              </w:rPr>
              <w:t>不涉及生态保护红线。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430" w:type="dxa"/>
            <w:vMerge w:val="continue"/>
            <w:tcMar>
              <w:top w:w="16" w:type="dxa"/>
              <w:left w:w="16" w:type="dxa"/>
              <w:right w:w="16" w:type="dxa"/>
            </w:tcMar>
            <w:vAlign w:val="center"/>
          </w:tcPr>
          <w:p>
            <w:pPr>
              <w:pStyle w:val="46"/>
              <w:spacing w:line="300" w:lineRule="exact"/>
              <w:ind w:firstLine="480"/>
              <w:jc w:val="center"/>
              <w:rPr>
                <w:rFonts w:cs="宋体"/>
                <w:kern w:val="2"/>
              </w:rPr>
            </w:pPr>
          </w:p>
        </w:tc>
        <w:tc>
          <w:tcPr>
            <w:tcW w:w="704" w:type="dxa"/>
            <w:gridSpan w:val="2"/>
            <w:vAlign w:val="center"/>
          </w:tcPr>
          <w:p>
            <w:pPr>
              <w:pStyle w:val="46"/>
              <w:spacing w:line="300" w:lineRule="exact"/>
              <w:ind w:firstLine="0" w:firstLineChars="0"/>
              <w:jc w:val="center"/>
              <w:rPr>
                <w:rFonts w:cs="宋体"/>
                <w:kern w:val="2"/>
              </w:rPr>
            </w:pPr>
            <w:r>
              <w:rPr>
                <w:rFonts w:hint="eastAsia" w:cs="宋体"/>
                <w:kern w:val="2"/>
              </w:rPr>
              <w:t>环境质量底线</w:t>
            </w:r>
          </w:p>
        </w:tc>
        <w:tc>
          <w:tcPr>
            <w:tcW w:w="6662" w:type="dxa"/>
            <w:gridSpan w:val="4"/>
            <w:vAlign w:val="center"/>
          </w:tcPr>
          <w:p>
            <w:pPr>
              <w:pStyle w:val="46"/>
              <w:spacing w:line="300" w:lineRule="exact"/>
              <w:ind w:firstLine="480"/>
              <w:rPr>
                <w:rFonts w:cs="宋体"/>
              </w:rPr>
            </w:pPr>
            <w:r>
              <w:rPr>
                <w:rFonts w:hint="eastAsia" w:cs="宋体"/>
              </w:rPr>
              <w:t>项目无运营期，钻试</w:t>
            </w:r>
            <w:r>
              <w:rPr>
                <w:rFonts w:hint="eastAsia"/>
                <w:spacing w:val="8"/>
              </w:rPr>
              <w:t>产生的污染影响多为短期影响，</w:t>
            </w:r>
            <w:r>
              <w:rPr>
                <w:rFonts w:hint="eastAsia" w:cs="宋体"/>
              </w:rPr>
              <w:t>随施工结束而停止，对区域环境质量影响小，不会突破区域环境质量底线。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430" w:type="dxa"/>
            <w:vMerge w:val="continue"/>
            <w:tcMar>
              <w:top w:w="16" w:type="dxa"/>
              <w:left w:w="16" w:type="dxa"/>
              <w:right w:w="16" w:type="dxa"/>
            </w:tcMar>
            <w:vAlign w:val="center"/>
          </w:tcPr>
          <w:p>
            <w:pPr>
              <w:pStyle w:val="46"/>
              <w:spacing w:line="300" w:lineRule="exact"/>
              <w:ind w:firstLine="480"/>
              <w:jc w:val="center"/>
              <w:rPr>
                <w:rFonts w:cs="宋体"/>
                <w:kern w:val="2"/>
              </w:rPr>
            </w:pPr>
          </w:p>
        </w:tc>
        <w:tc>
          <w:tcPr>
            <w:tcW w:w="704" w:type="dxa"/>
            <w:gridSpan w:val="2"/>
            <w:vAlign w:val="center"/>
          </w:tcPr>
          <w:p>
            <w:pPr>
              <w:pStyle w:val="46"/>
              <w:spacing w:line="300" w:lineRule="exact"/>
              <w:ind w:firstLine="0" w:firstLineChars="0"/>
              <w:jc w:val="center"/>
              <w:rPr>
                <w:rFonts w:cs="宋体"/>
                <w:kern w:val="2"/>
              </w:rPr>
            </w:pPr>
            <w:r>
              <w:rPr>
                <w:rFonts w:hint="eastAsia" w:cs="宋体"/>
                <w:kern w:val="2"/>
              </w:rPr>
              <w:t>资源利用上线</w:t>
            </w:r>
          </w:p>
        </w:tc>
        <w:tc>
          <w:tcPr>
            <w:tcW w:w="6662" w:type="dxa"/>
            <w:gridSpan w:val="4"/>
            <w:vAlign w:val="center"/>
          </w:tcPr>
          <w:p>
            <w:pPr>
              <w:pStyle w:val="46"/>
              <w:spacing w:line="300" w:lineRule="exact"/>
              <w:ind w:firstLine="480"/>
              <w:rPr>
                <w:rFonts w:cs="宋体"/>
              </w:rPr>
            </w:pPr>
            <w:r>
              <w:rPr>
                <w:rFonts w:hint="eastAsia" w:cs="宋体"/>
              </w:rPr>
              <w:t>建设过程中仅消耗少量新鲜水和柴油，新鲜水从附近村庄拉运，不开采地下水；柴油外购，由罐车拉运至井场，用量不大，不会突破区域资源利用上线。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430" w:type="dxa"/>
            <w:vMerge w:val="continue"/>
            <w:tcMar>
              <w:top w:w="16" w:type="dxa"/>
              <w:left w:w="16" w:type="dxa"/>
              <w:right w:w="16" w:type="dxa"/>
            </w:tcMar>
            <w:vAlign w:val="center"/>
          </w:tcPr>
          <w:p>
            <w:pPr>
              <w:pStyle w:val="46"/>
              <w:spacing w:line="300" w:lineRule="exact"/>
              <w:ind w:firstLine="480"/>
              <w:jc w:val="center"/>
              <w:rPr>
                <w:rFonts w:cs="仿宋_GB2312"/>
              </w:rPr>
            </w:pPr>
          </w:p>
        </w:tc>
        <w:tc>
          <w:tcPr>
            <w:tcW w:w="704" w:type="dxa"/>
            <w:gridSpan w:val="2"/>
            <w:vMerge w:val="restart"/>
            <w:vAlign w:val="center"/>
          </w:tcPr>
          <w:p>
            <w:pPr>
              <w:pStyle w:val="46"/>
              <w:spacing w:line="300" w:lineRule="exact"/>
              <w:ind w:firstLine="0" w:firstLineChars="0"/>
            </w:pPr>
            <w:r>
              <w:rPr>
                <w:rFonts w:hint="eastAsia"/>
              </w:rPr>
              <w:t>第七师</w:t>
            </w:r>
            <w:r>
              <w:rPr>
                <w:rFonts w:hint="eastAsia" w:cs="宋体"/>
              </w:rPr>
              <w:t>胡杨河市</w:t>
            </w:r>
            <w:r>
              <w:rPr>
                <w:rFonts w:hint="eastAsia"/>
              </w:rPr>
              <w:t>生态环境准入清单</w:t>
            </w:r>
          </w:p>
        </w:tc>
        <w:tc>
          <w:tcPr>
            <w:tcW w:w="4111" w:type="dxa"/>
            <w:gridSpan w:val="3"/>
            <w:vAlign w:val="center"/>
          </w:tcPr>
          <w:p>
            <w:pPr>
              <w:pStyle w:val="46"/>
              <w:spacing w:line="300" w:lineRule="atLeast"/>
              <w:ind w:firstLine="0" w:firstLineChars="0"/>
              <w:jc w:val="center"/>
            </w:pPr>
            <w:r>
              <w:rPr>
                <w:rFonts w:hint="eastAsia"/>
              </w:rPr>
              <w:t>管控要求（</w:t>
            </w:r>
            <w:r>
              <w:rPr>
                <w:rFonts w:hint="eastAsia" w:cs="宋体"/>
              </w:rPr>
              <w:t>编码为</w:t>
            </w:r>
            <w:r>
              <w:rPr>
                <w:rFonts w:cs="宋体"/>
              </w:rPr>
              <w:t>ZH65770820001</w:t>
            </w:r>
            <w:r>
              <w:rPr>
                <w:rFonts w:hint="eastAsia"/>
              </w:rPr>
              <w:t>）</w:t>
            </w:r>
          </w:p>
        </w:tc>
        <w:tc>
          <w:tcPr>
            <w:tcW w:w="2551" w:type="dxa"/>
            <w:vAlign w:val="center"/>
          </w:tcPr>
          <w:p>
            <w:pPr>
              <w:pStyle w:val="46"/>
              <w:spacing w:line="300" w:lineRule="atLeast"/>
              <w:ind w:firstLine="0" w:firstLineChars="0"/>
              <w:jc w:val="center"/>
            </w:pPr>
            <w:r>
              <w:rPr>
                <w:rFonts w:hint="eastAsia"/>
              </w:rPr>
              <w:t>本项目相符性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15" w:hRule="atLeast"/>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430" w:type="dxa"/>
            <w:vMerge w:val="continue"/>
            <w:tcMar>
              <w:top w:w="16" w:type="dxa"/>
              <w:left w:w="16" w:type="dxa"/>
              <w:right w:w="16" w:type="dxa"/>
            </w:tcMar>
            <w:vAlign w:val="center"/>
          </w:tcPr>
          <w:p>
            <w:pPr>
              <w:pStyle w:val="46"/>
              <w:wordWrap w:val="0"/>
              <w:spacing w:line="300" w:lineRule="exact"/>
              <w:ind w:firstLine="0" w:firstLineChars="0"/>
              <w:jc w:val="center"/>
              <w:rPr>
                <w:rFonts w:cs="仿宋_GB2312"/>
              </w:rPr>
            </w:pPr>
          </w:p>
        </w:tc>
        <w:tc>
          <w:tcPr>
            <w:tcW w:w="704" w:type="dxa"/>
            <w:gridSpan w:val="2"/>
            <w:vMerge w:val="continue"/>
            <w:vAlign w:val="center"/>
          </w:tcPr>
          <w:p>
            <w:pPr>
              <w:pStyle w:val="46"/>
              <w:spacing w:line="300" w:lineRule="exact"/>
              <w:ind w:firstLine="0" w:firstLineChars="0"/>
              <w:jc w:val="center"/>
            </w:pPr>
          </w:p>
        </w:tc>
        <w:tc>
          <w:tcPr>
            <w:tcW w:w="992" w:type="dxa"/>
            <w:vAlign w:val="center"/>
          </w:tcPr>
          <w:p>
            <w:pPr>
              <w:pStyle w:val="46"/>
              <w:spacing w:line="300" w:lineRule="exact"/>
              <w:ind w:firstLine="0" w:firstLineChars="0"/>
              <w:jc w:val="center"/>
            </w:pPr>
            <w:r>
              <w:rPr>
                <w:rFonts w:hint="eastAsia"/>
              </w:rPr>
              <w:t>空间布局约束</w:t>
            </w:r>
          </w:p>
        </w:tc>
        <w:tc>
          <w:tcPr>
            <w:tcW w:w="3119" w:type="dxa"/>
            <w:gridSpan w:val="2"/>
            <w:vAlign w:val="center"/>
          </w:tcPr>
          <w:p>
            <w:pPr>
              <w:pStyle w:val="46"/>
              <w:spacing w:line="300" w:lineRule="exact"/>
              <w:ind w:firstLine="0" w:firstLineChars="0"/>
            </w:pPr>
            <w:r>
              <w:rPr>
                <w:rFonts w:hint="eastAsia"/>
              </w:rPr>
              <w:t>（1）执行大气环境布局敏感区相关要求。（2）加强农田防护林网体系建设，保护基本农田，改造中低产农田和盐碱地，发展设施农业，并改进农业种植技术。（3）严格控制非农建设占用耕地，加大对土地整理复垦开发重点区域及重点工程、粮食主产区和基本农田保护区的投入。（4）禁止任何单位和个人在基本农田保护区内建窑、建房、建坟、挖砂采石、采矿、取土、堆放固体废弃物或者进行其他破坏基本农田的活动。</w:t>
            </w:r>
          </w:p>
        </w:tc>
        <w:tc>
          <w:tcPr>
            <w:tcW w:w="2551" w:type="dxa"/>
            <w:vAlign w:val="center"/>
          </w:tcPr>
          <w:p>
            <w:pPr>
              <w:pStyle w:val="46"/>
              <w:wordWrap w:val="0"/>
              <w:spacing w:line="300" w:lineRule="atLeast"/>
              <w:ind w:firstLine="0" w:firstLineChars="0"/>
              <w:rPr>
                <w:rFonts w:cs="宋体"/>
              </w:rPr>
            </w:pPr>
            <w:r>
              <w:rPr>
                <w:rFonts w:hint="eastAsia" w:cs="宋体"/>
              </w:rPr>
              <w:t>本项目为油气勘探项目，建设目的是通过钻试工程获取油气藏地质数据，不进行石油天然气开采活动。仅有钻井期以及试油期，无运营期，钻试阶段时间短，废气产生量小，不会对大气环境造成影响，因此符合（1）的要求；项目不占用耕地，不涉及基本农田保护区，符合（2）、（3）以及（4）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430" w:type="dxa"/>
            <w:vMerge w:val="continue"/>
            <w:tcMar>
              <w:top w:w="16" w:type="dxa"/>
              <w:left w:w="16" w:type="dxa"/>
              <w:right w:w="16" w:type="dxa"/>
            </w:tcMar>
            <w:vAlign w:val="center"/>
          </w:tcPr>
          <w:p>
            <w:pPr>
              <w:pStyle w:val="46"/>
              <w:wordWrap w:val="0"/>
              <w:spacing w:line="300" w:lineRule="exact"/>
              <w:ind w:firstLine="0" w:firstLineChars="0"/>
              <w:jc w:val="center"/>
              <w:rPr>
                <w:rFonts w:cs="仿宋_GB2312"/>
              </w:rPr>
            </w:pPr>
          </w:p>
        </w:tc>
        <w:tc>
          <w:tcPr>
            <w:tcW w:w="704" w:type="dxa"/>
            <w:gridSpan w:val="2"/>
            <w:vMerge w:val="continue"/>
            <w:vAlign w:val="center"/>
          </w:tcPr>
          <w:p>
            <w:pPr>
              <w:pStyle w:val="46"/>
              <w:spacing w:line="300" w:lineRule="exact"/>
              <w:ind w:firstLine="0" w:firstLineChars="0"/>
              <w:jc w:val="center"/>
            </w:pPr>
          </w:p>
        </w:tc>
        <w:tc>
          <w:tcPr>
            <w:tcW w:w="992" w:type="dxa"/>
            <w:vAlign w:val="center"/>
          </w:tcPr>
          <w:p>
            <w:pPr>
              <w:pStyle w:val="46"/>
              <w:spacing w:line="300" w:lineRule="exact"/>
              <w:ind w:firstLine="0" w:firstLineChars="0"/>
              <w:jc w:val="center"/>
            </w:pPr>
            <w:r>
              <w:rPr>
                <w:rFonts w:hint="eastAsia"/>
              </w:rPr>
              <w:t>污染物排放</w:t>
            </w:r>
          </w:p>
          <w:p>
            <w:pPr>
              <w:pStyle w:val="46"/>
              <w:spacing w:line="300" w:lineRule="exact"/>
              <w:ind w:firstLine="0" w:firstLineChars="0"/>
              <w:jc w:val="center"/>
            </w:pPr>
            <w:r>
              <w:rPr>
                <w:rFonts w:hint="eastAsia"/>
              </w:rPr>
              <w:t>管控</w:t>
            </w:r>
          </w:p>
        </w:tc>
        <w:tc>
          <w:tcPr>
            <w:tcW w:w="3119" w:type="dxa"/>
            <w:gridSpan w:val="2"/>
            <w:vAlign w:val="center"/>
          </w:tcPr>
          <w:p>
            <w:pPr>
              <w:widowControl/>
              <w:spacing w:line="300" w:lineRule="exact"/>
              <w:rPr>
                <w:rFonts w:ascii="宋体" w:hAnsi="宋体"/>
                <w:spacing w:val="4"/>
                <w:kern w:val="0"/>
                <w:sz w:val="24"/>
                <w:szCs w:val="21"/>
              </w:rPr>
            </w:pPr>
            <w:r>
              <w:rPr>
                <w:rFonts w:ascii="宋体" w:hAnsi="宋体"/>
                <w:spacing w:val="4"/>
                <w:kern w:val="0"/>
                <w:sz w:val="24"/>
                <w:szCs w:val="21"/>
              </w:rPr>
              <w:t>（1）严格落实环境保护目标责任制，强化污染物总量控制目标考核，健全重大环境事件和污染事故责任追究制度，加大问责力度。强化环境执法监督，严格污染物排放标准、环境影响评价和污染物排放许可制度，进一步健全环境监管体制。严格执行行业排放标准、清洁生产标准，降低污染物产生强度、排放强度。</w:t>
            </w:r>
          </w:p>
          <w:p>
            <w:pPr>
              <w:widowControl/>
              <w:spacing w:line="300" w:lineRule="exact"/>
              <w:rPr>
                <w:rFonts w:ascii="宋体" w:hAnsi="宋体"/>
                <w:spacing w:val="4"/>
                <w:kern w:val="0"/>
                <w:sz w:val="24"/>
                <w:szCs w:val="21"/>
              </w:rPr>
            </w:pPr>
            <w:r>
              <w:rPr>
                <w:rFonts w:ascii="宋体" w:hAnsi="宋体"/>
                <w:spacing w:val="4"/>
                <w:kern w:val="0"/>
                <w:sz w:val="24"/>
                <w:szCs w:val="21"/>
              </w:rPr>
              <w:t>（2）已有改扩建项目要提高节能环保准入门槛，实行大气污染物排放减量置换，实施区域内最严格的大气污染物排放标准。</w:t>
            </w:r>
          </w:p>
          <w:p>
            <w:pPr>
              <w:pStyle w:val="46"/>
              <w:spacing w:line="300" w:lineRule="exact"/>
              <w:ind w:firstLine="0" w:firstLineChars="0"/>
              <w:rPr>
                <w:spacing w:val="4"/>
                <w:szCs w:val="21"/>
              </w:rPr>
            </w:pPr>
            <w:r>
              <w:rPr>
                <w:spacing w:val="4"/>
                <w:szCs w:val="21"/>
              </w:rPr>
              <w:t>（3）已达到大气环境质量标准的地区，应当严格控制新增排放大气污染物项目大气污染物排放量。</w:t>
            </w:r>
          </w:p>
        </w:tc>
        <w:tc>
          <w:tcPr>
            <w:tcW w:w="2551" w:type="dxa"/>
            <w:vAlign w:val="center"/>
          </w:tcPr>
          <w:p>
            <w:pPr>
              <w:pStyle w:val="46"/>
              <w:wordWrap w:val="0"/>
              <w:spacing w:line="300" w:lineRule="atLeast"/>
              <w:ind w:firstLine="0" w:firstLineChars="0"/>
              <w:rPr>
                <w:rFonts w:cs="宋体"/>
                <w:spacing w:val="-6"/>
                <w:kern w:val="2"/>
              </w:rPr>
            </w:pPr>
            <w:r>
              <w:rPr>
                <w:rFonts w:hint="eastAsia" w:cs="宋体"/>
              </w:rPr>
              <w:t>本项目无运营期，无需进行总量控制，施工期以及钻井期排放的废气量较少，不会对大气环境质量造成影响，生活废水暂时排入生活营地临时生活污水储集防渗池，集中收集清运至克拉玛依市第二污水处理厂进行处理，试油期废水进罐，定期由罐车拉运至车8</w:t>
            </w:r>
            <w:r>
              <w:rPr>
                <w:rFonts w:cs="宋体"/>
              </w:rPr>
              <w:t>9</w:t>
            </w:r>
            <w:r>
              <w:rPr>
                <w:rFonts w:hint="eastAsia" w:cs="宋体"/>
              </w:rPr>
              <w:t>集中处理站进行处理。符合（1）、（2）以及（3）的要求。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430" w:type="dxa"/>
            <w:vMerge w:val="continue"/>
            <w:tcMar>
              <w:top w:w="16" w:type="dxa"/>
              <w:left w:w="16" w:type="dxa"/>
              <w:right w:w="16" w:type="dxa"/>
            </w:tcMar>
            <w:vAlign w:val="center"/>
          </w:tcPr>
          <w:p>
            <w:pPr>
              <w:pStyle w:val="46"/>
              <w:wordWrap w:val="0"/>
              <w:spacing w:line="300" w:lineRule="exact"/>
              <w:ind w:firstLine="0" w:firstLineChars="0"/>
              <w:jc w:val="center"/>
              <w:rPr>
                <w:rFonts w:cs="仿宋_GB2312"/>
              </w:rPr>
            </w:pPr>
          </w:p>
        </w:tc>
        <w:tc>
          <w:tcPr>
            <w:tcW w:w="704" w:type="dxa"/>
            <w:gridSpan w:val="2"/>
            <w:vMerge w:val="continue"/>
            <w:vAlign w:val="center"/>
          </w:tcPr>
          <w:p>
            <w:pPr>
              <w:pStyle w:val="46"/>
              <w:spacing w:line="300" w:lineRule="exact"/>
              <w:ind w:firstLine="0" w:firstLineChars="0"/>
              <w:jc w:val="center"/>
            </w:pPr>
          </w:p>
        </w:tc>
        <w:tc>
          <w:tcPr>
            <w:tcW w:w="992" w:type="dxa"/>
            <w:vAlign w:val="center"/>
          </w:tcPr>
          <w:p>
            <w:pPr>
              <w:pStyle w:val="46"/>
              <w:spacing w:line="300" w:lineRule="exact"/>
              <w:ind w:firstLine="0" w:firstLineChars="0"/>
              <w:jc w:val="center"/>
            </w:pPr>
            <w:r>
              <w:rPr>
                <w:rFonts w:hint="eastAsia"/>
              </w:rPr>
              <w:t>环境风险防控</w:t>
            </w:r>
          </w:p>
        </w:tc>
        <w:tc>
          <w:tcPr>
            <w:tcW w:w="3119" w:type="dxa"/>
            <w:gridSpan w:val="2"/>
            <w:vAlign w:val="center"/>
          </w:tcPr>
          <w:p>
            <w:pPr>
              <w:widowControl/>
              <w:spacing w:line="300" w:lineRule="exact"/>
              <w:rPr>
                <w:rFonts w:ascii="宋体" w:hAnsi="宋体"/>
                <w:spacing w:val="4"/>
                <w:kern w:val="0"/>
                <w:sz w:val="24"/>
                <w:szCs w:val="21"/>
              </w:rPr>
            </w:pPr>
            <w:r>
              <w:rPr>
                <w:rFonts w:hint="eastAsia" w:ascii="宋体" w:hAnsi="宋体"/>
                <w:spacing w:val="4"/>
                <w:kern w:val="0"/>
                <w:sz w:val="24"/>
                <w:szCs w:val="21"/>
              </w:rPr>
              <w:t>（1）对耕地面积减少或土壤环境质量下降的团场要进行预警提醒，并依法采取环评限批等限制性措施。</w:t>
            </w:r>
          </w:p>
          <w:p>
            <w:pPr>
              <w:widowControl/>
              <w:spacing w:line="300" w:lineRule="exact"/>
              <w:rPr>
                <w:rFonts w:ascii="宋体" w:hAnsi="宋体"/>
                <w:spacing w:val="4"/>
                <w:kern w:val="0"/>
                <w:sz w:val="24"/>
                <w:szCs w:val="21"/>
              </w:rPr>
            </w:pPr>
            <w:r>
              <w:rPr>
                <w:rFonts w:hint="eastAsia" w:ascii="宋体" w:hAnsi="宋体"/>
                <w:spacing w:val="4"/>
                <w:kern w:val="0"/>
                <w:sz w:val="24"/>
                <w:szCs w:val="21"/>
              </w:rPr>
              <w:t>（2）执行自治区重污染天气预警分级标准，同一区域内执行统一应急预警标准。当预测到区域将出现大范围重污染天气时，按照自治区统一发布预警信息，师市要按级别同步启动应急响应，落实应急措施，实施区域应急联动。</w:t>
            </w:r>
          </w:p>
          <w:p>
            <w:pPr>
              <w:pStyle w:val="46"/>
              <w:spacing w:line="300" w:lineRule="exact"/>
              <w:ind w:firstLine="0" w:firstLineChars="0"/>
              <w:rPr>
                <w:rFonts w:cs="宋体"/>
                <w:spacing w:val="-6"/>
              </w:rPr>
            </w:pPr>
            <w:r>
              <w:rPr>
                <w:rFonts w:hint="eastAsia"/>
                <w:spacing w:val="4"/>
                <w:szCs w:val="21"/>
              </w:rPr>
              <w:t>（3）对威胁地下水、饮用水水源安全的耕地，制定环境风险管控方案，并落实有关措施。</w:t>
            </w:r>
          </w:p>
        </w:tc>
        <w:tc>
          <w:tcPr>
            <w:tcW w:w="2551" w:type="dxa"/>
            <w:vAlign w:val="center"/>
          </w:tcPr>
          <w:p>
            <w:pPr>
              <w:pStyle w:val="46"/>
              <w:wordWrap w:val="0"/>
              <w:spacing w:line="300" w:lineRule="atLeast"/>
              <w:ind w:firstLine="0" w:firstLineChars="0"/>
              <w:rPr>
                <w:rFonts w:cs="宋体"/>
                <w:spacing w:val="-6"/>
                <w:kern w:val="2"/>
              </w:rPr>
            </w:pPr>
            <w:r>
              <w:rPr>
                <w:rFonts w:hint="eastAsia" w:cs="宋体"/>
              </w:rPr>
              <w:t>本项目占地不占用耕地，根据相关资料，项目所在区域地下水深度约为5</w:t>
            </w:r>
            <w:r>
              <w:rPr>
                <w:rFonts w:cs="宋体"/>
              </w:rPr>
              <w:t>0</w:t>
            </w:r>
            <m:oMath>
              <m:r>
                <m:rPr/>
                <w:rPr>
                  <w:rFonts w:hint="eastAsia" w:ascii="Cambria Math" w:hAnsi="Cambria Math"/>
                </w:rPr>
                <m:t>～</m:t>
              </m:r>
            </m:oMath>
            <w:r>
              <w:t>100</w:t>
            </w:r>
            <w:r>
              <w:rPr>
                <w:rFonts w:hint="eastAsia"/>
              </w:rPr>
              <w:t>m，钻井过程中表层套管深度为5</w:t>
            </w:r>
            <w:r>
              <w:t>00</w:t>
            </w:r>
            <w:r>
              <w:rPr>
                <w:rFonts w:hint="eastAsia"/>
              </w:rPr>
              <w:t>m，可以保护地下水不受污染。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15" w:hRule="atLeast"/>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430" w:type="dxa"/>
            <w:vMerge w:val="continue"/>
            <w:tcMar>
              <w:top w:w="16" w:type="dxa"/>
              <w:left w:w="16" w:type="dxa"/>
              <w:right w:w="16" w:type="dxa"/>
            </w:tcMar>
            <w:vAlign w:val="center"/>
          </w:tcPr>
          <w:p>
            <w:pPr>
              <w:pStyle w:val="46"/>
              <w:wordWrap w:val="0"/>
              <w:spacing w:line="300" w:lineRule="exact"/>
              <w:ind w:firstLine="0" w:firstLineChars="0"/>
              <w:jc w:val="center"/>
              <w:rPr>
                <w:rFonts w:cs="仿宋_GB2312"/>
              </w:rPr>
            </w:pPr>
          </w:p>
        </w:tc>
        <w:tc>
          <w:tcPr>
            <w:tcW w:w="704" w:type="dxa"/>
            <w:gridSpan w:val="2"/>
            <w:vMerge w:val="continue"/>
            <w:vAlign w:val="center"/>
          </w:tcPr>
          <w:p>
            <w:pPr>
              <w:pStyle w:val="46"/>
              <w:spacing w:line="300" w:lineRule="exact"/>
              <w:ind w:firstLine="0" w:firstLineChars="0"/>
              <w:jc w:val="center"/>
            </w:pPr>
          </w:p>
        </w:tc>
        <w:tc>
          <w:tcPr>
            <w:tcW w:w="992" w:type="dxa"/>
            <w:vAlign w:val="center"/>
          </w:tcPr>
          <w:p>
            <w:pPr>
              <w:pStyle w:val="46"/>
              <w:spacing w:line="300" w:lineRule="exact"/>
              <w:ind w:firstLine="0" w:firstLineChars="0"/>
              <w:jc w:val="center"/>
              <w:rPr>
                <w:spacing w:val="4"/>
                <w:szCs w:val="21"/>
              </w:rPr>
            </w:pPr>
            <w:r>
              <w:rPr>
                <w:rFonts w:hint="eastAsia"/>
                <w:spacing w:val="4"/>
                <w:szCs w:val="21"/>
              </w:rPr>
              <w:t>资源利用效率</w:t>
            </w:r>
          </w:p>
        </w:tc>
        <w:tc>
          <w:tcPr>
            <w:tcW w:w="3119" w:type="dxa"/>
            <w:gridSpan w:val="2"/>
            <w:vAlign w:val="center"/>
          </w:tcPr>
          <w:p>
            <w:pPr>
              <w:widowControl/>
              <w:spacing w:line="300" w:lineRule="exact"/>
              <w:rPr>
                <w:rFonts w:ascii="宋体" w:hAnsi="宋体"/>
                <w:spacing w:val="4"/>
                <w:kern w:val="0"/>
                <w:sz w:val="24"/>
                <w:szCs w:val="21"/>
              </w:rPr>
            </w:pPr>
            <w:r>
              <w:rPr>
                <w:rFonts w:hint="eastAsia" w:ascii="宋体" w:hAnsi="宋体"/>
                <w:spacing w:val="4"/>
                <w:kern w:val="0"/>
                <w:sz w:val="24"/>
                <w:szCs w:val="21"/>
              </w:rPr>
              <w:t>（1）推行秸秆还田、增施有机肥、少耕免耕、粮豆轮作、化肥农药减量、农膜减量与回收利用等措施，切实保护耕地土壤环境质量。</w:t>
            </w:r>
          </w:p>
          <w:p>
            <w:pPr>
              <w:widowControl/>
              <w:spacing w:line="300" w:lineRule="exact"/>
              <w:rPr>
                <w:rFonts w:ascii="宋体" w:hAnsi="宋体"/>
                <w:spacing w:val="4"/>
                <w:kern w:val="0"/>
                <w:sz w:val="24"/>
                <w:szCs w:val="21"/>
              </w:rPr>
            </w:pPr>
            <w:r>
              <w:rPr>
                <w:rFonts w:hint="eastAsia" w:ascii="宋体" w:hAnsi="宋体"/>
                <w:spacing w:val="4"/>
                <w:kern w:val="0"/>
                <w:sz w:val="24"/>
                <w:szCs w:val="21"/>
              </w:rPr>
              <w:t>（2）通过政策补偿等措施，逐步推行以天然气或电替代煤炭。</w:t>
            </w:r>
          </w:p>
          <w:p>
            <w:pPr>
              <w:pStyle w:val="46"/>
              <w:spacing w:line="300" w:lineRule="exact"/>
              <w:ind w:firstLine="0" w:firstLineChars="0"/>
              <w:rPr>
                <w:spacing w:val="4"/>
                <w:szCs w:val="21"/>
              </w:rPr>
            </w:pPr>
            <w:r>
              <w:rPr>
                <w:rFonts w:hint="eastAsia"/>
                <w:spacing w:val="4"/>
                <w:szCs w:val="21"/>
              </w:rPr>
              <w:t>（3）推进规模化高效节水灌溉，推广农作物节水抗旱技术。发展以喷滴灌和渠道防渗为中心的节水农业。</w:t>
            </w:r>
          </w:p>
        </w:tc>
        <w:tc>
          <w:tcPr>
            <w:tcW w:w="2551" w:type="dxa"/>
            <w:vAlign w:val="center"/>
          </w:tcPr>
          <w:p>
            <w:pPr>
              <w:pStyle w:val="46"/>
              <w:wordWrap w:val="0"/>
              <w:spacing w:line="300" w:lineRule="atLeast"/>
              <w:ind w:firstLine="0" w:firstLineChars="0"/>
              <w:rPr>
                <w:rFonts w:cs="宋体"/>
                <w:spacing w:val="-6"/>
                <w:kern w:val="2"/>
              </w:rPr>
            </w:pPr>
            <w:r>
              <w:rPr>
                <w:rFonts w:hint="eastAsia" w:cs="宋体"/>
                <w:spacing w:val="-6"/>
                <w:kern w:val="2"/>
              </w:rPr>
              <w:t>本项目不涉及农业活动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2126" w:type="dxa"/>
            <w:gridSpan w:val="4"/>
            <w:tcMar>
              <w:top w:w="16" w:type="dxa"/>
              <w:left w:w="16" w:type="dxa"/>
              <w:right w:w="16" w:type="dxa"/>
            </w:tcMar>
            <w:vAlign w:val="center"/>
          </w:tcPr>
          <w:p>
            <w:pPr>
              <w:pStyle w:val="46"/>
              <w:spacing w:line="300" w:lineRule="exact"/>
              <w:ind w:firstLine="0" w:firstLineChars="0"/>
              <w:jc w:val="center"/>
              <w:rPr>
                <w:rFonts w:cs="宋体"/>
                <w:kern w:val="2"/>
              </w:rPr>
            </w:pPr>
            <w:r>
              <w:rPr>
                <w:rFonts w:hint="eastAsia" w:cs="宋体"/>
                <w:kern w:val="2"/>
              </w:rPr>
              <w:t>主体功能区划</w:t>
            </w:r>
          </w:p>
        </w:tc>
        <w:tc>
          <w:tcPr>
            <w:tcW w:w="5670" w:type="dxa"/>
            <w:gridSpan w:val="3"/>
            <w:vAlign w:val="center"/>
          </w:tcPr>
          <w:p>
            <w:pPr>
              <w:pStyle w:val="46"/>
              <w:spacing w:line="300" w:lineRule="exact"/>
              <w:ind w:firstLine="496"/>
              <w:rPr>
                <w:rFonts w:cs="宋体"/>
                <w:spacing w:val="8"/>
                <w:kern w:val="2"/>
              </w:rPr>
            </w:pPr>
            <w:r>
              <w:rPr>
                <w:rFonts w:hint="eastAsia" w:cs="宋体"/>
                <w:spacing w:val="8"/>
                <w:kern w:val="2"/>
              </w:rPr>
              <w:t>项目位于《新疆生产建设兵团主体功能区规划》</w:t>
            </w:r>
            <w:r>
              <w:rPr>
                <w:rFonts w:hint="eastAsia"/>
              </w:rPr>
              <w:t>中的天山北坡农产品主产区，</w:t>
            </w:r>
            <w:r>
              <w:rPr>
                <w:rFonts w:hint="eastAsia" w:cs="宋体"/>
                <w:spacing w:val="8"/>
                <w:kern w:val="2"/>
              </w:rPr>
              <w:t>该区域</w:t>
            </w:r>
            <w:r>
              <w:rPr>
                <w:rFonts w:hint="eastAsia" w:cs="宋体"/>
                <w:spacing w:val="-6"/>
                <w:kern w:val="2"/>
              </w:rPr>
              <w:t>不限制矿产资源勘查</w:t>
            </w:r>
            <w:r>
              <w:rPr>
                <w:rFonts w:hint="eastAsia" w:cs="宋体"/>
                <w:spacing w:val="8"/>
                <w:kern w:val="2"/>
              </w:rPr>
              <w:t>。符合相关要求。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93" w:hRule="atLeast"/>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975" w:type="dxa"/>
            <w:gridSpan w:val="2"/>
            <w:vMerge w:val="restart"/>
            <w:tcMar>
              <w:top w:w="16" w:type="dxa"/>
              <w:left w:w="16" w:type="dxa"/>
              <w:right w:w="16" w:type="dxa"/>
            </w:tcMar>
            <w:vAlign w:val="center"/>
          </w:tcPr>
          <w:p>
            <w:pPr>
              <w:pStyle w:val="46"/>
              <w:spacing w:line="300" w:lineRule="exact"/>
              <w:ind w:firstLine="0" w:firstLineChars="0"/>
              <w:jc w:val="center"/>
              <w:rPr>
                <w:rFonts w:cs="宋体"/>
                <w:spacing w:val="24"/>
              </w:rPr>
            </w:pPr>
            <w:r>
              <w:rPr>
                <w:rFonts w:hint="eastAsia"/>
              </w:rPr>
              <w:t>相关环保政策</w:t>
            </w:r>
          </w:p>
        </w:tc>
        <w:tc>
          <w:tcPr>
            <w:tcW w:w="1151" w:type="dxa"/>
            <w:gridSpan w:val="2"/>
            <w:vAlign w:val="center"/>
          </w:tcPr>
          <w:p>
            <w:pPr>
              <w:pStyle w:val="46"/>
              <w:spacing w:line="300" w:lineRule="exact"/>
              <w:ind w:firstLine="0" w:firstLineChars="0"/>
              <w:jc w:val="center"/>
              <w:rPr>
                <w:rFonts w:cs="宋体"/>
                <w:spacing w:val="24"/>
              </w:rPr>
            </w:pPr>
            <w:r>
              <w:rPr>
                <w:rFonts w:hint="eastAsia" w:cs="宋体"/>
                <w:spacing w:val="4"/>
              </w:rPr>
              <w:t>《</w:t>
            </w:r>
            <w:r>
              <w:rPr>
                <w:rFonts w:hint="eastAsia"/>
                <w:spacing w:val="4"/>
              </w:rPr>
              <w:t>石油天然气开采业污染防治技术政策</w:t>
            </w:r>
            <w:r>
              <w:rPr>
                <w:rFonts w:hint="eastAsia" w:cs="宋体"/>
                <w:spacing w:val="4"/>
              </w:rPr>
              <w:t>》</w:t>
            </w:r>
          </w:p>
        </w:tc>
        <w:tc>
          <w:tcPr>
            <w:tcW w:w="5670" w:type="dxa"/>
            <w:gridSpan w:val="3"/>
            <w:vAlign w:val="center"/>
          </w:tcPr>
          <w:p>
            <w:pPr>
              <w:spacing w:line="300" w:lineRule="exact"/>
              <w:ind w:firstLine="480" w:firstLineChars="200"/>
              <w:rPr>
                <w:rFonts w:ascii="宋体" w:hAnsi="宋体" w:cs="宋体"/>
                <w:sz w:val="24"/>
              </w:rPr>
            </w:pPr>
            <w:r>
              <w:rPr>
                <w:rFonts w:hint="eastAsia" w:ascii="宋体" w:hAnsi="宋体" w:cs="宋体"/>
                <w:sz w:val="24"/>
              </w:rPr>
              <w:t>本项目一开采用水基钻井液，二开及以后开次采用油基钻井液，钻井井场设钻井液不落地设备，分离出的液相回用于钻井，钻井过程无废水产生。试油期洗井废水和压裂返排液送至车89集中处理站采出水处理系统处理达标后回注油藏，不外排。钻井过程中产生的水基钻井岩屑进岩屑专用方罐，由岩屑处置单位直接拉运进行处理，满足相关要求后进行综合利用；油基岩屑属于HW08类危险废物，进罐贮存，交由有资质的单位进行接收、转运和处置</w:t>
            </w:r>
            <w:r>
              <w:rPr>
                <w:rFonts w:hint="eastAsia" w:cs="宋体"/>
                <w:sz w:val="24"/>
              </w:rPr>
              <w:t>；</w:t>
            </w:r>
            <w:r>
              <w:rPr>
                <w:rFonts w:hint="eastAsia" w:ascii="宋体" w:hAnsi="宋体" w:cs="宋体"/>
                <w:sz w:val="24"/>
              </w:rPr>
              <w:t>以上措施均符合《政策》要求。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5" w:hRule="atLeast"/>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975" w:type="dxa"/>
            <w:gridSpan w:val="2"/>
            <w:vMerge w:val="continue"/>
            <w:tcMar>
              <w:top w:w="16" w:type="dxa"/>
              <w:left w:w="16" w:type="dxa"/>
              <w:right w:w="16" w:type="dxa"/>
            </w:tcMar>
            <w:vAlign w:val="center"/>
          </w:tcPr>
          <w:p>
            <w:pPr>
              <w:pStyle w:val="46"/>
              <w:spacing w:line="300" w:lineRule="exact"/>
              <w:ind w:firstLine="0" w:firstLineChars="0"/>
              <w:jc w:val="center"/>
            </w:pPr>
          </w:p>
        </w:tc>
        <w:tc>
          <w:tcPr>
            <w:tcW w:w="1151" w:type="dxa"/>
            <w:gridSpan w:val="2"/>
            <w:vAlign w:val="center"/>
          </w:tcPr>
          <w:p>
            <w:pPr>
              <w:pStyle w:val="46"/>
              <w:spacing w:line="300" w:lineRule="exact"/>
              <w:ind w:firstLine="0" w:firstLineChars="0"/>
              <w:jc w:val="center"/>
              <w:rPr>
                <w:rFonts w:cs="宋体"/>
                <w:spacing w:val="4"/>
              </w:rPr>
            </w:pPr>
            <w:r>
              <w:rPr>
                <w:rFonts w:hint="eastAsia" w:cs="宋体"/>
                <w:spacing w:val="4"/>
              </w:rPr>
              <w:t>《新疆维吾尔自治区煤炭石油天然气开发环境保护条例》</w:t>
            </w:r>
          </w:p>
        </w:tc>
        <w:tc>
          <w:tcPr>
            <w:tcW w:w="5670" w:type="dxa"/>
            <w:gridSpan w:val="3"/>
            <w:vAlign w:val="center"/>
          </w:tcPr>
          <w:p>
            <w:pPr>
              <w:spacing w:line="300" w:lineRule="exact"/>
              <w:ind w:firstLine="480" w:firstLineChars="200"/>
              <w:rPr>
                <w:rFonts w:ascii="宋体" w:hAnsi="宋体" w:cs="宋体"/>
              </w:rPr>
            </w:pPr>
            <w:r>
              <w:rPr>
                <w:rFonts w:hint="eastAsia" w:ascii="宋体" w:hAnsi="宋体" w:cs="宋体"/>
                <w:sz w:val="24"/>
              </w:rPr>
              <w:t>项目区不涉及生态敏感区；施工期产生的污染物随施工期的结束而消失，不会对周围环境产生明显影响，钻试工程无运营期，无需对环境现状质量进行监测；</w:t>
            </w:r>
            <w:r>
              <w:rPr>
                <w:rFonts w:hint="eastAsia" w:ascii="宋体" w:hAnsi="宋体"/>
                <w:sz w:val="24"/>
              </w:rPr>
              <w:t>试油期产生的伴生气产量较小且不稳定无法进行回收，经排气管线点燃充分燃烧后放空；钻井过程中使用水泥固井，用套管将含水层与井筒分隔开；井场采用了符合规范的防渗措施</w:t>
            </w:r>
            <w:r>
              <w:rPr>
                <w:rFonts w:hint="eastAsia" w:ascii="宋体" w:hAnsi="宋体" w:cs="宋体"/>
                <w:sz w:val="24"/>
              </w:rPr>
              <w:t>；环境</w:t>
            </w:r>
            <w:r>
              <w:rPr>
                <w:rFonts w:hint="eastAsia" w:ascii="宋体" w:hAnsi="宋体"/>
                <w:sz w:val="24"/>
              </w:rPr>
              <w:t>风险防范执行</w:t>
            </w:r>
            <w:r>
              <w:rPr>
                <w:rFonts w:hint="eastAsia" w:ascii="宋体" w:hAnsi="宋体" w:cs="宋体"/>
                <w:sz w:val="24"/>
              </w:rPr>
              <w:t>《新疆油田公司勘探事业部突发环境事件应急预案》中风险防范及应急措施。以上措施均符合《条例》要求。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06" w:hRule="atLeast"/>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975" w:type="dxa"/>
            <w:gridSpan w:val="2"/>
            <w:vMerge w:val="continue"/>
            <w:tcMar>
              <w:top w:w="16" w:type="dxa"/>
              <w:left w:w="16" w:type="dxa"/>
              <w:right w:w="16" w:type="dxa"/>
            </w:tcMar>
            <w:vAlign w:val="center"/>
          </w:tcPr>
          <w:p>
            <w:pPr>
              <w:pStyle w:val="46"/>
              <w:spacing w:line="300" w:lineRule="exact"/>
              <w:ind w:firstLine="0" w:firstLineChars="0"/>
              <w:jc w:val="center"/>
            </w:pPr>
          </w:p>
        </w:tc>
        <w:tc>
          <w:tcPr>
            <w:tcW w:w="1151" w:type="dxa"/>
            <w:gridSpan w:val="2"/>
            <w:vAlign w:val="center"/>
          </w:tcPr>
          <w:p>
            <w:pPr>
              <w:pStyle w:val="46"/>
              <w:spacing w:line="300" w:lineRule="exact"/>
              <w:ind w:firstLine="0" w:firstLineChars="0"/>
              <w:jc w:val="center"/>
              <w:rPr>
                <w:rFonts w:cs="宋体"/>
                <w:spacing w:val="24"/>
              </w:rPr>
            </w:pPr>
            <w:r>
              <w:rPr>
                <w:rFonts w:hint="eastAsia" w:cs="宋体"/>
                <w:spacing w:val="4"/>
              </w:rPr>
              <w:t>《关于进一步加强石油天然气行业环境影响评价管理的通知》</w:t>
            </w:r>
          </w:p>
        </w:tc>
        <w:tc>
          <w:tcPr>
            <w:tcW w:w="5670" w:type="dxa"/>
            <w:gridSpan w:val="3"/>
            <w:vAlign w:val="center"/>
          </w:tcPr>
          <w:p>
            <w:pPr>
              <w:spacing w:line="300" w:lineRule="exact"/>
              <w:ind w:firstLine="496" w:firstLineChars="200"/>
              <w:rPr>
                <w:rFonts w:ascii="宋体" w:hAnsi="宋体"/>
                <w:spacing w:val="4"/>
                <w:sz w:val="24"/>
              </w:rPr>
            </w:pPr>
            <w:r>
              <w:rPr>
                <w:rFonts w:hint="eastAsia" w:ascii="宋体" w:hAnsi="宋体"/>
                <w:spacing w:val="4"/>
                <w:sz w:val="24"/>
              </w:rPr>
              <w:t>车排46井所在区域属于未确定产能建设规模的陆地石油天然气开采新区块。</w:t>
            </w:r>
          </w:p>
          <w:p>
            <w:pPr>
              <w:spacing w:line="300" w:lineRule="exact"/>
              <w:ind w:firstLine="496" w:firstLineChars="200"/>
              <w:rPr>
                <w:rFonts w:ascii="宋体" w:hAnsi="宋体" w:cs="宋体"/>
                <w:spacing w:val="4"/>
                <w:sz w:val="24"/>
              </w:rPr>
            </w:pPr>
            <w:r>
              <w:rPr>
                <w:rFonts w:hint="eastAsia" w:ascii="宋体" w:hAnsi="宋体" w:cs="宋体"/>
                <w:spacing w:val="4"/>
                <w:sz w:val="24"/>
              </w:rPr>
              <w:t>本项目实施过程中，将根据中国石油新疆油田分公司在环境管理上建立的健康、安全与环境管理体系（HSE管理体系），落实各项环保和安全措施，减少项目开发对周围环境的影响；本项目为勘探井建设项目，位于未确定产能建设规模的陆地油气开采新区块，应当编制环境影响报告表。以上措施均符合《通知》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841" w:type="dxa"/>
            <w:vMerge w:val="continue"/>
            <w:tcMar>
              <w:top w:w="16" w:type="dxa"/>
              <w:left w:w="16" w:type="dxa"/>
              <w:right w:w="16" w:type="dxa"/>
            </w:tcMar>
            <w:vAlign w:val="center"/>
          </w:tcPr>
          <w:p>
            <w:pPr>
              <w:autoSpaceDE w:val="0"/>
              <w:autoSpaceDN w:val="0"/>
              <w:adjustRightInd w:val="0"/>
              <w:snapToGrid w:val="0"/>
              <w:jc w:val="center"/>
              <w:rPr>
                <w:rFonts w:ascii="宋体" w:hAnsi="宋体" w:cs="宋体"/>
                <w:kern w:val="0"/>
                <w:sz w:val="24"/>
              </w:rPr>
            </w:pPr>
          </w:p>
        </w:tc>
        <w:tc>
          <w:tcPr>
            <w:tcW w:w="975" w:type="dxa"/>
            <w:gridSpan w:val="2"/>
            <w:vMerge w:val="continue"/>
            <w:tcMar>
              <w:top w:w="16" w:type="dxa"/>
              <w:left w:w="16" w:type="dxa"/>
              <w:right w:w="16" w:type="dxa"/>
            </w:tcMar>
            <w:vAlign w:val="center"/>
          </w:tcPr>
          <w:p>
            <w:pPr>
              <w:pStyle w:val="46"/>
              <w:spacing w:line="300" w:lineRule="exact"/>
              <w:ind w:firstLine="0" w:firstLineChars="0"/>
              <w:jc w:val="center"/>
            </w:pPr>
          </w:p>
        </w:tc>
        <w:tc>
          <w:tcPr>
            <w:tcW w:w="1151" w:type="dxa"/>
            <w:gridSpan w:val="2"/>
            <w:vAlign w:val="center"/>
          </w:tcPr>
          <w:p>
            <w:pPr>
              <w:pStyle w:val="46"/>
              <w:spacing w:line="300" w:lineRule="exact"/>
              <w:ind w:firstLine="0" w:firstLineChars="0"/>
              <w:rPr>
                <w:rFonts w:cs="宋体"/>
                <w:spacing w:val="4"/>
              </w:rPr>
            </w:pPr>
            <w:r>
              <w:rPr>
                <w:rFonts w:hint="eastAsia" w:cs="宋体"/>
                <w:spacing w:val="4"/>
              </w:rPr>
              <w:t>《新疆生产建设兵团“十四五”生态环境保护规划》</w:t>
            </w:r>
          </w:p>
        </w:tc>
        <w:tc>
          <w:tcPr>
            <w:tcW w:w="5670" w:type="dxa"/>
            <w:gridSpan w:val="3"/>
            <w:vAlign w:val="center"/>
          </w:tcPr>
          <w:p>
            <w:pPr>
              <w:spacing w:line="300" w:lineRule="exact"/>
              <w:ind w:firstLine="480" w:firstLineChars="200"/>
              <w:rPr>
                <w:rFonts w:ascii="宋体" w:hAnsi="宋体" w:cs="宋体"/>
                <w:sz w:val="24"/>
              </w:rPr>
            </w:pPr>
          </w:p>
          <w:p>
            <w:pPr>
              <w:spacing w:line="300" w:lineRule="exact"/>
              <w:ind w:firstLine="480" w:firstLineChars="200"/>
              <w:rPr>
                <w:rFonts w:ascii="宋体" w:hAnsi="宋体" w:cs="宋体"/>
                <w:sz w:val="24"/>
              </w:rPr>
            </w:pPr>
          </w:p>
          <w:p>
            <w:pPr>
              <w:spacing w:line="300" w:lineRule="exact"/>
              <w:ind w:firstLine="480" w:firstLineChars="200"/>
              <w:rPr>
                <w:rFonts w:ascii="宋体" w:hAnsi="宋体" w:cs="宋体"/>
                <w:spacing w:val="4"/>
                <w:sz w:val="24"/>
              </w:rPr>
            </w:pPr>
            <w:r>
              <w:rPr>
                <w:rFonts w:hint="eastAsia" w:ascii="宋体" w:hAnsi="宋体" w:cs="宋体"/>
                <w:sz w:val="24"/>
              </w:rPr>
              <w:t>本项目不属于“高污染、高耗能、高环境风险”的工业项目，不涉及重金属污染物，位于重点环境管控单元，不涉及生态红线；施工期生活废水暂时排入生活营地临时生活污水储集防渗池，集中收集清运至克拉玛依市第二污水处理厂进行处理，试油期废水进罐，定期由罐车拉运至车89集中处理站进行处理。施工期产生的污染物随施工期的结束而消失，不会对周围环境产生明显影响，钻试工程无运营期。</w:t>
            </w:r>
            <w:r>
              <w:rPr>
                <w:rFonts w:hint="eastAsia" w:ascii="宋体" w:hAnsi="宋体" w:cs="宋体"/>
                <w:spacing w:val="4"/>
                <w:sz w:val="24"/>
              </w:rPr>
              <w:t>以上均符合《规划》要求。</w:t>
            </w:r>
          </w:p>
          <w:p>
            <w:pPr>
              <w:spacing w:line="300" w:lineRule="exact"/>
              <w:ind w:firstLine="496" w:firstLineChars="200"/>
              <w:rPr>
                <w:rFonts w:ascii="宋体" w:hAnsi="宋体" w:cs="宋体"/>
                <w:spacing w:val="4"/>
                <w:sz w:val="24"/>
              </w:rPr>
            </w:pPr>
          </w:p>
          <w:p>
            <w:pPr>
              <w:spacing w:line="300" w:lineRule="exact"/>
              <w:ind w:firstLine="496" w:firstLineChars="200"/>
              <w:rPr>
                <w:rFonts w:ascii="宋体" w:hAnsi="宋体" w:cs="宋体"/>
                <w:spacing w:val="4"/>
                <w:sz w:val="24"/>
              </w:rPr>
            </w:pPr>
          </w:p>
          <w:p>
            <w:pPr>
              <w:spacing w:line="300" w:lineRule="exact"/>
              <w:ind w:firstLine="496" w:firstLineChars="200"/>
              <w:rPr>
                <w:rFonts w:ascii="宋体" w:hAnsi="宋体" w:cs="宋体"/>
                <w:spacing w:val="4"/>
                <w:sz w:val="24"/>
              </w:rPr>
            </w:pPr>
          </w:p>
          <w:p>
            <w:pPr>
              <w:spacing w:line="300" w:lineRule="exact"/>
              <w:ind w:firstLine="496" w:firstLineChars="200"/>
              <w:rPr>
                <w:rFonts w:ascii="宋体" w:hAnsi="宋体" w:cs="宋体"/>
                <w:spacing w:val="4"/>
                <w:sz w:val="24"/>
              </w:rPr>
            </w:pPr>
          </w:p>
          <w:p>
            <w:pPr>
              <w:spacing w:line="300" w:lineRule="exact"/>
              <w:rPr>
                <w:rFonts w:ascii="宋体" w:hAnsi="宋体" w:cs="宋体"/>
                <w:sz w:val="24"/>
              </w:rPr>
            </w:pPr>
          </w:p>
        </w:tc>
      </w:tr>
    </w:tbl>
    <w:p>
      <w:pPr>
        <w:pStyle w:val="2"/>
        <w:rPr>
          <w:snapToGrid w:val="0"/>
          <w:color w:val="auto"/>
        </w:rPr>
      </w:pPr>
      <w:bookmarkStart w:id="6" w:name="_Hlk117990610"/>
      <w:r>
        <w:rPr>
          <w:rFonts w:hint="eastAsia"/>
          <w:snapToGrid w:val="0"/>
          <w:color w:val="auto"/>
        </w:rPr>
        <w:t>二、建设内容</w:t>
      </w:r>
    </w:p>
    <w:bookmarkEnd w:id="6"/>
    <w:tbl>
      <w:tblPr>
        <w:tblStyle w:val="17"/>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0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4" w:hRule="atLeast"/>
          <w:jc w:val="center"/>
        </w:trPr>
        <w:tc>
          <w:tcPr>
            <w:tcW w:w="699" w:type="dxa"/>
            <w:vAlign w:val="center"/>
          </w:tcPr>
          <w:p>
            <w:pPr>
              <w:adjustRightInd w:val="0"/>
              <w:snapToGrid w:val="0"/>
              <w:jc w:val="center"/>
              <w:rPr>
                <w:rFonts w:ascii="宋体" w:hAnsi="宋体" w:cs="宋体"/>
                <w:kern w:val="0"/>
                <w:sz w:val="24"/>
              </w:rPr>
            </w:pPr>
            <w:r>
              <w:rPr>
                <w:rFonts w:hint="eastAsia" w:ascii="宋体" w:hAnsi="宋体" w:cs="宋体"/>
                <w:kern w:val="0"/>
                <w:sz w:val="24"/>
              </w:rPr>
              <w:t>地理位置</w:t>
            </w:r>
          </w:p>
        </w:tc>
        <w:tc>
          <w:tcPr>
            <w:tcW w:w="8080" w:type="dxa"/>
            <w:vAlign w:val="center"/>
          </w:tcPr>
          <w:p>
            <w:pPr>
              <w:pStyle w:val="46"/>
              <w:ind w:firstLine="472"/>
              <w:rPr>
                <w:spacing w:val="-4"/>
              </w:rPr>
            </w:pPr>
            <w:bookmarkStart w:id="7" w:name="_Hlk117962219"/>
            <w:r>
              <w:rPr>
                <w:rFonts w:hint="eastAsia"/>
                <w:spacing w:val="-4"/>
              </w:rPr>
              <w:t>车排46井行政隶属于新疆生产建设兵团第七师1</w:t>
            </w:r>
            <w:r>
              <w:rPr>
                <w:spacing w:val="-4"/>
              </w:rPr>
              <w:t>30</w:t>
            </w:r>
            <w:r>
              <w:rPr>
                <w:rFonts w:hint="eastAsia"/>
                <w:spacing w:val="-4"/>
              </w:rPr>
              <w:t>团，西南距新疆生产建设兵团第七师胡杨河市约</w:t>
            </w:r>
            <w:r>
              <w:rPr>
                <w:spacing w:val="-4"/>
              </w:rPr>
              <w:t>10.5</w:t>
            </w:r>
            <w:r>
              <w:rPr>
                <w:rFonts w:hint="eastAsia"/>
                <w:spacing w:val="-4"/>
              </w:rPr>
              <w:t>k</w:t>
            </w:r>
            <w:r>
              <w:rPr>
                <w:spacing w:val="-4"/>
              </w:rPr>
              <w:t>m</w:t>
            </w:r>
            <w:r>
              <w:rPr>
                <w:rFonts w:hint="eastAsia"/>
                <w:spacing w:val="-4"/>
              </w:rPr>
              <w:t>，西南距新疆生产建设兵团第七师1</w:t>
            </w:r>
            <w:r>
              <w:rPr>
                <w:spacing w:val="-4"/>
              </w:rPr>
              <w:t>30</w:t>
            </w:r>
            <w:r>
              <w:rPr>
                <w:rFonts w:hint="eastAsia"/>
                <w:spacing w:val="-4"/>
              </w:rPr>
              <w:t>团团部约</w:t>
            </w:r>
            <w:r>
              <w:rPr>
                <w:spacing w:val="-4"/>
              </w:rPr>
              <w:t>8.9</w:t>
            </w:r>
            <w:r>
              <w:rPr>
                <w:rFonts w:hint="eastAsia"/>
                <w:spacing w:val="-4"/>
              </w:rPr>
              <w:t>km，西北距采油一厂车8</w:t>
            </w:r>
            <w:r>
              <w:rPr>
                <w:spacing w:val="-4"/>
              </w:rPr>
              <w:t>9</w:t>
            </w:r>
            <w:r>
              <w:rPr>
                <w:rFonts w:hint="eastAsia"/>
                <w:spacing w:val="-4"/>
              </w:rPr>
              <w:t>集中处理站约2</w:t>
            </w:r>
            <w:r>
              <w:rPr>
                <w:spacing w:val="-4"/>
              </w:rPr>
              <w:t>2.9km</w:t>
            </w:r>
            <w:r>
              <w:rPr>
                <w:rFonts w:hint="eastAsia"/>
                <w:spacing w:val="-4"/>
              </w:rPr>
              <w:t>。</w:t>
            </w:r>
            <w:bookmarkEnd w:id="7"/>
            <w:r>
              <w:rPr>
                <w:rFonts w:hint="eastAsia"/>
                <w:spacing w:val="-4"/>
              </w:rPr>
              <w:t>井位坐标见表1</w:t>
            </w:r>
            <w:r>
              <w:rPr>
                <w:rFonts w:hint="eastAsia" w:cs="宋体"/>
                <w:spacing w:val="-4"/>
              </w:rPr>
              <w:t>，地理位置及区域</w:t>
            </w:r>
            <w:r>
              <w:rPr>
                <w:rFonts w:hint="eastAsia"/>
                <w:spacing w:val="-4"/>
              </w:rPr>
              <w:t>位置关系见附图2、附图</w:t>
            </w:r>
            <w:r>
              <w:rPr>
                <w:spacing w:val="-4"/>
              </w:rPr>
              <w:t>3</w:t>
            </w:r>
            <w:r>
              <w:rPr>
                <w:rFonts w:hint="eastAsia"/>
                <w:spacing w:val="-4"/>
              </w:rPr>
              <w:t>。</w:t>
            </w:r>
          </w:p>
          <w:p>
            <w:pPr>
              <w:pStyle w:val="6"/>
              <w:keepNext/>
            </w:pPr>
            <w:r>
              <w:rPr>
                <w:rFonts w:hint="eastAsia"/>
              </w:rPr>
              <w:t xml:space="preserve">表1  </w:t>
            </w:r>
            <w:r>
              <w:t xml:space="preserve">  </w:t>
            </w:r>
            <w:r>
              <w:rPr>
                <w:rFonts w:hint="eastAsia"/>
              </w:rPr>
              <w:t>拟部署井位井口坐标一览表</w:t>
            </w:r>
          </w:p>
          <w:tbl>
            <w:tblPr>
              <w:tblStyle w:val="6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865"/>
              <w:gridCol w:w="1824"/>
              <w:gridCol w:w="1475"/>
              <w:gridCol w:w="14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93" w:type="pct"/>
                  <w:vMerge w:val="restart"/>
                  <w:vAlign w:val="center"/>
                </w:tcPr>
                <w:p>
                  <w:pPr>
                    <w:pStyle w:val="49"/>
                    <w:spacing w:line="300" w:lineRule="exact"/>
                  </w:pPr>
                  <w:r>
                    <w:rPr>
                      <w:rFonts w:hint="eastAsia"/>
                    </w:rPr>
                    <w:t>井号</w:t>
                  </w:r>
                </w:p>
              </w:tc>
              <w:tc>
                <w:tcPr>
                  <w:tcW w:w="2345" w:type="pct"/>
                  <w:gridSpan w:val="2"/>
                  <w:vAlign w:val="center"/>
                </w:tcPr>
                <w:p>
                  <w:pPr>
                    <w:pStyle w:val="49"/>
                    <w:spacing w:line="300" w:lineRule="exact"/>
                  </w:pPr>
                  <w:r>
                    <w:rPr>
                      <w:rFonts w:hint="eastAsia"/>
                    </w:rPr>
                    <w:t>经纬度坐标</w:t>
                  </w:r>
                </w:p>
              </w:tc>
              <w:tc>
                <w:tcPr>
                  <w:tcW w:w="1862" w:type="pct"/>
                  <w:gridSpan w:val="2"/>
                  <w:vAlign w:val="center"/>
                </w:tcPr>
                <w:p>
                  <w:pPr>
                    <w:pStyle w:val="49"/>
                    <w:spacing w:line="300" w:lineRule="exact"/>
                  </w:pPr>
                  <w:r>
                    <w:rPr>
                      <w:rFonts w:hint="eastAsia"/>
                    </w:rPr>
                    <w:t>大地坐标（北京5</w:t>
                  </w:r>
                  <w:r>
                    <w:t>4</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93" w:type="pct"/>
                  <w:vMerge w:val="continue"/>
                  <w:vAlign w:val="center"/>
                </w:tcPr>
                <w:p>
                  <w:pPr>
                    <w:pStyle w:val="49"/>
                    <w:spacing w:line="300" w:lineRule="exact"/>
                  </w:pPr>
                </w:p>
              </w:tc>
              <w:tc>
                <w:tcPr>
                  <w:tcW w:w="1186" w:type="pct"/>
                  <w:vAlign w:val="center"/>
                </w:tcPr>
                <w:p>
                  <w:pPr>
                    <w:pStyle w:val="49"/>
                    <w:spacing w:line="300" w:lineRule="exact"/>
                  </w:pPr>
                  <w:r>
                    <w:rPr>
                      <w:rFonts w:hint="eastAsia"/>
                    </w:rPr>
                    <w:t>东经</w:t>
                  </w:r>
                </w:p>
              </w:tc>
              <w:tc>
                <w:tcPr>
                  <w:tcW w:w="1160" w:type="pct"/>
                  <w:vAlign w:val="center"/>
                </w:tcPr>
                <w:p>
                  <w:pPr>
                    <w:pStyle w:val="49"/>
                    <w:spacing w:line="300" w:lineRule="exact"/>
                  </w:pPr>
                  <w:r>
                    <w:rPr>
                      <w:rFonts w:hint="eastAsia"/>
                    </w:rPr>
                    <w:t>北纬</w:t>
                  </w:r>
                </w:p>
              </w:tc>
              <w:tc>
                <w:tcPr>
                  <w:tcW w:w="938" w:type="pct"/>
                  <w:vAlign w:val="center"/>
                </w:tcPr>
                <w:p>
                  <w:pPr>
                    <w:pStyle w:val="49"/>
                    <w:spacing w:line="300" w:lineRule="exact"/>
                  </w:pPr>
                  <w:r>
                    <w:t>Y</w:t>
                  </w:r>
                </w:p>
              </w:tc>
              <w:tc>
                <w:tcPr>
                  <w:tcW w:w="924" w:type="pct"/>
                  <w:vAlign w:val="center"/>
                </w:tcPr>
                <w:p>
                  <w:pPr>
                    <w:pStyle w:val="49"/>
                    <w:spacing w:line="300" w:lineRule="exact"/>
                  </w:pPr>
                  <w:r>
                    <w:t>X</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93" w:type="pct"/>
                  <w:vAlign w:val="center"/>
                </w:tcPr>
                <w:p>
                  <w:pPr>
                    <w:pStyle w:val="49"/>
                    <w:spacing w:line="300" w:lineRule="exact"/>
                  </w:pPr>
                  <w:r>
                    <w:rPr>
                      <w:rFonts w:hint="eastAsia"/>
                    </w:rPr>
                    <w:t>车排46井</w:t>
                  </w:r>
                </w:p>
              </w:tc>
              <w:tc>
                <w:tcPr>
                  <w:tcW w:w="1186" w:type="pct"/>
                  <w:vAlign w:val="center"/>
                </w:tcPr>
                <w:p>
                  <w:pPr>
                    <w:pStyle w:val="49"/>
                    <w:spacing w:line="300" w:lineRule="exact"/>
                  </w:pPr>
                </w:p>
              </w:tc>
              <w:tc>
                <w:tcPr>
                  <w:tcW w:w="1160" w:type="pct"/>
                  <w:vAlign w:val="center"/>
                </w:tcPr>
                <w:p>
                  <w:pPr>
                    <w:pStyle w:val="49"/>
                    <w:spacing w:line="300" w:lineRule="exact"/>
                  </w:pPr>
                </w:p>
              </w:tc>
              <w:tc>
                <w:tcPr>
                  <w:tcW w:w="938" w:type="pct"/>
                  <w:vAlign w:val="center"/>
                </w:tcPr>
                <w:p>
                  <w:pPr>
                    <w:pStyle w:val="49"/>
                    <w:spacing w:line="300" w:lineRule="exact"/>
                  </w:pPr>
                </w:p>
              </w:tc>
              <w:tc>
                <w:tcPr>
                  <w:tcW w:w="924" w:type="pct"/>
                  <w:vAlign w:val="center"/>
                </w:tcPr>
                <w:p>
                  <w:pPr>
                    <w:pStyle w:val="49"/>
                    <w:spacing w:line="300" w:lineRule="exact"/>
                  </w:pPr>
                </w:p>
              </w:tc>
            </w:tr>
          </w:tbl>
          <w:p>
            <w:pPr>
              <w:pStyle w:val="46"/>
              <w:ind w:firstLine="4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99" w:type="dxa"/>
            <w:vAlign w:val="center"/>
          </w:tcPr>
          <w:p>
            <w:pPr>
              <w:adjustRightInd w:val="0"/>
              <w:snapToGrid w:val="0"/>
              <w:jc w:val="center"/>
              <w:rPr>
                <w:rFonts w:ascii="宋体" w:hAnsi="宋体" w:cs="宋体"/>
                <w:kern w:val="0"/>
                <w:sz w:val="24"/>
              </w:rPr>
            </w:pPr>
            <w:r>
              <w:rPr>
                <w:rFonts w:hint="eastAsia" w:ascii="宋体" w:hAnsi="宋体" w:cs="宋体"/>
                <w:kern w:val="0"/>
                <w:sz w:val="24"/>
              </w:rPr>
              <w:t>项目组成及规模</w:t>
            </w:r>
          </w:p>
        </w:tc>
        <w:tc>
          <w:tcPr>
            <w:tcW w:w="8080" w:type="dxa"/>
            <w:vAlign w:val="center"/>
          </w:tcPr>
          <w:p>
            <w:pPr>
              <w:pStyle w:val="46"/>
              <w:ind w:firstLine="480"/>
            </w:pPr>
            <w:r>
              <w:rPr>
                <w:rFonts w:hint="eastAsia"/>
              </w:rPr>
              <w:t xml:space="preserve">工程组成情况详见表2。 </w:t>
            </w:r>
          </w:p>
          <w:p>
            <w:pPr>
              <w:pStyle w:val="6"/>
              <w:keepNext/>
            </w:pPr>
            <w:bookmarkStart w:id="8" w:name="_Hlk117990865"/>
            <w:r>
              <w:rPr>
                <w:rFonts w:hint="eastAsia"/>
              </w:rPr>
              <w:t>表2</w:t>
            </w:r>
            <w:r>
              <w:t xml:space="preserve">    </w:t>
            </w:r>
            <w:r>
              <w:rPr>
                <w:rFonts w:hint="eastAsia"/>
              </w:rPr>
              <w:t>工程组成</w:t>
            </w:r>
            <w:r>
              <w:t>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599"/>
              <w:gridCol w:w="511"/>
              <w:gridCol w:w="1191"/>
              <w:gridCol w:w="556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63" w:hRule="atLeast"/>
                <w:jc w:val="center"/>
              </w:trPr>
              <w:tc>
                <w:tcPr>
                  <w:tcW w:w="381" w:type="pct"/>
                  <w:tcMar>
                    <w:left w:w="0" w:type="dxa"/>
                    <w:right w:w="0" w:type="dxa"/>
                  </w:tcMar>
                  <w:vAlign w:val="center"/>
                </w:tcPr>
                <w:p>
                  <w:pPr>
                    <w:pStyle w:val="49"/>
                    <w:adjustRightInd w:val="0"/>
                    <w:snapToGrid w:val="0"/>
                    <w:spacing w:line="300" w:lineRule="exact"/>
                  </w:pPr>
                  <w:r>
                    <w:rPr>
                      <w:rFonts w:hint="eastAsia"/>
                    </w:rPr>
                    <w:t>序号</w:t>
                  </w:r>
                </w:p>
              </w:tc>
              <w:tc>
                <w:tcPr>
                  <w:tcW w:w="325" w:type="pct"/>
                  <w:tcMar>
                    <w:left w:w="0" w:type="dxa"/>
                    <w:right w:w="0" w:type="dxa"/>
                  </w:tcMar>
                  <w:vAlign w:val="center"/>
                </w:tcPr>
                <w:p>
                  <w:pPr>
                    <w:pStyle w:val="49"/>
                    <w:adjustRightInd w:val="0"/>
                    <w:snapToGrid w:val="0"/>
                    <w:spacing w:line="300" w:lineRule="exact"/>
                  </w:pPr>
                  <w:r>
                    <w:rPr>
                      <w:rFonts w:hint="eastAsia"/>
                    </w:rPr>
                    <w:t>工程组成</w:t>
                  </w:r>
                </w:p>
              </w:tc>
              <w:tc>
                <w:tcPr>
                  <w:tcW w:w="4294" w:type="pct"/>
                  <w:gridSpan w:val="2"/>
                  <w:tcMar>
                    <w:left w:w="0" w:type="dxa"/>
                    <w:right w:w="0" w:type="dxa"/>
                  </w:tcMar>
                  <w:vAlign w:val="center"/>
                </w:tcPr>
                <w:p>
                  <w:pPr>
                    <w:pStyle w:val="49"/>
                    <w:adjustRightInd w:val="0"/>
                    <w:snapToGrid w:val="0"/>
                    <w:spacing w:line="300" w:lineRule="exact"/>
                  </w:pPr>
                  <w:r>
                    <w:rPr>
                      <w:rFonts w:hint="eastAsia"/>
                    </w:rPr>
                    <w:t>工程内容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restart"/>
                  <w:tcMar>
                    <w:left w:w="0" w:type="dxa"/>
                    <w:right w:w="0" w:type="dxa"/>
                  </w:tcMar>
                  <w:vAlign w:val="center"/>
                </w:tcPr>
                <w:p>
                  <w:pPr>
                    <w:pStyle w:val="49"/>
                    <w:adjustRightInd w:val="0"/>
                    <w:snapToGrid w:val="0"/>
                    <w:spacing w:line="300" w:lineRule="exact"/>
                  </w:pPr>
                  <w:r>
                    <w:rPr>
                      <w:rFonts w:hint="eastAsia"/>
                    </w:rPr>
                    <w:t>1</w:t>
                  </w:r>
                </w:p>
              </w:tc>
              <w:tc>
                <w:tcPr>
                  <w:tcW w:w="325" w:type="pct"/>
                  <w:vMerge w:val="restart"/>
                  <w:tcMar>
                    <w:left w:w="0" w:type="dxa"/>
                    <w:right w:w="0" w:type="dxa"/>
                  </w:tcMar>
                  <w:vAlign w:val="center"/>
                </w:tcPr>
                <w:p>
                  <w:pPr>
                    <w:pStyle w:val="49"/>
                    <w:adjustRightInd w:val="0"/>
                    <w:snapToGrid w:val="0"/>
                    <w:spacing w:line="300" w:lineRule="exact"/>
                  </w:pPr>
                  <w:r>
                    <w:rPr>
                      <w:rFonts w:hint="eastAsia"/>
                    </w:rPr>
                    <w:t>主体工程</w:t>
                  </w:r>
                </w:p>
              </w:tc>
              <w:tc>
                <w:tcPr>
                  <w:tcW w:w="757" w:type="pct"/>
                  <w:tcMar>
                    <w:left w:w="0" w:type="dxa"/>
                    <w:right w:w="0" w:type="dxa"/>
                  </w:tcMar>
                  <w:vAlign w:val="center"/>
                </w:tcPr>
                <w:p>
                  <w:pPr>
                    <w:pStyle w:val="49"/>
                    <w:adjustRightInd w:val="0"/>
                    <w:snapToGrid w:val="0"/>
                    <w:spacing w:line="300" w:lineRule="exact"/>
                  </w:pPr>
                  <w:r>
                    <w:rPr>
                      <w:rFonts w:hint="eastAsia"/>
                    </w:rPr>
                    <w:t>钻前工程</w:t>
                  </w:r>
                </w:p>
              </w:tc>
              <w:tc>
                <w:tcPr>
                  <w:tcW w:w="3537" w:type="pct"/>
                  <w:tcMar>
                    <w:left w:w="0" w:type="dxa"/>
                    <w:right w:w="0" w:type="dxa"/>
                  </w:tcMar>
                  <w:vAlign w:val="center"/>
                </w:tcPr>
                <w:p>
                  <w:pPr>
                    <w:pStyle w:val="49"/>
                    <w:adjustRightInd w:val="0"/>
                    <w:snapToGrid w:val="0"/>
                    <w:spacing w:line="300" w:lineRule="exact"/>
                    <w:jc w:val="both"/>
                  </w:pPr>
                  <w:r>
                    <w:rPr>
                      <w:rFonts w:hint="eastAsia"/>
                    </w:rPr>
                    <w:t>井场平整、设备进场、探临道路和生活营地建设等活动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76"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757" w:type="pct"/>
                  <w:tcMar>
                    <w:left w:w="0" w:type="dxa"/>
                    <w:right w:w="0" w:type="dxa"/>
                  </w:tcMar>
                  <w:vAlign w:val="center"/>
                </w:tcPr>
                <w:p>
                  <w:pPr>
                    <w:pStyle w:val="49"/>
                    <w:adjustRightInd w:val="0"/>
                    <w:snapToGrid w:val="0"/>
                    <w:spacing w:line="300" w:lineRule="exact"/>
                  </w:pPr>
                  <w:r>
                    <w:rPr>
                      <w:rFonts w:hint="eastAsia"/>
                    </w:rPr>
                    <w:t>钻井工程</w:t>
                  </w:r>
                </w:p>
              </w:tc>
              <w:tc>
                <w:tcPr>
                  <w:tcW w:w="3537" w:type="pct"/>
                  <w:tcMar>
                    <w:left w:w="0" w:type="dxa"/>
                    <w:right w:w="0" w:type="dxa"/>
                  </w:tcMar>
                  <w:vAlign w:val="center"/>
                </w:tcPr>
                <w:p>
                  <w:pPr>
                    <w:pStyle w:val="49"/>
                    <w:adjustRightInd w:val="0"/>
                    <w:snapToGrid w:val="0"/>
                    <w:spacing w:line="300" w:lineRule="exact"/>
                    <w:jc w:val="both"/>
                  </w:pPr>
                  <w:r>
                    <w:rPr>
                      <w:rFonts w:hint="eastAsia"/>
                    </w:rPr>
                    <w:t>车排46井采用三开直井井身结构，钻井进尺</w:t>
                  </w:r>
                  <w:r>
                    <w:t>4595m</w:t>
                  </w:r>
                  <w:r>
                    <w:rPr>
                      <w:rFonts w:hint="eastAsia"/>
                    </w:rPr>
                    <w:t>，钻井期</w:t>
                  </w:r>
                  <w:r>
                    <w:t>62</w:t>
                  </w:r>
                  <w:r>
                    <w:rPr>
                      <w:rFonts w:hint="eastAsia"/>
                    </w:rPr>
                    <w:t>天，施工人数3</w:t>
                  </w:r>
                  <w:r>
                    <w:t>5</w:t>
                  </w:r>
                  <w:r>
                    <w:rPr>
                      <w:rFonts w:hint="eastAsia"/>
                    </w:rPr>
                    <w:t>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58"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757" w:type="pct"/>
                  <w:tcMar>
                    <w:left w:w="0" w:type="dxa"/>
                    <w:right w:w="0" w:type="dxa"/>
                  </w:tcMar>
                  <w:vAlign w:val="center"/>
                </w:tcPr>
                <w:p>
                  <w:pPr>
                    <w:pStyle w:val="49"/>
                    <w:adjustRightInd w:val="0"/>
                    <w:snapToGrid w:val="0"/>
                    <w:spacing w:line="300" w:lineRule="exact"/>
                  </w:pPr>
                  <w:r>
                    <w:rPr>
                      <w:rFonts w:hint="eastAsia"/>
                    </w:rPr>
                    <w:t>试油工程</w:t>
                  </w:r>
                </w:p>
              </w:tc>
              <w:tc>
                <w:tcPr>
                  <w:tcW w:w="3537" w:type="pct"/>
                  <w:tcMar>
                    <w:left w:w="0" w:type="dxa"/>
                    <w:right w:w="0" w:type="dxa"/>
                  </w:tcMar>
                  <w:vAlign w:val="center"/>
                </w:tcPr>
                <w:p>
                  <w:pPr>
                    <w:pStyle w:val="49"/>
                    <w:adjustRightInd w:val="0"/>
                    <w:snapToGrid w:val="0"/>
                    <w:spacing w:line="300" w:lineRule="exact"/>
                    <w:jc w:val="both"/>
                  </w:pPr>
                  <w:r>
                    <w:rPr>
                      <w:rFonts w:hint="eastAsia"/>
                    </w:rPr>
                    <w:t>对完钻井进行通井、洗井、试压、射孔、压裂、求产等作业，并配套试油设备，记录油气产量,试油周期</w:t>
                  </w:r>
                  <w:r>
                    <w:t>120</w:t>
                  </w:r>
                  <w:r>
                    <w:rPr>
                      <w:rFonts w:hint="eastAsia"/>
                    </w:rPr>
                    <w:t>天，施工人数</w:t>
                  </w:r>
                  <w:r>
                    <w:t>2</w:t>
                  </w:r>
                  <w:r>
                    <w:rPr>
                      <w:rFonts w:hint="eastAsia"/>
                    </w:rPr>
                    <w:t>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58" w:hRule="atLeast"/>
                <w:jc w:val="center"/>
              </w:trPr>
              <w:tc>
                <w:tcPr>
                  <w:tcW w:w="381" w:type="pct"/>
                  <w:tcMar>
                    <w:left w:w="0" w:type="dxa"/>
                    <w:right w:w="0" w:type="dxa"/>
                  </w:tcMar>
                  <w:vAlign w:val="center"/>
                </w:tcPr>
                <w:p>
                  <w:pPr>
                    <w:pStyle w:val="49"/>
                    <w:adjustRightInd w:val="0"/>
                    <w:snapToGrid w:val="0"/>
                    <w:spacing w:line="300" w:lineRule="exact"/>
                  </w:pPr>
                  <w:r>
                    <w:rPr>
                      <w:rFonts w:hint="eastAsia"/>
                    </w:rPr>
                    <w:t>2</w:t>
                  </w:r>
                </w:p>
              </w:tc>
              <w:tc>
                <w:tcPr>
                  <w:tcW w:w="325" w:type="pct"/>
                  <w:tcMar>
                    <w:left w:w="0" w:type="dxa"/>
                    <w:right w:w="0" w:type="dxa"/>
                  </w:tcMar>
                  <w:vAlign w:val="center"/>
                </w:tcPr>
                <w:p>
                  <w:pPr>
                    <w:pStyle w:val="49"/>
                    <w:adjustRightInd w:val="0"/>
                    <w:snapToGrid w:val="0"/>
                    <w:spacing w:line="300" w:lineRule="exact"/>
                  </w:pPr>
                  <w:r>
                    <w:rPr>
                      <w:rFonts w:hint="eastAsia" w:cs="宋体"/>
                    </w:rPr>
                    <w:t>辅助工程</w:t>
                  </w:r>
                </w:p>
              </w:tc>
              <w:tc>
                <w:tcPr>
                  <w:tcW w:w="757" w:type="pct"/>
                  <w:tcMar>
                    <w:left w:w="0" w:type="dxa"/>
                    <w:right w:w="0" w:type="dxa"/>
                  </w:tcMar>
                  <w:vAlign w:val="center"/>
                </w:tcPr>
                <w:p>
                  <w:pPr>
                    <w:pStyle w:val="49"/>
                    <w:adjustRightInd w:val="0"/>
                    <w:snapToGrid w:val="0"/>
                    <w:spacing w:line="300" w:lineRule="exact"/>
                  </w:pPr>
                  <w:r>
                    <w:rPr>
                      <w:rFonts w:hint="eastAsia" w:cs="宋体"/>
                    </w:rPr>
                    <w:t>生活营地</w:t>
                  </w:r>
                </w:p>
              </w:tc>
              <w:tc>
                <w:tcPr>
                  <w:tcW w:w="3537" w:type="pct"/>
                  <w:tcMar>
                    <w:left w:w="0" w:type="dxa"/>
                    <w:right w:w="0" w:type="dxa"/>
                  </w:tcMar>
                  <w:vAlign w:val="center"/>
                </w:tcPr>
                <w:p>
                  <w:pPr>
                    <w:pStyle w:val="49"/>
                    <w:adjustRightInd w:val="0"/>
                    <w:snapToGrid w:val="0"/>
                    <w:spacing w:line="300" w:lineRule="exact"/>
                    <w:jc w:val="both"/>
                  </w:pPr>
                  <w:r>
                    <w:rPr>
                      <w:rFonts w:hint="eastAsia" w:cs="宋体"/>
                    </w:rPr>
                    <w:t>钻井井场东南侧200m处设置1座集装箱营房组成的生活营地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6" w:hRule="atLeast"/>
                <w:jc w:val="center"/>
              </w:trPr>
              <w:tc>
                <w:tcPr>
                  <w:tcW w:w="381" w:type="pct"/>
                  <w:vMerge w:val="restart"/>
                  <w:tcMar>
                    <w:left w:w="0" w:type="dxa"/>
                    <w:right w:w="0" w:type="dxa"/>
                  </w:tcMar>
                  <w:vAlign w:val="center"/>
                </w:tcPr>
                <w:p>
                  <w:pPr>
                    <w:pStyle w:val="49"/>
                    <w:adjustRightInd w:val="0"/>
                    <w:snapToGrid w:val="0"/>
                    <w:spacing w:line="300" w:lineRule="exact"/>
                  </w:pPr>
                  <w:r>
                    <w:t>3</w:t>
                  </w:r>
                </w:p>
              </w:tc>
              <w:tc>
                <w:tcPr>
                  <w:tcW w:w="325" w:type="pct"/>
                  <w:vMerge w:val="restart"/>
                  <w:tcMar>
                    <w:left w:w="0" w:type="dxa"/>
                    <w:right w:w="0" w:type="dxa"/>
                  </w:tcMar>
                  <w:vAlign w:val="center"/>
                </w:tcPr>
                <w:p>
                  <w:pPr>
                    <w:pStyle w:val="49"/>
                    <w:adjustRightInd w:val="0"/>
                    <w:snapToGrid w:val="0"/>
                    <w:spacing w:line="300" w:lineRule="exact"/>
                  </w:pPr>
                  <w:r>
                    <w:rPr>
                      <w:rFonts w:hint="eastAsia"/>
                    </w:rPr>
                    <w:t>公用工程</w:t>
                  </w:r>
                </w:p>
              </w:tc>
              <w:tc>
                <w:tcPr>
                  <w:tcW w:w="757" w:type="pct"/>
                  <w:tcMar>
                    <w:left w:w="0" w:type="dxa"/>
                    <w:right w:w="0" w:type="dxa"/>
                  </w:tcMar>
                  <w:vAlign w:val="center"/>
                </w:tcPr>
                <w:p>
                  <w:pPr>
                    <w:pStyle w:val="49"/>
                    <w:adjustRightInd w:val="0"/>
                    <w:snapToGrid w:val="0"/>
                    <w:spacing w:line="300" w:lineRule="exact"/>
                  </w:pPr>
                  <w:r>
                    <w:rPr>
                      <w:rFonts w:hint="eastAsia"/>
                    </w:rPr>
                    <w:t>供配电</w:t>
                  </w:r>
                </w:p>
              </w:tc>
              <w:tc>
                <w:tcPr>
                  <w:tcW w:w="3537" w:type="pct"/>
                  <w:tcMar>
                    <w:left w:w="0" w:type="dxa"/>
                    <w:right w:w="0" w:type="dxa"/>
                  </w:tcMar>
                  <w:vAlign w:val="center"/>
                </w:tcPr>
                <w:p>
                  <w:pPr>
                    <w:pStyle w:val="49"/>
                    <w:adjustRightInd w:val="0"/>
                    <w:snapToGrid w:val="0"/>
                    <w:spacing w:line="300" w:lineRule="exact"/>
                    <w:jc w:val="both"/>
                  </w:pPr>
                  <w:r>
                    <w:rPr>
                      <w:rFonts w:hint="eastAsia"/>
                    </w:rPr>
                    <w:t>井场、生活营地用电采用柴油发电机供给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641"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757" w:type="pct"/>
                  <w:tcMar>
                    <w:left w:w="0" w:type="dxa"/>
                    <w:right w:w="0" w:type="dxa"/>
                  </w:tcMar>
                  <w:vAlign w:val="center"/>
                </w:tcPr>
                <w:p>
                  <w:pPr>
                    <w:pStyle w:val="49"/>
                    <w:adjustRightInd w:val="0"/>
                    <w:snapToGrid w:val="0"/>
                    <w:spacing w:line="300" w:lineRule="exact"/>
                  </w:pPr>
                  <w:r>
                    <w:rPr>
                      <w:rFonts w:hint="eastAsia"/>
                    </w:rPr>
                    <w:t>给排水</w:t>
                  </w:r>
                </w:p>
              </w:tc>
              <w:tc>
                <w:tcPr>
                  <w:tcW w:w="3537" w:type="pct"/>
                  <w:tcMar>
                    <w:left w:w="0" w:type="dxa"/>
                    <w:right w:w="0" w:type="dxa"/>
                  </w:tcMar>
                  <w:vAlign w:val="center"/>
                </w:tcPr>
                <w:p>
                  <w:pPr>
                    <w:pStyle w:val="49"/>
                    <w:adjustRightInd w:val="0"/>
                    <w:snapToGrid w:val="0"/>
                    <w:spacing w:line="300" w:lineRule="exact"/>
                    <w:jc w:val="both"/>
                  </w:pPr>
                  <w:r>
                    <w:rPr>
                      <w:rFonts w:hint="eastAsia"/>
                    </w:rPr>
                    <w:t>洗井和生活用水由罐车从附近村庄拉运；试油废水排至井场储罐内；生活污水排至生活营地内的临时储集防渗池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757" w:type="pct"/>
                  <w:tcMar>
                    <w:left w:w="0" w:type="dxa"/>
                    <w:right w:w="0" w:type="dxa"/>
                  </w:tcMar>
                  <w:vAlign w:val="center"/>
                </w:tcPr>
                <w:p>
                  <w:pPr>
                    <w:pStyle w:val="49"/>
                    <w:adjustRightInd w:val="0"/>
                    <w:snapToGrid w:val="0"/>
                    <w:spacing w:line="300" w:lineRule="exact"/>
                  </w:pPr>
                  <w:r>
                    <w:rPr>
                      <w:rFonts w:hint="eastAsia"/>
                    </w:rPr>
                    <w:t>道路</w:t>
                  </w:r>
                </w:p>
              </w:tc>
              <w:tc>
                <w:tcPr>
                  <w:tcW w:w="3537" w:type="pct"/>
                  <w:tcMar>
                    <w:left w:w="0" w:type="dxa"/>
                    <w:right w:w="0" w:type="dxa"/>
                  </w:tcMar>
                  <w:vAlign w:val="center"/>
                </w:tcPr>
                <w:p>
                  <w:pPr>
                    <w:pStyle w:val="49"/>
                    <w:adjustRightInd w:val="0"/>
                    <w:snapToGrid w:val="0"/>
                    <w:spacing w:line="300" w:lineRule="exact"/>
                    <w:jc w:val="both"/>
                  </w:pPr>
                  <w:bookmarkStart w:id="9" w:name="_Hlk117990188"/>
                  <w:r>
                    <w:rPr>
                      <w:rFonts w:hint="eastAsia"/>
                    </w:rPr>
                    <w:t>新建探临道路长总长</w:t>
                  </w:r>
                  <w:r>
                    <w:t>259m</w:t>
                  </w:r>
                  <w:r>
                    <w:rPr>
                      <w:rFonts w:hint="eastAsia"/>
                    </w:rPr>
                    <w:t>，宽</w:t>
                  </w:r>
                  <w:r>
                    <w:t>8</w:t>
                  </w:r>
                  <w:r>
                    <w:rPr>
                      <w:rFonts w:hint="eastAsia"/>
                    </w:rPr>
                    <w:t>m，</w:t>
                  </w:r>
                  <w:r>
                    <w:t>路面为砂石路面</w:t>
                  </w:r>
                  <w:bookmarkEnd w:id="9"/>
                  <w:r>
                    <w:rPr>
                      <w:rFonts w:hint="eastAsia"/>
                    </w:rPr>
                    <w:t>，</w:t>
                  </w:r>
                  <w:bookmarkStart w:id="10" w:name="_Hlk117990531"/>
                  <w:r>
                    <w:rPr>
                      <w:rFonts w:hint="eastAsia"/>
                    </w:rPr>
                    <w:t>将钻井井场与生活营地、项目区与附近已建道路连接。</w:t>
                  </w:r>
                  <w:bookmarkEnd w:id="10"/>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restart"/>
                  <w:tcMar>
                    <w:left w:w="0" w:type="dxa"/>
                    <w:right w:w="0" w:type="dxa"/>
                  </w:tcMar>
                  <w:vAlign w:val="center"/>
                </w:tcPr>
                <w:p>
                  <w:pPr>
                    <w:pStyle w:val="49"/>
                    <w:adjustRightInd w:val="0"/>
                    <w:snapToGrid w:val="0"/>
                    <w:spacing w:line="300" w:lineRule="exact"/>
                  </w:pPr>
                  <w:r>
                    <w:t>4</w:t>
                  </w:r>
                </w:p>
              </w:tc>
              <w:tc>
                <w:tcPr>
                  <w:tcW w:w="325" w:type="pct"/>
                  <w:vMerge w:val="restart"/>
                  <w:tcMar>
                    <w:left w:w="0" w:type="dxa"/>
                    <w:right w:w="0" w:type="dxa"/>
                  </w:tcMar>
                  <w:vAlign w:val="center"/>
                </w:tcPr>
                <w:p>
                  <w:pPr>
                    <w:pStyle w:val="49"/>
                    <w:adjustRightInd w:val="0"/>
                    <w:snapToGrid w:val="0"/>
                    <w:spacing w:line="300" w:lineRule="exact"/>
                  </w:pPr>
                  <w:r>
                    <w:rPr>
                      <w:rFonts w:hint="eastAsia"/>
                    </w:rPr>
                    <w:t>环保工程</w:t>
                  </w:r>
                </w:p>
              </w:tc>
              <w:tc>
                <w:tcPr>
                  <w:tcW w:w="757" w:type="pct"/>
                  <w:tcMar>
                    <w:left w:w="0" w:type="dxa"/>
                    <w:right w:w="0" w:type="dxa"/>
                  </w:tcMar>
                  <w:vAlign w:val="center"/>
                </w:tcPr>
                <w:p>
                  <w:pPr>
                    <w:pStyle w:val="49"/>
                    <w:adjustRightInd w:val="0"/>
                    <w:snapToGrid w:val="0"/>
                    <w:spacing w:line="300" w:lineRule="exact"/>
                  </w:pPr>
                  <w:r>
                    <w:t>放喷设施</w:t>
                  </w:r>
                </w:p>
              </w:tc>
              <w:tc>
                <w:tcPr>
                  <w:tcW w:w="3537" w:type="pct"/>
                  <w:tcMar>
                    <w:left w:w="0" w:type="dxa"/>
                    <w:right w:w="0" w:type="dxa"/>
                  </w:tcMar>
                  <w:vAlign w:val="center"/>
                </w:tcPr>
                <w:p>
                  <w:pPr>
                    <w:pStyle w:val="44"/>
                    <w:jc w:val="both"/>
                  </w:pPr>
                  <w:r>
                    <w:t>在井场左右两侧各设置1条</w:t>
                  </w:r>
                  <w:r>
                    <w:rPr>
                      <w:rFonts w:hint="eastAsia"/>
                    </w:rPr>
                    <w:t>放喷管线，一侧设</w:t>
                  </w:r>
                  <w:r>
                    <w:t>放喷</w:t>
                  </w:r>
                  <w:r>
                    <w:rPr>
                      <w:rFonts w:hint="eastAsia"/>
                    </w:rPr>
                    <w:t>池，尺寸为1</w:t>
                  </w:r>
                  <w:r>
                    <w:t>0</w:t>
                  </w:r>
                  <w:r>
                    <w:rPr>
                      <w:rFonts w:hint="eastAsia"/>
                    </w:rPr>
                    <w:t>m×</w:t>
                  </w:r>
                  <w:r>
                    <w:t>20</w:t>
                  </w:r>
                  <w:r>
                    <w:rPr>
                      <w:rFonts w:hint="eastAsia"/>
                    </w:rPr>
                    <w:t>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757" w:type="pct"/>
                  <w:tcMar>
                    <w:left w:w="0" w:type="dxa"/>
                    <w:right w:w="0" w:type="dxa"/>
                  </w:tcMar>
                  <w:vAlign w:val="center"/>
                </w:tcPr>
                <w:p>
                  <w:pPr>
                    <w:pStyle w:val="49"/>
                    <w:adjustRightInd w:val="0"/>
                    <w:snapToGrid w:val="0"/>
                    <w:spacing w:line="300" w:lineRule="exact"/>
                  </w:pPr>
                  <w:r>
                    <w:rPr>
                      <w:rFonts w:hint="eastAsia"/>
                    </w:rPr>
                    <w:t>钻井岩屑</w:t>
                  </w:r>
                </w:p>
              </w:tc>
              <w:tc>
                <w:tcPr>
                  <w:tcW w:w="3537" w:type="pct"/>
                  <w:tcMar>
                    <w:left w:w="0" w:type="dxa"/>
                    <w:right w:w="0" w:type="dxa"/>
                  </w:tcMar>
                  <w:vAlign w:val="center"/>
                </w:tcPr>
                <w:p>
                  <w:pPr>
                    <w:pStyle w:val="49"/>
                    <w:adjustRightInd w:val="0"/>
                    <w:snapToGrid w:val="0"/>
                    <w:spacing w:line="300" w:lineRule="exact"/>
                    <w:jc w:val="both"/>
                  </w:pPr>
                  <w:r>
                    <w:rPr>
                      <w:rFonts w:hint="eastAsia" w:cs="宋体"/>
                    </w:rPr>
                    <w:t>井场设置钻井液不落地设备1套，用于分离钻井液和钻井岩屑；水基钻井岩屑、油基钻井岩屑按规范接收、转运和处置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757" w:type="pct"/>
                  <w:tcMar>
                    <w:left w:w="0" w:type="dxa"/>
                    <w:right w:w="0" w:type="dxa"/>
                  </w:tcMar>
                  <w:vAlign w:val="center"/>
                </w:tcPr>
                <w:p>
                  <w:pPr>
                    <w:pStyle w:val="49"/>
                    <w:adjustRightInd w:val="0"/>
                    <w:snapToGrid w:val="0"/>
                    <w:spacing w:line="300" w:lineRule="exact"/>
                  </w:pPr>
                  <w:r>
                    <w:rPr>
                      <w:rFonts w:hint="eastAsia"/>
                    </w:rPr>
                    <w:t>伴生气</w:t>
                  </w:r>
                </w:p>
              </w:tc>
              <w:tc>
                <w:tcPr>
                  <w:tcW w:w="3537" w:type="pct"/>
                  <w:tcMar>
                    <w:left w:w="0" w:type="dxa"/>
                    <w:right w:w="0" w:type="dxa"/>
                  </w:tcMar>
                  <w:vAlign w:val="center"/>
                </w:tcPr>
                <w:p>
                  <w:pPr>
                    <w:pStyle w:val="49"/>
                    <w:adjustRightInd w:val="0"/>
                    <w:snapToGrid w:val="0"/>
                    <w:spacing w:line="300" w:lineRule="exact"/>
                    <w:jc w:val="both"/>
                  </w:pPr>
                  <w:r>
                    <w:rPr>
                      <w:rFonts w:hint="eastAsia" w:cs="宋体"/>
                    </w:rPr>
                    <w:t>试油期伴生气通过排气管线燃烧放空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757" w:type="pct"/>
                  <w:tcMar>
                    <w:left w:w="0" w:type="dxa"/>
                    <w:right w:w="0" w:type="dxa"/>
                  </w:tcMar>
                  <w:vAlign w:val="center"/>
                </w:tcPr>
                <w:p>
                  <w:pPr>
                    <w:pStyle w:val="49"/>
                    <w:adjustRightInd w:val="0"/>
                    <w:snapToGrid w:val="0"/>
                    <w:spacing w:line="300" w:lineRule="exact"/>
                  </w:pPr>
                  <w:r>
                    <w:rPr>
                      <w:rFonts w:hint="eastAsia"/>
                    </w:rPr>
                    <w:t>生活污水</w:t>
                  </w:r>
                </w:p>
              </w:tc>
              <w:tc>
                <w:tcPr>
                  <w:tcW w:w="3537" w:type="pct"/>
                  <w:tcMar>
                    <w:left w:w="0" w:type="dxa"/>
                    <w:right w:w="0" w:type="dxa"/>
                  </w:tcMar>
                  <w:vAlign w:val="center"/>
                </w:tcPr>
                <w:p>
                  <w:pPr>
                    <w:pStyle w:val="49"/>
                    <w:adjustRightInd w:val="0"/>
                    <w:snapToGrid w:val="0"/>
                    <w:spacing w:line="300" w:lineRule="exact"/>
                    <w:jc w:val="both"/>
                    <w:rPr>
                      <w:rFonts w:cs="宋体"/>
                    </w:rPr>
                  </w:pPr>
                  <w:r>
                    <w:rPr>
                      <w:rFonts w:hint="eastAsia"/>
                    </w:rPr>
                    <w:t>排入生活营地临时生活污水储集防渗池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757" w:type="pct"/>
                  <w:tcMar>
                    <w:left w:w="0" w:type="dxa"/>
                    <w:right w:w="0" w:type="dxa"/>
                  </w:tcMar>
                  <w:vAlign w:val="center"/>
                </w:tcPr>
                <w:p>
                  <w:pPr>
                    <w:pStyle w:val="49"/>
                    <w:spacing w:line="300" w:lineRule="exact"/>
                    <w:contextualSpacing/>
                  </w:pPr>
                  <w:r>
                    <w:t>H</w:t>
                  </w:r>
                  <w:r>
                    <w:rPr>
                      <w:vertAlign w:val="subscript"/>
                    </w:rPr>
                    <w:t>2</w:t>
                  </w:r>
                  <w:r>
                    <w:t>S监测</w:t>
                  </w:r>
                </w:p>
              </w:tc>
              <w:tc>
                <w:tcPr>
                  <w:tcW w:w="3537" w:type="pct"/>
                  <w:tcMar>
                    <w:left w:w="0" w:type="dxa"/>
                    <w:right w:w="0" w:type="dxa"/>
                  </w:tcMar>
                  <w:vAlign w:val="center"/>
                </w:tcPr>
                <w:p>
                  <w:pPr>
                    <w:pStyle w:val="49"/>
                    <w:spacing w:line="300" w:lineRule="exact"/>
                    <w:contextualSpacing/>
                    <w:jc w:val="both"/>
                  </w:pPr>
                  <w:r>
                    <w:t>井场</w:t>
                  </w:r>
                  <w:r>
                    <w:rPr>
                      <w:rFonts w:hint="eastAsia"/>
                    </w:rPr>
                    <w:t>按规范</w:t>
                  </w:r>
                  <w:r>
                    <w:t>设</w:t>
                  </w:r>
                  <w:r>
                    <w:rPr>
                      <w:rFonts w:hint="eastAsia"/>
                    </w:rPr>
                    <w:t>置</w:t>
                  </w:r>
                  <w:r>
                    <w:t>H</w:t>
                  </w:r>
                  <w:r>
                    <w:rPr>
                      <w:vertAlign w:val="subscript"/>
                    </w:rPr>
                    <w:t>2</w:t>
                  </w:r>
                  <w:r>
                    <w:t>S监测仪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757" w:type="pct"/>
                  <w:tcMar>
                    <w:left w:w="0" w:type="dxa"/>
                    <w:right w:w="0" w:type="dxa"/>
                  </w:tcMar>
                  <w:vAlign w:val="center"/>
                </w:tcPr>
                <w:p>
                  <w:pPr>
                    <w:pStyle w:val="49"/>
                    <w:spacing w:line="300" w:lineRule="exact"/>
                    <w:contextualSpacing/>
                  </w:pPr>
                  <w:r>
                    <w:rPr>
                      <w:rFonts w:hint="eastAsia"/>
                    </w:rPr>
                    <w:t>噪声</w:t>
                  </w:r>
                </w:p>
              </w:tc>
              <w:tc>
                <w:tcPr>
                  <w:tcW w:w="3537" w:type="pct"/>
                  <w:tcMar>
                    <w:left w:w="0" w:type="dxa"/>
                    <w:right w:w="0" w:type="dxa"/>
                  </w:tcMar>
                  <w:vAlign w:val="center"/>
                </w:tcPr>
                <w:p>
                  <w:pPr>
                    <w:pStyle w:val="49"/>
                    <w:spacing w:line="300" w:lineRule="exact"/>
                    <w:contextualSpacing/>
                    <w:jc w:val="both"/>
                  </w:pPr>
                  <w:r>
                    <w:rPr>
                      <w:rFonts w:hint="eastAsia"/>
                    </w:rPr>
                    <w:t>设备底部进行基础减震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757" w:type="pct"/>
                  <w:tcMar>
                    <w:left w:w="0" w:type="dxa"/>
                    <w:right w:w="0" w:type="dxa"/>
                  </w:tcMar>
                  <w:vAlign w:val="center"/>
                </w:tcPr>
                <w:p>
                  <w:pPr>
                    <w:pStyle w:val="49"/>
                    <w:spacing w:line="300" w:lineRule="exact"/>
                    <w:contextualSpacing/>
                  </w:pPr>
                  <w:r>
                    <w:rPr>
                      <w:rFonts w:hint="eastAsia"/>
                    </w:rPr>
                    <w:t>生态措施</w:t>
                  </w:r>
                </w:p>
              </w:tc>
              <w:tc>
                <w:tcPr>
                  <w:tcW w:w="3537" w:type="pct"/>
                  <w:tcMar>
                    <w:left w:w="0" w:type="dxa"/>
                    <w:right w:w="0" w:type="dxa"/>
                  </w:tcMar>
                </w:tcPr>
                <w:p>
                  <w:pPr>
                    <w:pStyle w:val="49"/>
                    <w:spacing w:line="300" w:lineRule="exact"/>
                    <w:contextualSpacing/>
                    <w:jc w:val="both"/>
                  </w:pPr>
                  <w:bookmarkStart w:id="11" w:name="_Hlk117973375"/>
                  <w:r>
                    <w:rPr>
                      <w:rFonts w:hint="eastAsia"/>
                    </w:rPr>
                    <w:t>场地清理表层土壤集中堆放，施工结束后用于临时占地平整，并对占地进行清理</w:t>
                  </w:r>
                  <w:bookmarkEnd w:id="11"/>
                </w:p>
              </w:tc>
            </w:tr>
            <w:bookmarkEnd w:id="8"/>
          </w:tbl>
          <w:p/>
          <w:p>
            <w:pPr>
              <w:pStyle w:val="6"/>
              <w:keepNext/>
            </w:pPr>
            <w:r>
              <w:rPr>
                <w:rFonts w:hint="eastAsia"/>
              </w:rPr>
              <w:t>续表2</w:t>
            </w:r>
            <w:r>
              <w:t xml:space="preserve">    </w:t>
            </w:r>
            <w:r>
              <w:rPr>
                <w:rFonts w:hint="eastAsia"/>
              </w:rPr>
              <w:t>工程组成</w:t>
            </w:r>
            <w:r>
              <w:t>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599"/>
              <w:gridCol w:w="511"/>
              <w:gridCol w:w="1592"/>
              <w:gridCol w:w="516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63" w:hRule="atLeast"/>
                <w:jc w:val="center"/>
              </w:trPr>
              <w:tc>
                <w:tcPr>
                  <w:tcW w:w="381" w:type="pct"/>
                  <w:tcMar>
                    <w:left w:w="0" w:type="dxa"/>
                    <w:right w:w="0" w:type="dxa"/>
                  </w:tcMar>
                  <w:vAlign w:val="center"/>
                </w:tcPr>
                <w:p>
                  <w:pPr>
                    <w:pStyle w:val="49"/>
                    <w:adjustRightInd w:val="0"/>
                    <w:snapToGrid w:val="0"/>
                    <w:spacing w:line="300" w:lineRule="exact"/>
                  </w:pPr>
                  <w:r>
                    <w:rPr>
                      <w:rFonts w:hint="eastAsia"/>
                    </w:rPr>
                    <w:t>序号</w:t>
                  </w:r>
                </w:p>
              </w:tc>
              <w:tc>
                <w:tcPr>
                  <w:tcW w:w="325" w:type="pct"/>
                  <w:tcMar>
                    <w:left w:w="0" w:type="dxa"/>
                    <w:right w:w="0" w:type="dxa"/>
                  </w:tcMar>
                  <w:vAlign w:val="center"/>
                </w:tcPr>
                <w:p>
                  <w:pPr>
                    <w:pStyle w:val="49"/>
                    <w:adjustRightInd w:val="0"/>
                    <w:snapToGrid w:val="0"/>
                    <w:spacing w:line="300" w:lineRule="exact"/>
                  </w:pPr>
                  <w:r>
                    <w:rPr>
                      <w:rFonts w:hint="eastAsia"/>
                    </w:rPr>
                    <w:t>工程组成</w:t>
                  </w:r>
                </w:p>
              </w:tc>
              <w:tc>
                <w:tcPr>
                  <w:tcW w:w="4294" w:type="pct"/>
                  <w:gridSpan w:val="2"/>
                  <w:tcMar>
                    <w:left w:w="0" w:type="dxa"/>
                    <w:right w:w="0" w:type="dxa"/>
                  </w:tcMar>
                  <w:vAlign w:val="center"/>
                </w:tcPr>
                <w:p>
                  <w:pPr>
                    <w:pStyle w:val="49"/>
                    <w:adjustRightInd w:val="0"/>
                    <w:snapToGrid w:val="0"/>
                    <w:spacing w:line="300" w:lineRule="exact"/>
                  </w:pPr>
                  <w:r>
                    <w:rPr>
                      <w:rFonts w:hint="eastAsia"/>
                    </w:rPr>
                    <w:t>工程内容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restart"/>
                  <w:tcMar>
                    <w:left w:w="0" w:type="dxa"/>
                    <w:right w:w="0" w:type="dxa"/>
                  </w:tcMar>
                  <w:vAlign w:val="center"/>
                </w:tcPr>
                <w:p>
                  <w:pPr>
                    <w:pStyle w:val="49"/>
                    <w:adjustRightInd w:val="0"/>
                    <w:snapToGrid w:val="0"/>
                    <w:spacing w:line="300" w:lineRule="exact"/>
                    <w:rPr>
                      <w:b/>
                      <w:bCs/>
                    </w:rPr>
                  </w:pPr>
                  <w:bookmarkStart w:id="12" w:name="_Hlk117990871"/>
                  <w:r>
                    <w:t>5</w:t>
                  </w:r>
                </w:p>
              </w:tc>
              <w:tc>
                <w:tcPr>
                  <w:tcW w:w="325" w:type="pct"/>
                  <w:vMerge w:val="restart"/>
                  <w:tcMar>
                    <w:left w:w="0" w:type="dxa"/>
                    <w:right w:w="0" w:type="dxa"/>
                  </w:tcMar>
                  <w:vAlign w:val="center"/>
                </w:tcPr>
                <w:p>
                  <w:pPr>
                    <w:pStyle w:val="49"/>
                    <w:adjustRightInd w:val="0"/>
                    <w:snapToGrid w:val="0"/>
                    <w:spacing w:line="300" w:lineRule="exact"/>
                  </w:pPr>
                  <w:r>
                    <w:rPr>
                      <w:rFonts w:hint="eastAsia"/>
                    </w:rPr>
                    <w:t>依托工程</w:t>
                  </w:r>
                </w:p>
              </w:tc>
              <w:tc>
                <w:tcPr>
                  <w:tcW w:w="1012" w:type="pct"/>
                  <w:tcMar>
                    <w:left w:w="0" w:type="dxa"/>
                    <w:right w:w="0" w:type="dxa"/>
                  </w:tcMar>
                  <w:vAlign w:val="center"/>
                </w:tcPr>
                <w:p>
                  <w:pPr>
                    <w:pStyle w:val="49"/>
                    <w:spacing w:line="300" w:lineRule="exact"/>
                    <w:contextualSpacing/>
                    <w:rPr>
                      <w:spacing w:val="-4"/>
                    </w:rPr>
                  </w:pPr>
                  <w:r>
                    <w:rPr>
                      <w:rFonts w:hint="eastAsia"/>
                      <w:spacing w:val="-4"/>
                    </w:rPr>
                    <w:t>洗井废水、压裂返排液</w:t>
                  </w:r>
                </w:p>
              </w:tc>
              <w:tc>
                <w:tcPr>
                  <w:tcW w:w="3282" w:type="pct"/>
                  <w:tcMar>
                    <w:left w:w="0" w:type="dxa"/>
                    <w:right w:w="0" w:type="dxa"/>
                  </w:tcMar>
                  <w:vAlign w:val="center"/>
                </w:tcPr>
                <w:p>
                  <w:pPr>
                    <w:pStyle w:val="49"/>
                    <w:spacing w:line="300" w:lineRule="exact"/>
                    <w:contextualSpacing/>
                    <w:jc w:val="both"/>
                  </w:pPr>
                  <w:r>
                    <w:rPr>
                      <w:rFonts w:hint="eastAsia"/>
                    </w:rPr>
                    <w:t>罐车送至车89集中处理站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1012" w:type="pct"/>
                  <w:tcMar>
                    <w:left w:w="0" w:type="dxa"/>
                    <w:right w:w="0" w:type="dxa"/>
                  </w:tcMar>
                  <w:vAlign w:val="center"/>
                </w:tcPr>
                <w:p>
                  <w:pPr>
                    <w:pStyle w:val="49"/>
                    <w:spacing w:line="300" w:lineRule="exact"/>
                    <w:contextualSpacing/>
                  </w:pPr>
                  <w:r>
                    <w:rPr>
                      <w:rFonts w:hint="eastAsia"/>
                    </w:rPr>
                    <w:t>采出物</w:t>
                  </w:r>
                </w:p>
              </w:tc>
              <w:tc>
                <w:tcPr>
                  <w:tcW w:w="3282" w:type="pct"/>
                  <w:tcMar>
                    <w:left w:w="0" w:type="dxa"/>
                    <w:right w:w="0" w:type="dxa"/>
                  </w:tcMar>
                  <w:vAlign w:val="center"/>
                </w:tcPr>
                <w:p>
                  <w:pPr>
                    <w:pStyle w:val="49"/>
                    <w:spacing w:line="300" w:lineRule="exact"/>
                    <w:contextualSpacing/>
                    <w:jc w:val="both"/>
                  </w:pPr>
                  <w:r>
                    <w:rPr>
                      <w:rFonts w:hint="eastAsia"/>
                    </w:rPr>
                    <w:t>罐车送至车89集中处理站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1012" w:type="pct"/>
                  <w:tcMar>
                    <w:left w:w="0" w:type="dxa"/>
                    <w:right w:w="0" w:type="dxa"/>
                  </w:tcMar>
                  <w:vAlign w:val="center"/>
                </w:tcPr>
                <w:p>
                  <w:pPr>
                    <w:pStyle w:val="49"/>
                    <w:adjustRightInd w:val="0"/>
                    <w:snapToGrid w:val="0"/>
                    <w:spacing w:line="300" w:lineRule="exact"/>
                  </w:pPr>
                  <w:r>
                    <w:rPr>
                      <w:rFonts w:hint="eastAsia"/>
                    </w:rPr>
                    <w:t>生活垃圾</w:t>
                  </w:r>
                </w:p>
              </w:tc>
              <w:tc>
                <w:tcPr>
                  <w:tcW w:w="3282" w:type="pct"/>
                  <w:tcMar>
                    <w:left w:w="0" w:type="dxa"/>
                    <w:right w:w="0" w:type="dxa"/>
                  </w:tcMar>
                  <w:vAlign w:val="center"/>
                </w:tcPr>
                <w:p>
                  <w:pPr>
                    <w:pStyle w:val="49"/>
                    <w:adjustRightInd w:val="0"/>
                    <w:snapToGrid w:val="0"/>
                    <w:spacing w:line="300" w:lineRule="exact"/>
                    <w:jc w:val="both"/>
                  </w:pPr>
                  <w:r>
                    <w:rPr>
                      <w:rFonts w:hint="eastAsia"/>
                    </w:rPr>
                    <w:t>井场及生活营地设垃圾箱，最终送至克拉玛依市生活垃圾填埋场填埋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76"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1012" w:type="pct"/>
                  <w:tcMar>
                    <w:left w:w="0" w:type="dxa"/>
                    <w:right w:w="0" w:type="dxa"/>
                  </w:tcMar>
                  <w:vAlign w:val="center"/>
                </w:tcPr>
                <w:p>
                  <w:pPr>
                    <w:pStyle w:val="49"/>
                    <w:adjustRightInd w:val="0"/>
                    <w:snapToGrid w:val="0"/>
                    <w:spacing w:line="300" w:lineRule="exact"/>
                  </w:pPr>
                  <w:r>
                    <w:rPr>
                      <w:rFonts w:hint="eastAsia"/>
                    </w:rPr>
                    <w:t>生活污水</w:t>
                  </w:r>
                </w:p>
              </w:tc>
              <w:tc>
                <w:tcPr>
                  <w:tcW w:w="3282" w:type="pct"/>
                  <w:tcMar>
                    <w:left w:w="0" w:type="dxa"/>
                    <w:right w:w="0" w:type="dxa"/>
                  </w:tcMar>
                  <w:vAlign w:val="center"/>
                </w:tcPr>
                <w:p>
                  <w:pPr>
                    <w:pStyle w:val="49"/>
                    <w:adjustRightInd w:val="0"/>
                    <w:snapToGrid w:val="0"/>
                    <w:spacing w:line="300" w:lineRule="exact"/>
                    <w:jc w:val="both"/>
                  </w:pPr>
                  <w:r>
                    <w:rPr>
                      <w:rFonts w:hint="eastAsia"/>
                    </w:rPr>
                    <w:t>由吸污车清运至克拉玛依市第二污水处理厂处理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58"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1012" w:type="pct"/>
                  <w:tcMar>
                    <w:left w:w="0" w:type="dxa"/>
                    <w:right w:w="0" w:type="dxa"/>
                  </w:tcMar>
                  <w:vAlign w:val="center"/>
                </w:tcPr>
                <w:p>
                  <w:pPr>
                    <w:pStyle w:val="49"/>
                    <w:adjustRightInd w:val="0"/>
                    <w:snapToGrid w:val="0"/>
                    <w:spacing w:line="300" w:lineRule="exact"/>
                  </w:pPr>
                  <w:r>
                    <w:rPr>
                      <w:rFonts w:hint="eastAsia"/>
                    </w:rPr>
                    <w:t>水基钻井岩屑</w:t>
                  </w:r>
                </w:p>
              </w:tc>
              <w:tc>
                <w:tcPr>
                  <w:tcW w:w="3282" w:type="pct"/>
                  <w:tcMar>
                    <w:left w:w="0" w:type="dxa"/>
                    <w:right w:w="0" w:type="dxa"/>
                  </w:tcMar>
                  <w:vAlign w:val="center"/>
                </w:tcPr>
                <w:p>
                  <w:pPr>
                    <w:pStyle w:val="49"/>
                    <w:adjustRightInd w:val="0"/>
                    <w:snapToGrid w:val="0"/>
                    <w:spacing w:line="300" w:lineRule="exact"/>
                    <w:jc w:val="both"/>
                  </w:pPr>
                  <w:r>
                    <w:rPr>
                      <w:rFonts w:hint="eastAsia"/>
                    </w:rPr>
                    <w:t>委托岩屑处置单位进行处置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58" w:hRule="atLeast"/>
                <w:jc w:val="center"/>
              </w:trPr>
              <w:tc>
                <w:tcPr>
                  <w:tcW w:w="381" w:type="pct"/>
                  <w:vMerge w:val="continue"/>
                  <w:tcMar>
                    <w:left w:w="0" w:type="dxa"/>
                    <w:right w:w="0" w:type="dxa"/>
                  </w:tcMar>
                  <w:vAlign w:val="center"/>
                </w:tcPr>
                <w:p>
                  <w:pPr>
                    <w:pStyle w:val="49"/>
                    <w:adjustRightInd w:val="0"/>
                    <w:snapToGrid w:val="0"/>
                    <w:spacing w:line="300" w:lineRule="exact"/>
                  </w:pPr>
                </w:p>
              </w:tc>
              <w:tc>
                <w:tcPr>
                  <w:tcW w:w="325" w:type="pct"/>
                  <w:vMerge w:val="continue"/>
                  <w:tcMar>
                    <w:left w:w="0" w:type="dxa"/>
                    <w:right w:w="0" w:type="dxa"/>
                  </w:tcMar>
                  <w:vAlign w:val="center"/>
                </w:tcPr>
                <w:p>
                  <w:pPr>
                    <w:pStyle w:val="49"/>
                    <w:adjustRightInd w:val="0"/>
                    <w:snapToGrid w:val="0"/>
                    <w:spacing w:line="300" w:lineRule="exact"/>
                  </w:pPr>
                </w:p>
              </w:tc>
              <w:tc>
                <w:tcPr>
                  <w:tcW w:w="1012" w:type="pct"/>
                  <w:tcMar>
                    <w:left w:w="0" w:type="dxa"/>
                    <w:right w:w="0" w:type="dxa"/>
                  </w:tcMar>
                  <w:vAlign w:val="center"/>
                </w:tcPr>
                <w:p>
                  <w:pPr>
                    <w:pStyle w:val="49"/>
                    <w:adjustRightInd w:val="0"/>
                    <w:snapToGrid w:val="0"/>
                    <w:spacing w:line="300" w:lineRule="exact"/>
                  </w:pPr>
                  <w:r>
                    <w:rPr>
                      <w:rFonts w:hint="eastAsia"/>
                    </w:rPr>
                    <w:t>废防渗材料、油基钻井岩屑</w:t>
                  </w:r>
                </w:p>
              </w:tc>
              <w:tc>
                <w:tcPr>
                  <w:tcW w:w="3282" w:type="pct"/>
                  <w:tcMar>
                    <w:left w:w="0" w:type="dxa"/>
                    <w:right w:w="0" w:type="dxa"/>
                  </w:tcMar>
                  <w:vAlign w:val="center"/>
                </w:tcPr>
                <w:p>
                  <w:pPr>
                    <w:pStyle w:val="49"/>
                    <w:adjustRightInd w:val="0"/>
                    <w:snapToGrid w:val="0"/>
                    <w:spacing w:line="300" w:lineRule="exact"/>
                    <w:jc w:val="both"/>
                  </w:pPr>
                  <w:r>
                    <w:rPr>
                      <w:rFonts w:hint="eastAsia"/>
                    </w:rPr>
                    <w:t>交由具有相应危废处置资质的单位负责</w:t>
                  </w:r>
                  <w:r>
                    <w:rPr>
                      <w:rFonts w:hint="eastAsia"/>
                      <w:spacing w:val="-2"/>
                    </w:rPr>
                    <w:t>接收、转运以及处置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58" w:hRule="atLeast"/>
                <w:jc w:val="center"/>
              </w:trPr>
              <w:tc>
                <w:tcPr>
                  <w:tcW w:w="381" w:type="pct"/>
                  <w:tcMar>
                    <w:left w:w="0" w:type="dxa"/>
                    <w:right w:w="0" w:type="dxa"/>
                  </w:tcMar>
                  <w:vAlign w:val="center"/>
                </w:tcPr>
                <w:p>
                  <w:pPr>
                    <w:pStyle w:val="49"/>
                    <w:adjustRightInd w:val="0"/>
                    <w:snapToGrid w:val="0"/>
                    <w:spacing w:line="300" w:lineRule="exact"/>
                  </w:pPr>
                  <w:r>
                    <w:t>6</w:t>
                  </w:r>
                </w:p>
              </w:tc>
              <w:tc>
                <w:tcPr>
                  <w:tcW w:w="325" w:type="pct"/>
                  <w:tcMar>
                    <w:left w:w="0" w:type="dxa"/>
                    <w:right w:w="0" w:type="dxa"/>
                  </w:tcMar>
                  <w:vAlign w:val="center"/>
                </w:tcPr>
                <w:p>
                  <w:pPr>
                    <w:pStyle w:val="49"/>
                    <w:adjustRightInd w:val="0"/>
                    <w:snapToGrid w:val="0"/>
                    <w:spacing w:line="300" w:lineRule="exact"/>
                  </w:pPr>
                  <w:r>
                    <w:rPr>
                      <w:rFonts w:hint="eastAsia" w:cs="宋体"/>
                    </w:rPr>
                    <w:t>储运工程</w:t>
                  </w:r>
                </w:p>
              </w:tc>
              <w:tc>
                <w:tcPr>
                  <w:tcW w:w="4294" w:type="pct"/>
                  <w:gridSpan w:val="2"/>
                  <w:tcMar>
                    <w:left w:w="0" w:type="dxa"/>
                    <w:right w:w="0" w:type="dxa"/>
                  </w:tcMar>
                  <w:vAlign w:val="center"/>
                </w:tcPr>
                <w:p>
                  <w:pPr>
                    <w:pStyle w:val="49"/>
                    <w:adjustRightInd w:val="0"/>
                    <w:snapToGrid w:val="0"/>
                    <w:spacing w:line="300" w:lineRule="exact"/>
                    <w:jc w:val="both"/>
                  </w:pPr>
                  <w:r>
                    <w:rPr>
                      <w:rFonts w:hint="eastAsia" w:cs="宋体"/>
                    </w:rPr>
                    <w:t>钻井液罐、柴油储罐、材料堆放区</w:t>
                  </w:r>
                </w:p>
              </w:tc>
            </w:tr>
            <w:bookmarkEnd w:id="12"/>
          </w:tbl>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adjustRightInd w:val="0"/>
              <w:snapToGrid w:val="0"/>
              <w:jc w:val="center"/>
              <w:rPr>
                <w:rFonts w:ascii="宋体" w:hAnsi="宋体" w:cs="宋体"/>
                <w:kern w:val="0"/>
                <w:sz w:val="24"/>
              </w:rPr>
            </w:pPr>
            <w:r>
              <w:rPr>
                <w:rFonts w:hint="eastAsia" w:ascii="宋体" w:hAnsi="宋体" w:cs="宋体"/>
                <w:kern w:val="0"/>
                <w:sz w:val="24"/>
              </w:rPr>
              <w:t>总平面及现场布置</w:t>
            </w:r>
          </w:p>
        </w:tc>
        <w:tc>
          <w:tcPr>
            <w:tcW w:w="8080" w:type="dxa"/>
            <w:vAlign w:val="center"/>
          </w:tcPr>
          <w:p>
            <w:pPr>
              <w:pStyle w:val="46"/>
              <w:ind w:firstLine="482"/>
              <w:rPr>
                <w:b/>
                <w:bCs/>
              </w:rPr>
            </w:pPr>
            <w:r>
              <w:rPr>
                <w:rFonts w:hint="eastAsia"/>
                <w:b/>
                <w:bCs/>
              </w:rPr>
              <w:t>1、钻井期井场平面布置</w:t>
            </w:r>
          </w:p>
          <w:p>
            <w:pPr>
              <w:pStyle w:val="46"/>
              <w:ind w:firstLine="480"/>
            </w:pPr>
            <w:r>
              <w:rPr>
                <w:rFonts w:hint="eastAsia"/>
              </w:rPr>
              <w:t>钻井期井场布置有值班房、钳工房、录井房、配电房、发电房、罐区、不落地系统等，井场平面布置见附图</w:t>
            </w:r>
            <w:r>
              <w:t>4</w:t>
            </w:r>
            <w:r>
              <w:rPr>
                <w:rFonts w:hint="eastAsia"/>
              </w:rPr>
              <w:t>。</w:t>
            </w:r>
          </w:p>
          <w:p>
            <w:pPr>
              <w:pStyle w:val="46"/>
              <w:ind w:firstLine="482"/>
              <w:rPr>
                <w:b/>
                <w:bCs/>
              </w:rPr>
            </w:pPr>
            <w:r>
              <w:rPr>
                <w:rFonts w:hint="eastAsia"/>
                <w:b/>
                <w:bCs/>
              </w:rPr>
              <w:t>2、试油期井场平面布置</w:t>
            </w:r>
          </w:p>
          <w:p>
            <w:pPr>
              <w:pStyle w:val="46"/>
              <w:ind w:firstLine="480"/>
              <w:rPr>
                <w:kern w:val="2"/>
              </w:rPr>
            </w:pPr>
            <w:r>
              <w:rPr>
                <w:rFonts w:hint="eastAsia"/>
                <w:kern w:val="2"/>
              </w:rPr>
              <w:t>试油期井场布置井口方罐、发电机房、值班房、井口放喷罐、消防沙箱等设施并设置紧急集合点，平面布置见附图</w:t>
            </w:r>
            <w:r>
              <w:rPr>
                <w:kern w:val="2"/>
              </w:rPr>
              <w:t>5</w:t>
            </w:r>
            <w:r>
              <w:rPr>
                <w:rFonts w:hint="eastAsia"/>
                <w:kern w:val="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adjustRightInd w:val="0"/>
              <w:snapToGrid w:val="0"/>
              <w:jc w:val="center"/>
              <w:rPr>
                <w:rFonts w:ascii="宋体" w:hAnsi="宋体" w:cs="宋体"/>
                <w:kern w:val="0"/>
                <w:sz w:val="24"/>
              </w:rPr>
            </w:pPr>
            <w:r>
              <w:rPr>
                <w:rFonts w:hint="eastAsia" w:ascii="宋体" w:hAnsi="宋体" w:cs="宋体"/>
                <w:kern w:val="0"/>
                <w:sz w:val="24"/>
              </w:rPr>
              <w:t>施工方案</w:t>
            </w:r>
          </w:p>
        </w:tc>
        <w:tc>
          <w:tcPr>
            <w:tcW w:w="8080" w:type="dxa"/>
            <w:vAlign w:val="center"/>
          </w:tcPr>
          <w:p>
            <w:pPr>
              <w:pStyle w:val="46"/>
              <w:spacing w:line="520" w:lineRule="exact"/>
              <w:ind w:firstLine="480"/>
              <w:rPr>
                <w:lang w:bidi="ar"/>
              </w:rPr>
            </w:pPr>
            <w:r>
              <w:rPr>
                <w:rFonts w:hint="eastAsia"/>
                <w:lang w:bidi="ar"/>
              </w:rPr>
              <w:t>勘探井建设的目的是探明区域含油气性质和储层分布，扩大勘探成果，分为钻井、试油、完井三部分。</w:t>
            </w:r>
          </w:p>
          <w:p>
            <w:pPr>
              <w:pStyle w:val="46"/>
              <w:spacing w:line="520" w:lineRule="exact"/>
              <w:ind w:firstLine="482"/>
              <w:rPr>
                <w:rFonts w:hAnsi="等线" w:cs="宋体"/>
                <w:b/>
                <w:bCs/>
                <w:lang w:bidi="ar"/>
              </w:rPr>
            </w:pPr>
            <w:r>
              <w:rPr>
                <w:rFonts w:hint="eastAsia" w:hAnsi="等线" w:cs="宋体"/>
                <w:b/>
                <w:bCs/>
                <w:lang w:bidi="ar"/>
              </w:rPr>
              <w:t>1、钻井施工方案</w:t>
            </w:r>
          </w:p>
          <w:p>
            <w:pPr>
              <w:pStyle w:val="46"/>
              <w:spacing w:line="520" w:lineRule="exact"/>
              <w:ind w:firstLine="480"/>
              <w:rPr>
                <w:rFonts w:cs="宋体"/>
                <w:lang w:bidi="ar"/>
              </w:rPr>
            </w:pPr>
            <w:r>
              <w:rPr>
                <w:rFonts w:hint="eastAsia" w:cs="宋体"/>
                <w:lang w:bidi="ar"/>
              </w:rPr>
              <w:t>（1）钻前准备</w:t>
            </w:r>
          </w:p>
          <w:p>
            <w:pPr>
              <w:pStyle w:val="46"/>
              <w:spacing w:line="520" w:lineRule="exact"/>
              <w:ind w:firstLine="480"/>
              <w:rPr>
                <w:rFonts w:cs="宋体"/>
                <w:lang w:bidi="ar"/>
              </w:rPr>
            </w:pPr>
            <w:r>
              <w:rPr>
                <w:rFonts w:hint="eastAsia" w:cs="宋体"/>
                <w:bCs/>
                <w:lang w:bidi="ar"/>
              </w:rPr>
              <w:t>包括井场平整、铺垫、钻机基础建设，生活营地和井场探临道路建设，以及设备进场。</w:t>
            </w:r>
          </w:p>
          <w:p>
            <w:pPr>
              <w:pStyle w:val="46"/>
              <w:spacing w:line="520" w:lineRule="exact"/>
              <w:ind w:firstLine="480"/>
              <w:rPr>
                <w:rFonts w:cs="宋体"/>
                <w:lang w:bidi="ar"/>
              </w:rPr>
            </w:pPr>
            <w:r>
              <w:rPr>
                <w:rFonts w:hint="eastAsia" w:cs="宋体"/>
                <w:lang w:bidi="ar"/>
              </w:rPr>
              <w:t>（2）钻井工程</w:t>
            </w:r>
          </w:p>
          <w:p>
            <w:pPr>
              <w:pStyle w:val="46"/>
              <w:spacing w:line="520" w:lineRule="exact"/>
              <w:ind w:firstLine="480"/>
              <w:rPr>
                <w:rFonts w:cs="宋体"/>
                <w:lang w:bidi="ar"/>
              </w:rPr>
            </w:pPr>
            <w:r>
              <w:rPr>
                <w:rFonts w:hint="eastAsia" w:cs="宋体"/>
                <w:lang w:bidi="ar"/>
              </w:rPr>
              <w:t>①钻井流程</w:t>
            </w:r>
          </w:p>
          <w:p>
            <w:pPr>
              <w:pStyle w:val="46"/>
              <w:ind w:firstLine="480"/>
              <w:rPr>
                <w:rFonts w:cs="宋体"/>
                <w:lang w:bidi="ar"/>
              </w:rPr>
            </w:pPr>
            <w:r>
              <w:rPr>
                <w:rFonts w:hint="eastAsia" w:cs="宋体"/>
                <w:lang w:bidi="ar"/>
              </w:rPr>
              <w:t>钻前准备工作完成后，开始钻井。钻井是破岩和加深井眼的过程。埋设导管后下</w:t>
            </w:r>
            <w:r>
              <w:rPr>
                <w:rFonts w:hint="eastAsia" w:cs="宋体"/>
                <w:spacing w:val="-2"/>
                <w:lang w:bidi="ar"/>
              </w:rPr>
              <w:t>钻，钻达下表层套管深度后，下入表层套管并固井试压，</w:t>
            </w:r>
            <w:r>
              <w:rPr>
                <w:rFonts w:hint="eastAsia" w:cs="宋体"/>
                <w:lang w:bidi="ar"/>
              </w:rPr>
              <w:t>然后继续钻进，安全钻达目标深度后下技术套管或油层套管，</w:t>
            </w:r>
            <w:r>
              <w:rPr>
                <w:rFonts w:hint="eastAsia" w:cs="宋体"/>
                <w:spacing w:val="-4"/>
                <w:lang w:bidi="ar"/>
              </w:rPr>
              <w:t>根据钻井设计要求，及时进行测井、录井、固井等其他作业。</w:t>
            </w:r>
          </w:p>
          <w:p>
            <w:pPr>
              <w:pStyle w:val="46"/>
              <w:ind w:firstLine="480"/>
              <w:rPr>
                <w:rFonts w:cs="宋体"/>
              </w:rPr>
            </w:pPr>
            <w:r>
              <w:rPr>
                <w:rFonts w:hint="eastAsia" w:cs="宋体"/>
              </w:rPr>
              <w:t>②井身结构</w:t>
            </w:r>
          </w:p>
          <w:p>
            <w:pPr>
              <w:pStyle w:val="46"/>
              <w:ind w:firstLine="480"/>
              <w:rPr>
                <w:rFonts w:cs="宋体"/>
              </w:rPr>
            </w:pPr>
            <w:r>
              <w:rPr>
                <w:rFonts w:hint="eastAsia"/>
                <w:szCs w:val="28"/>
                <w:lang w:bidi="ar"/>
              </w:rPr>
              <w:t>车排46井采用三开直井结构，详见</w:t>
            </w:r>
            <w:r>
              <w:rPr>
                <w:rFonts w:hint="eastAsia" w:cs="宋体"/>
              </w:rPr>
              <w:t>表3、附图</w:t>
            </w:r>
            <w:r>
              <w:rPr>
                <w:rFonts w:cs="宋体"/>
              </w:rPr>
              <w:t>6</w:t>
            </w:r>
            <w:r>
              <w:rPr>
                <w:rFonts w:hint="eastAsia" w:cs="宋体"/>
              </w:rPr>
              <w:t>。</w:t>
            </w:r>
          </w:p>
          <w:p>
            <w:pPr>
              <w:pStyle w:val="6"/>
              <w:keepNext/>
            </w:pPr>
            <w:r>
              <w:rPr>
                <w:rFonts w:hint="eastAsia"/>
              </w:rPr>
              <w:t>表3</w:t>
            </w:r>
            <w:r>
              <w:rPr>
                <w:rFonts w:hAnsi="Times New Roman"/>
              </w:rPr>
              <w:t xml:space="preserve"> </w:t>
            </w:r>
            <w:r>
              <w:rPr>
                <w:rFonts w:hint="eastAsia" w:hAnsi="Times New Roman"/>
              </w:rPr>
              <w:t xml:space="preserve"> </w:t>
            </w:r>
            <w:r>
              <w:rPr>
                <w:rFonts w:hAnsi="Times New Roman"/>
              </w:rPr>
              <w:t xml:space="preserve">  </w:t>
            </w:r>
            <w:r>
              <w:rPr>
                <w:rFonts w:hint="eastAsia" w:hAnsi="Times New Roman"/>
              </w:rPr>
              <w:t>井身结构设计数据表</w:t>
            </w:r>
          </w:p>
          <w:tbl>
            <w:tblPr>
              <w:tblStyle w:val="63"/>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094"/>
              <w:gridCol w:w="1134"/>
              <w:gridCol w:w="1134"/>
              <w:gridCol w:w="1276"/>
              <w:gridCol w:w="1134"/>
              <w:gridCol w:w="14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641" w:type="dxa"/>
                  <w:vAlign w:val="center"/>
                </w:tcPr>
                <w:p>
                  <w:pPr>
                    <w:spacing w:line="300" w:lineRule="exact"/>
                    <w:jc w:val="center"/>
                    <w:rPr>
                      <w:rFonts w:ascii="宋体" w:hAnsi="宋体" w:cs="Arial"/>
                    </w:rPr>
                  </w:pPr>
                  <w:r>
                    <w:rPr>
                      <w:rFonts w:ascii="宋体" w:hAnsi="宋体" w:cs="Arial"/>
                    </w:rPr>
                    <w:t>开钻</w:t>
                  </w:r>
                </w:p>
                <w:p>
                  <w:pPr>
                    <w:spacing w:line="300" w:lineRule="exact"/>
                    <w:jc w:val="center"/>
                    <w:rPr>
                      <w:rFonts w:ascii="宋体" w:hAnsi="宋体" w:cs="Arial"/>
                    </w:rPr>
                  </w:pPr>
                  <w:r>
                    <w:rPr>
                      <w:rFonts w:ascii="宋体" w:hAnsi="宋体" w:cs="Arial"/>
                    </w:rPr>
                    <w:t>次序</w:t>
                  </w:r>
                </w:p>
              </w:tc>
              <w:tc>
                <w:tcPr>
                  <w:tcW w:w="1094" w:type="dxa"/>
                  <w:vAlign w:val="center"/>
                </w:tcPr>
                <w:p>
                  <w:pPr>
                    <w:spacing w:line="300" w:lineRule="exact"/>
                    <w:jc w:val="center"/>
                    <w:rPr>
                      <w:rFonts w:ascii="宋体" w:hAnsi="宋体" w:cs="Arial"/>
                    </w:rPr>
                  </w:pPr>
                  <w:r>
                    <w:rPr>
                      <w:rFonts w:ascii="宋体" w:hAnsi="宋体" w:cs="Arial"/>
                    </w:rPr>
                    <w:t>井 深</w:t>
                  </w:r>
                </w:p>
                <w:p>
                  <w:pPr>
                    <w:spacing w:line="300" w:lineRule="exact"/>
                    <w:jc w:val="center"/>
                    <w:rPr>
                      <w:rFonts w:ascii="宋体" w:hAnsi="宋体" w:cs="Arial"/>
                    </w:rPr>
                  </w:pPr>
                  <w:r>
                    <w:rPr>
                      <w:rFonts w:ascii="宋体" w:hAnsi="宋体" w:cs="Arial"/>
                    </w:rPr>
                    <w:t>(m)</w:t>
                  </w:r>
                </w:p>
              </w:tc>
              <w:tc>
                <w:tcPr>
                  <w:tcW w:w="1134" w:type="dxa"/>
                  <w:vAlign w:val="center"/>
                </w:tcPr>
                <w:p>
                  <w:pPr>
                    <w:spacing w:line="300" w:lineRule="exact"/>
                    <w:jc w:val="center"/>
                    <w:rPr>
                      <w:rFonts w:ascii="宋体" w:hAnsi="宋体" w:cs="Arial"/>
                    </w:rPr>
                  </w:pPr>
                  <w:r>
                    <w:rPr>
                      <w:rFonts w:ascii="宋体" w:hAnsi="宋体" w:cs="Arial"/>
                    </w:rPr>
                    <w:t>钻头尺寸</w:t>
                  </w:r>
                </w:p>
                <w:p>
                  <w:pPr>
                    <w:spacing w:line="300" w:lineRule="exact"/>
                    <w:jc w:val="center"/>
                    <w:rPr>
                      <w:rFonts w:ascii="宋体" w:hAnsi="宋体" w:cs="Arial"/>
                    </w:rPr>
                  </w:pPr>
                  <w:r>
                    <w:rPr>
                      <w:rFonts w:ascii="宋体" w:hAnsi="宋体" w:cs="Arial"/>
                    </w:rPr>
                    <w:t>(mm)</w:t>
                  </w:r>
                </w:p>
              </w:tc>
              <w:tc>
                <w:tcPr>
                  <w:tcW w:w="1134" w:type="dxa"/>
                  <w:vAlign w:val="center"/>
                </w:tcPr>
                <w:p>
                  <w:pPr>
                    <w:spacing w:line="300" w:lineRule="exact"/>
                    <w:jc w:val="center"/>
                    <w:rPr>
                      <w:rFonts w:ascii="宋体" w:hAnsi="宋体" w:cs="Arial"/>
                    </w:rPr>
                  </w:pPr>
                  <w:r>
                    <w:rPr>
                      <w:rFonts w:ascii="宋体" w:hAnsi="宋体" w:cs="Arial"/>
                    </w:rPr>
                    <w:t>套管尺寸</w:t>
                  </w:r>
                </w:p>
                <w:p>
                  <w:pPr>
                    <w:spacing w:line="300" w:lineRule="exact"/>
                    <w:jc w:val="center"/>
                    <w:rPr>
                      <w:rFonts w:ascii="宋体" w:hAnsi="宋体" w:cs="Arial"/>
                    </w:rPr>
                  </w:pPr>
                  <w:r>
                    <w:rPr>
                      <w:rFonts w:ascii="宋体" w:hAnsi="宋体" w:cs="Arial"/>
                    </w:rPr>
                    <w:t>(mm)</w:t>
                  </w:r>
                </w:p>
              </w:tc>
              <w:tc>
                <w:tcPr>
                  <w:tcW w:w="1276" w:type="dxa"/>
                  <w:vAlign w:val="center"/>
                </w:tcPr>
                <w:p>
                  <w:pPr>
                    <w:spacing w:line="300" w:lineRule="exact"/>
                    <w:jc w:val="center"/>
                    <w:rPr>
                      <w:rFonts w:ascii="宋体" w:hAnsi="宋体" w:cs="Arial"/>
                    </w:rPr>
                  </w:pPr>
                  <w:r>
                    <w:rPr>
                      <w:rFonts w:ascii="宋体" w:hAnsi="宋体" w:cs="Arial"/>
                    </w:rPr>
                    <w:t>套管下入</w:t>
                  </w:r>
                </w:p>
                <w:p>
                  <w:pPr>
                    <w:spacing w:line="300" w:lineRule="exact"/>
                    <w:jc w:val="center"/>
                    <w:rPr>
                      <w:rFonts w:ascii="宋体" w:hAnsi="宋体" w:cs="Arial"/>
                    </w:rPr>
                  </w:pPr>
                  <w:r>
                    <w:rPr>
                      <w:rFonts w:ascii="宋体" w:hAnsi="宋体" w:cs="Arial"/>
                    </w:rPr>
                    <w:t>地层层位</w:t>
                  </w:r>
                </w:p>
              </w:tc>
              <w:tc>
                <w:tcPr>
                  <w:tcW w:w="1134" w:type="dxa"/>
                  <w:vAlign w:val="center"/>
                </w:tcPr>
                <w:p>
                  <w:pPr>
                    <w:spacing w:line="300" w:lineRule="exact"/>
                    <w:jc w:val="center"/>
                    <w:rPr>
                      <w:rFonts w:ascii="宋体" w:hAnsi="宋体" w:cs="Arial"/>
                    </w:rPr>
                  </w:pPr>
                  <w:r>
                    <w:rPr>
                      <w:rFonts w:ascii="宋体" w:hAnsi="宋体" w:cs="Arial"/>
                    </w:rPr>
                    <w:t>套管下入深度(m)</w:t>
                  </w:r>
                </w:p>
              </w:tc>
              <w:tc>
                <w:tcPr>
                  <w:tcW w:w="1451" w:type="dxa"/>
                  <w:vAlign w:val="center"/>
                </w:tcPr>
                <w:p>
                  <w:pPr>
                    <w:spacing w:line="300" w:lineRule="exact"/>
                    <w:jc w:val="center"/>
                    <w:rPr>
                      <w:rFonts w:ascii="宋体" w:hAnsi="宋体" w:cs="Arial"/>
                    </w:rPr>
                  </w:pPr>
                  <w:r>
                    <w:rPr>
                      <w:rFonts w:ascii="宋体" w:hAnsi="宋体" w:cs="Arial"/>
                    </w:rPr>
                    <w:t>环空水泥浆返至井深(m)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641" w:type="dxa"/>
                  <w:vAlign w:val="center"/>
                </w:tcPr>
                <w:p>
                  <w:pPr>
                    <w:spacing w:line="300" w:lineRule="exact"/>
                    <w:jc w:val="center"/>
                    <w:rPr>
                      <w:rFonts w:ascii="宋体" w:hAnsi="宋体" w:cs="Arial"/>
                    </w:rPr>
                  </w:pPr>
                  <w:r>
                    <w:rPr>
                      <w:rFonts w:ascii="宋体" w:hAnsi="宋体" w:cs="Arial"/>
                    </w:rPr>
                    <w:t>一开</w:t>
                  </w:r>
                </w:p>
              </w:tc>
              <w:tc>
                <w:tcPr>
                  <w:tcW w:w="1094" w:type="dxa"/>
                  <w:vAlign w:val="center"/>
                </w:tcPr>
                <w:p>
                  <w:pPr>
                    <w:spacing w:line="300" w:lineRule="exact"/>
                    <w:jc w:val="center"/>
                    <w:rPr>
                      <w:rFonts w:ascii="宋体" w:hAnsi="宋体" w:cs="Arial"/>
                    </w:rPr>
                  </w:pPr>
                  <w:r>
                    <w:rPr>
                      <w:rFonts w:hint="eastAsia" w:ascii="宋体" w:hAnsi="宋体" w:cs="Arial"/>
                    </w:rPr>
                    <w:t>5</w:t>
                  </w:r>
                  <w:r>
                    <w:rPr>
                      <w:rFonts w:ascii="宋体" w:hAnsi="宋体" w:cs="Arial"/>
                    </w:rPr>
                    <w:t>00</w:t>
                  </w:r>
                </w:p>
              </w:tc>
              <w:tc>
                <w:tcPr>
                  <w:tcW w:w="1134" w:type="dxa"/>
                  <w:vAlign w:val="center"/>
                </w:tcPr>
                <w:p>
                  <w:pPr>
                    <w:spacing w:line="300" w:lineRule="exact"/>
                    <w:jc w:val="center"/>
                    <w:rPr>
                      <w:rFonts w:ascii="宋体" w:hAnsi="宋体" w:cs="Arial"/>
                    </w:rPr>
                  </w:pPr>
                  <w:r>
                    <w:rPr>
                      <w:rFonts w:ascii="宋体" w:hAnsi="宋体" w:cs="Arial"/>
                    </w:rPr>
                    <w:t>444.5</w:t>
                  </w:r>
                </w:p>
              </w:tc>
              <w:tc>
                <w:tcPr>
                  <w:tcW w:w="1134" w:type="dxa"/>
                  <w:vAlign w:val="center"/>
                </w:tcPr>
                <w:p>
                  <w:pPr>
                    <w:spacing w:line="300" w:lineRule="exact"/>
                    <w:jc w:val="center"/>
                    <w:rPr>
                      <w:rFonts w:ascii="宋体" w:hAnsi="宋体" w:cs="Arial"/>
                    </w:rPr>
                  </w:pPr>
                  <w:r>
                    <w:rPr>
                      <w:rFonts w:ascii="宋体" w:hAnsi="宋体" w:cs="Arial"/>
                    </w:rPr>
                    <w:t>339.7</w:t>
                  </w:r>
                </w:p>
              </w:tc>
              <w:tc>
                <w:tcPr>
                  <w:tcW w:w="1276" w:type="dxa"/>
                  <w:vAlign w:val="center"/>
                </w:tcPr>
                <w:p>
                  <w:pPr>
                    <w:spacing w:line="300" w:lineRule="exact"/>
                    <w:jc w:val="center"/>
                    <w:rPr>
                      <w:rFonts w:ascii="宋体" w:hAnsi="宋体" w:cs="Arial"/>
                    </w:rPr>
                  </w:pPr>
                  <w:r>
                    <w:rPr>
                      <w:rFonts w:hint="eastAsia" w:ascii="宋体" w:hAnsi="宋体" w:cs="Arial"/>
                      <w:szCs w:val="21"/>
                    </w:rPr>
                    <w:t>K</w:t>
                  </w:r>
                </w:p>
              </w:tc>
              <w:tc>
                <w:tcPr>
                  <w:tcW w:w="1134" w:type="dxa"/>
                  <w:vAlign w:val="center"/>
                </w:tcPr>
                <w:p>
                  <w:pPr>
                    <w:spacing w:line="300" w:lineRule="exact"/>
                    <w:jc w:val="center"/>
                    <w:rPr>
                      <w:rFonts w:ascii="宋体" w:hAnsi="宋体" w:cs="Arial"/>
                    </w:rPr>
                  </w:pPr>
                  <w:r>
                    <w:rPr>
                      <w:rFonts w:hint="eastAsia" w:ascii="宋体" w:hAnsi="宋体" w:cs="Arial"/>
                    </w:rPr>
                    <w:t>5</w:t>
                  </w:r>
                  <w:r>
                    <w:rPr>
                      <w:rFonts w:ascii="宋体" w:hAnsi="宋体" w:cs="Arial"/>
                    </w:rPr>
                    <w:t>00</w:t>
                  </w:r>
                </w:p>
              </w:tc>
              <w:tc>
                <w:tcPr>
                  <w:tcW w:w="1451" w:type="dxa"/>
                  <w:vAlign w:val="center"/>
                </w:tcPr>
                <w:p>
                  <w:pPr>
                    <w:spacing w:line="300" w:lineRule="exact"/>
                    <w:jc w:val="center"/>
                    <w:rPr>
                      <w:rFonts w:ascii="宋体" w:hAnsi="宋体" w:cs="Arial"/>
                    </w:rPr>
                  </w:pPr>
                  <w:r>
                    <w:rPr>
                      <w:rFonts w:ascii="宋体" w:hAnsi="宋体" w:cs="Arial"/>
                    </w:rPr>
                    <w:t>地面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641" w:type="dxa"/>
                  <w:vAlign w:val="center"/>
                </w:tcPr>
                <w:p>
                  <w:pPr>
                    <w:spacing w:line="300" w:lineRule="exact"/>
                    <w:jc w:val="center"/>
                    <w:rPr>
                      <w:rFonts w:ascii="宋体" w:hAnsi="宋体" w:cs="Arial"/>
                    </w:rPr>
                  </w:pPr>
                  <w:r>
                    <w:rPr>
                      <w:rFonts w:ascii="宋体" w:hAnsi="宋体" w:cs="Arial"/>
                    </w:rPr>
                    <w:t>二开</w:t>
                  </w:r>
                </w:p>
              </w:tc>
              <w:tc>
                <w:tcPr>
                  <w:tcW w:w="1094" w:type="dxa"/>
                  <w:vAlign w:val="center"/>
                </w:tcPr>
                <w:p>
                  <w:pPr>
                    <w:spacing w:line="300" w:lineRule="exact"/>
                    <w:jc w:val="center"/>
                    <w:rPr>
                      <w:rFonts w:ascii="宋体" w:hAnsi="宋体" w:cs="Arial"/>
                    </w:rPr>
                  </w:pPr>
                  <w:r>
                    <w:rPr>
                      <w:rFonts w:ascii="宋体" w:hAnsi="宋体" w:cs="Arial"/>
                    </w:rPr>
                    <w:t>3770</w:t>
                  </w:r>
                </w:p>
              </w:tc>
              <w:tc>
                <w:tcPr>
                  <w:tcW w:w="1134" w:type="dxa"/>
                  <w:vAlign w:val="center"/>
                </w:tcPr>
                <w:p>
                  <w:pPr>
                    <w:spacing w:line="300" w:lineRule="exact"/>
                    <w:jc w:val="center"/>
                    <w:rPr>
                      <w:rFonts w:ascii="宋体" w:hAnsi="宋体" w:cs="Arial"/>
                    </w:rPr>
                  </w:pPr>
                  <w:r>
                    <w:rPr>
                      <w:rFonts w:ascii="宋体" w:hAnsi="宋体" w:cs="Arial"/>
                    </w:rPr>
                    <w:t>311.2</w:t>
                  </w:r>
                </w:p>
              </w:tc>
              <w:tc>
                <w:tcPr>
                  <w:tcW w:w="1134" w:type="dxa"/>
                  <w:vAlign w:val="center"/>
                </w:tcPr>
                <w:p>
                  <w:pPr>
                    <w:spacing w:line="300" w:lineRule="exact"/>
                    <w:jc w:val="center"/>
                    <w:rPr>
                      <w:rFonts w:ascii="宋体" w:hAnsi="宋体" w:cs="Arial"/>
                    </w:rPr>
                  </w:pPr>
                  <w:r>
                    <w:rPr>
                      <w:rFonts w:ascii="宋体" w:hAnsi="宋体" w:cs="Arial"/>
                    </w:rPr>
                    <w:t>244.5</w:t>
                  </w:r>
                </w:p>
              </w:tc>
              <w:tc>
                <w:tcPr>
                  <w:tcW w:w="1276" w:type="dxa"/>
                  <w:vAlign w:val="center"/>
                </w:tcPr>
                <w:p>
                  <w:pPr>
                    <w:spacing w:line="300" w:lineRule="exact"/>
                    <w:jc w:val="center"/>
                    <w:rPr>
                      <w:rFonts w:ascii="宋体" w:hAnsi="宋体" w:cs="Arial"/>
                    </w:rPr>
                  </w:pPr>
                  <w:r>
                    <w:rPr>
                      <w:rFonts w:ascii="宋体" w:hAnsi="宋体" w:cs="Arial"/>
                    </w:rPr>
                    <w:t>C2h</w:t>
                  </w:r>
                </w:p>
              </w:tc>
              <w:tc>
                <w:tcPr>
                  <w:tcW w:w="1134" w:type="dxa"/>
                  <w:vAlign w:val="center"/>
                </w:tcPr>
                <w:p>
                  <w:pPr>
                    <w:spacing w:line="300" w:lineRule="exact"/>
                    <w:jc w:val="center"/>
                    <w:rPr>
                      <w:rFonts w:ascii="宋体" w:hAnsi="宋体" w:cs="Arial"/>
                    </w:rPr>
                  </w:pPr>
                  <w:r>
                    <w:rPr>
                      <w:rFonts w:ascii="宋体" w:hAnsi="宋体" w:cs="Arial"/>
                    </w:rPr>
                    <w:t>3770</w:t>
                  </w:r>
                </w:p>
              </w:tc>
              <w:tc>
                <w:tcPr>
                  <w:tcW w:w="1451" w:type="dxa"/>
                  <w:vAlign w:val="center"/>
                </w:tcPr>
                <w:p>
                  <w:pPr>
                    <w:spacing w:line="300" w:lineRule="exact"/>
                    <w:jc w:val="center"/>
                    <w:rPr>
                      <w:rFonts w:ascii="宋体" w:hAnsi="宋体" w:cs="Arial"/>
                    </w:rPr>
                  </w:pPr>
                  <w:r>
                    <w:rPr>
                      <w:rFonts w:hint="eastAsia" w:ascii="宋体" w:hAnsi="宋体" w:cs="Arial"/>
                    </w:rPr>
                    <w:t>3000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641" w:type="dxa"/>
                  <w:vAlign w:val="center"/>
                </w:tcPr>
                <w:p>
                  <w:pPr>
                    <w:spacing w:line="300" w:lineRule="exact"/>
                    <w:jc w:val="center"/>
                    <w:rPr>
                      <w:rFonts w:ascii="宋体" w:hAnsi="宋体" w:cs="Arial"/>
                    </w:rPr>
                  </w:pPr>
                  <w:r>
                    <w:rPr>
                      <w:rFonts w:ascii="宋体" w:hAnsi="宋体" w:cs="Arial"/>
                    </w:rPr>
                    <w:t>三开</w:t>
                  </w:r>
                </w:p>
              </w:tc>
              <w:tc>
                <w:tcPr>
                  <w:tcW w:w="1094" w:type="dxa"/>
                  <w:vAlign w:val="center"/>
                </w:tcPr>
                <w:p>
                  <w:pPr>
                    <w:spacing w:line="300" w:lineRule="exact"/>
                    <w:jc w:val="center"/>
                    <w:rPr>
                      <w:rFonts w:ascii="宋体" w:hAnsi="宋体" w:cs="Arial"/>
                    </w:rPr>
                  </w:pPr>
                  <w:r>
                    <w:rPr>
                      <w:rFonts w:ascii="宋体" w:hAnsi="宋体" w:cs="Arial"/>
                    </w:rPr>
                    <w:t>4595</w:t>
                  </w:r>
                </w:p>
              </w:tc>
              <w:tc>
                <w:tcPr>
                  <w:tcW w:w="1134" w:type="dxa"/>
                  <w:vAlign w:val="center"/>
                </w:tcPr>
                <w:p>
                  <w:pPr>
                    <w:spacing w:line="300" w:lineRule="exact"/>
                    <w:jc w:val="center"/>
                    <w:rPr>
                      <w:rFonts w:ascii="宋体" w:hAnsi="宋体" w:cs="Arial"/>
                    </w:rPr>
                  </w:pPr>
                  <w:r>
                    <w:rPr>
                      <w:rFonts w:ascii="宋体" w:hAnsi="宋体" w:cs="Arial"/>
                    </w:rPr>
                    <w:t>215.9</w:t>
                  </w:r>
                </w:p>
              </w:tc>
              <w:tc>
                <w:tcPr>
                  <w:tcW w:w="1134" w:type="dxa"/>
                  <w:vAlign w:val="center"/>
                </w:tcPr>
                <w:p>
                  <w:pPr>
                    <w:spacing w:line="300" w:lineRule="exact"/>
                    <w:jc w:val="center"/>
                    <w:rPr>
                      <w:rFonts w:ascii="宋体" w:hAnsi="宋体" w:cs="Arial"/>
                    </w:rPr>
                  </w:pPr>
                  <w:r>
                    <w:rPr>
                      <w:rFonts w:ascii="宋体" w:hAnsi="宋体" w:cs="Arial"/>
                    </w:rPr>
                    <w:t>139.7</w:t>
                  </w:r>
                </w:p>
              </w:tc>
              <w:tc>
                <w:tcPr>
                  <w:tcW w:w="1276" w:type="dxa"/>
                  <w:vAlign w:val="center"/>
                </w:tcPr>
                <w:p>
                  <w:pPr>
                    <w:spacing w:line="300" w:lineRule="exact"/>
                    <w:jc w:val="center"/>
                    <w:rPr>
                      <w:rFonts w:ascii="宋体" w:hAnsi="宋体" w:cs="Arial"/>
                      <w:szCs w:val="21"/>
                    </w:rPr>
                  </w:pPr>
                  <w:r>
                    <w:rPr>
                      <w:rFonts w:hint="eastAsia" w:ascii="宋体" w:hAnsi="宋体" w:cs="Arial"/>
                      <w:szCs w:val="21"/>
                    </w:rPr>
                    <w:t>P1</w:t>
                  </w:r>
                  <w:r>
                    <w:rPr>
                      <w:rFonts w:ascii="宋体" w:hAnsi="宋体" w:cs="Arial"/>
                      <w:szCs w:val="21"/>
                    </w:rPr>
                    <w:t>j</w:t>
                  </w:r>
                </w:p>
              </w:tc>
              <w:tc>
                <w:tcPr>
                  <w:tcW w:w="1134" w:type="dxa"/>
                  <w:vAlign w:val="center"/>
                </w:tcPr>
                <w:p>
                  <w:pPr>
                    <w:spacing w:line="300" w:lineRule="exact"/>
                    <w:jc w:val="center"/>
                    <w:rPr>
                      <w:rFonts w:ascii="宋体" w:hAnsi="宋体" w:cs="Arial"/>
                    </w:rPr>
                  </w:pPr>
                  <w:r>
                    <w:rPr>
                      <w:rFonts w:ascii="宋体" w:hAnsi="宋体" w:cs="Arial"/>
                    </w:rPr>
                    <w:t>4595</w:t>
                  </w:r>
                </w:p>
              </w:tc>
              <w:tc>
                <w:tcPr>
                  <w:tcW w:w="1451" w:type="dxa"/>
                  <w:vAlign w:val="center"/>
                </w:tcPr>
                <w:p>
                  <w:pPr>
                    <w:spacing w:line="300" w:lineRule="exact"/>
                    <w:jc w:val="center"/>
                    <w:rPr>
                      <w:rFonts w:ascii="宋体" w:hAnsi="宋体" w:cs="Arial"/>
                    </w:rPr>
                  </w:pPr>
                  <w:r>
                    <w:rPr>
                      <w:rFonts w:ascii="宋体" w:hAnsi="宋体" w:cs="Arial"/>
                    </w:rPr>
                    <w:t>3570</w:t>
                  </w:r>
                </w:p>
              </w:tc>
            </w:tr>
          </w:tbl>
          <w:p>
            <w:pPr>
              <w:pStyle w:val="46"/>
              <w:ind w:firstLine="480"/>
            </w:pPr>
            <w:r>
              <w:rPr>
                <w:rFonts w:hint="eastAsia"/>
              </w:rPr>
              <w:t>③钻井设备</w:t>
            </w:r>
          </w:p>
          <w:p>
            <w:pPr>
              <w:pStyle w:val="46"/>
              <w:ind w:firstLine="480"/>
            </w:pPr>
            <w:r>
              <w:rPr>
                <w:rFonts w:hint="eastAsia"/>
                <w:snapToGrid w:val="0"/>
              </w:rPr>
              <w:t>钻井</w:t>
            </w:r>
            <w:r>
              <w:rPr>
                <w:snapToGrid w:val="0"/>
              </w:rPr>
              <w:t>设备包括提升系统、循环系统、动力系统、控制系统、仪器仪表等</w:t>
            </w:r>
            <w:r>
              <w:rPr>
                <w:rFonts w:hint="eastAsia"/>
                <w:snapToGrid w:val="0"/>
              </w:rPr>
              <w:t>，</w:t>
            </w:r>
            <w:r>
              <w:rPr>
                <w:rFonts w:hint="eastAsia"/>
                <w:kern w:val="2"/>
              </w:rPr>
              <w:t>详见表4。</w:t>
            </w:r>
            <w:bookmarkStart w:id="13" w:name="_Ref19636829"/>
          </w:p>
          <w:bookmarkEnd w:id="13"/>
          <w:p>
            <w:pPr>
              <w:pStyle w:val="6"/>
            </w:pPr>
            <w:r>
              <w:rPr>
                <w:rFonts w:hint="eastAsia"/>
              </w:rPr>
              <w:t>表4</w:t>
            </w:r>
            <w:r>
              <w:t xml:space="preserve">    钻井主要设备一览表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115"/>
              <w:gridCol w:w="2829"/>
              <w:gridCol w:w="20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ascii="宋体" w:hAnsi="宋体" w:cs="Arial"/>
                      <w:szCs w:val="21"/>
                    </w:rPr>
                    <w:t>序号</w:t>
                  </w:r>
                </w:p>
              </w:tc>
              <w:tc>
                <w:tcPr>
                  <w:tcW w:w="1345" w:type="pct"/>
                  <w:vAlign w:val="center"/>
                </w:tcPr>
                <w:p>
                  <w:pPr>
                    <w:jc w:val="center"/>
                    <w:rPr>
                      <w:rFonts w:ascii="宋体" w:hAnsi="宋体" w:cs="Arial"/>
                      <w:szCs w:val="21"/>
                    </w:rPr>
                  </w:pPr>
                  <w:r>
                    <w:rPr>
                      <w:rFonts w:ascii="宋体" w:hAnsi="宋体" w:cs="Arial"/>
                      <w:szCs w:val="21"/>
                    </w:rPr>
                    <w:t>名    称</w:t>
                  </w:r>
                </w:p>
              </w:tc>
              <w:tc>
                <w:tcPr>
                  <w:tcW w:w="1799" w:type="pct"/>
                  <w:vAlign w:val="center"/>
                </w:tcPr>
                <w:p>
                  <w:pPr>
                    <w:jc w:val="center"/>
                    <w:rPr>
                      <w:rFonts w:ascii="宋体" w:hAnsi="宋体" w:cs="Arial"/>
                      <w:szCs w:val="21"/>
                    </w:rPr>
                  </w:pPr>
                  <w:r>
                    <w:rPr>
                      <w:rFonts w:ascii="宋体" w:hAnsi="宋体" w:cs="Arial"/>
                      <w:szCs w:val="21"/>
                    </w:rPr>
                    <w:t>型 号</w:t>
                  </w:r>
                </w:p>
              </w:tc>
              <w:tc>
                <w:tcPr>
                  <w:tcW w:w="1283" w:type="pct"/>
                  <w:vAlign w:val="center"/>
                </w:tcPr>
                <w:p>
                  <w:pPr>
                    <w:jc w:val="center"/>
                    <w:rPr>
                      <w:rFonts w:ascii="宋体" w:hAnsi="宋体" w:cs="Arial"/>
                      <w:szCs w:val="21"/>
                    </w:rPr>
                  </w:pPr>
                  <w:r>
                    <w:rPr>
                      <w:rFonts w:hint="eastAsia" w:ascii="宋体" w:hAnsi="宋体" w:cs="Arial"/>
                      <w:szCs w:val="21"/>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1</w:t>
                  </w:r>
                </w:p>
              </w:tc>
              <w:tc>
                <w:tcPr>
                  <w:tcW w:w="1345" w:type="pct"/>
                  <w:vAlign w:val="center"/>
                </w:tcPr>
                <w:p>
                  <w:pPr>
                    <w:jc w:val="center"/>
                    <w:rPr>
                      <w:rFonts w:ascii="宋体" w:hAnsi="宋体" w:cs="Arial"/>
                      <w:szCs w:val="21"/>
                    </w:rPr>
                  </w:pPr>
                  <w:r>
                    <w:rPr>
                      <w:rFonts w:ascii="宋体" w:hAnsi="宋体" w:cs="Arial"/>
                      <w:szCs w:val="21"/>
                    </w:rPr>
                    <w:t>钻   机</w:t>
                  </w:r>
                </w:p>
              </w:tc>
              <w:tc>
                <w:tcPr>
                  <w:tcW w:w="1799" w:type="pct"/>
                  <w:vAlign w:val="center"/>
                </w:tcPr>
                <w:p>
                  <w:pPr>
                    <w:jc w:val="center"/>
                    <w:rPr>
                      <w:rFonts w:ascii="宋体" w:hAnsi="宋体" w:cs="Arial"/>
                      <w:szCs w:val="21"/>
                    </w:rPr>
                  </w:pPr>
                  <w:r>
                    <w:rPr>
                      <w:rFonts w:ascii="宋体" w:hAnsi="宋体" w:cs="Arial"/>
                      <w:szCs w:val="21"/>
                    </w:rPr>
                    <w:t>ZJ50</w:t>
                  </w:r>
                </w:p>
              </w:tc>
              <w:tc>
                <w:tcPr>
                  <w:tcW w:w="1283" w:type="pct"/>
                  <w:vAlign w:val="center"/>
                </w:tcPr>
                <w:p>
                  <w:pPr>
                    <w:jc w:val="center"/>
                    <w:rPr>
                      <w:rFonts w:ascii="宋体" w:hAnsi="宋体" w:cs="Arial"/>
                      <w:szCs w:val="21"/>
                    </w:rPr>
                  </w:pPr>
                  <w:r>
                    <w:rPr>
                      <w:rFonts w:hint="eastAsia" w:ascii="宋体" w:hAnsi="宋体" w:cs="Arial"/>
                      <w:szCs w:val="21"/>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2</w:t>
                  </w:r>
                </w:p>
              </w:tc>
              <w:tc>
                <w:tcPr>
                  <w:tcW w:w="1345" w:type="pct"/>
                  <w:vAlign w:val="center"/>
                </w:tcPr>
                <w:p>
                  <w:pPr>
                    <w:jc w:val="center"/>
                    <w:rPr>
                      <w:rFonts w:ascii="宋体" w:hAnsi="宋体" w:cs="Arial"/>
                      <w:szCs w:val="21"/>
                    </w:rPr>
                  </w:pPr>
                  <w:r>
                    <w:rPr>
                      <w:rFonts w:ascii="宋体" w:hAnsi="宋体" w:cs="Arial"/>
                      <w:szCs w:val="21"/>
                    </w:rPr>
                    <w:t>井   架</w:t>
                  </w:r>
                </w:p>
              </w:tc>
              <w:tc>
                <w:tcPr>
                  <w:tcW w:w="1799" w:type="pct"/>
                  <w:vAlign w:val="center"/>
                </w:tcPr>
                <w:p>
                  <w:pPr>
                    <w:jc w:val="center"/>
                    <w:rPr>
                      <w:rFonts w:ascii="宋体" w:hAnsi="宋体" w:cs="Arial"/>
                      <w:szCs w:val="21"/>
                    </w:rPr>
                  </w:pPr>
                  <w:r>
                    <w:rPr>
                      <w:rFonts w:ascii="宋体" w:hAnsi="宋体" w:cs="Arial"/>
                      <w:szCs w:val="21"/>
                    </w:rPr>
                    <w:t>JJ315/43A</w:t>
                  </w:r>
                </w:p>
              </w:tc>
              <w:tc>
                <w:tcPr>
                  <w:tcW w:w="1283" w:type="pct"/>
                  <w:vAlign w:val="center"/>
                </w:tcPr>
                <w:p>
                  <w:pPr>
                    <w:jc w:val="center"/>
                    <w:rPr>
                      <w:rFonts w:ascii="宋体" w:hAnsi="宋体" w:cs="Arial"/>
                      <w:szCs w:val="21"/>
                    </w:rPr>
                  </w:pPr>
                  <w:r>
                    <w:rPr>
                      <w:rFonts w:hint="eastAsia" w:ascii="宋体" w:hAnsi="宋体" w:cs="Arial"/>
                      <w:szCs w:val="21"/>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3</w:t>
                  </w:r>
                </w:p>
              </w:tc>
              <w:tc>
                <w:tcPr>
                  <w:tcW w:w="1345" w:type="pct"/>
                  <w:vAlign w:val="center"/>
                </w:tcPr>
                <w:p>
                  <w:pPr>
                    <w:jc w:val="center"/>
                    <w:rPr>
                      <w:rFonts w:ascii="宋体" w:hAnsi="宋体" w:cs="Arial"/>
                      <w:szCs w:val="21"/>
                    </w:rPr>
                  </w:pPr>
                  <w:r>
                    <w:rPr>
                      <w:rFonts w:ascii="宋体" w:hAnsi="宋体" w:cs="Arial"/>
                      <w:szCs w:val="21"/>
                    </w:rPr>
                    <w:t>钻井泵</w:t>
                  </w:r>
                </w:p>
              </w:tc>
              <w:tc>
                <w:tcPr>
                  <w:tcW w:w="1799" w:type="pct"/>
                  <w:vAlign w:val="center"/>
                </w:tcPr>
                <w:p>
                  <w:pPr>
                    <w:jc w:val="center"/>
                    <w:rPr>
                      <w:rFonts w:ascii="宋体" w:hAnsi="宋体" w:cs="Arial"/>
                      <w:szCs w:val="21"/>
                    </w:rPr>
                  </w:pPr>
                  <w:r>
                    <w:rPr>
                      <w:rFonts w:ascii="宋体" w:hAnsi="宋体" w:cs="Arial"/>
                      <w:szCs w:val="21"/>
                    </w:rPr>
                    <w:t>F-1600</w:t>
                  </w:r>
                </w:p>
              </w:tc>
              <w:tc>
                <w:tcPr>
                  <w:tcW w:w="1283" w:type="pct"/>
                  <w:vAlign w:val="center"/>
                </w:tcPr>
                <w:p>
                  <w:pPr>
                    <w:jc w:val="center"/>
                    <w:rPr>
                      <w:rFonts w:ascii="宋体" w:hAnsi="宋体" w:cs="Arial"/>
                      <w:szCs w:val="21"/>
                    </w:rPr>
                  </w:pPr>
                  <w:r>
                    <w:rPr>
                      <w:rFonts w:ascii="宋体" w:hAnsi="宋体" w:cs="Arial"/>
                      <w:szCs w:val="21"/>
                    </w:rPr>
                    <w:t>2</w:t>
                  </w:r>
                  <w:r>
                    <w:rPr>
                      <w:rFonts w:hint="eastAsia" w:ascii="宋体" w:hAnsi="宋体" w:cs="Arial"/>
                      <w:szCs w:val="21"/>
                    </w:rPr>
                    <w:t>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4</w:t>
                  </w:r>
                </w:p>
              </w:tc>
              <w:tc>
                <w:tcPr>
                  <w:tcW w:w="1345" w:type="pct"/>
                  <w:vAlign w:val="center"/>
                </w:tcPr>
                <w:p>
                  <w:pPr>
                    <w:jc w:val="center"/>
                    <w:rPr>
                      <w:rFonts w:ascii="宋体" w:hAnsi="宋体" w:cs="Arial"/>
                      <w:szCs w:val="21"/>
                    </w:rPr>
                  </w:pPr>
                  <w:r>
                    <w:rPr>
                      <w:rFonts w:hint="eastAsia" w:ascii="宋体" w:hAnsi="宋体" w:cs="Arial"/>
                      <w:szCs w:val="21"/>
                    </w:rPr>
                    <w:t>柴油机</w:t>
                  </w:r>
                </w:p>
              </w:tc>
              <w:tc>
                <w:tcPr>
                  <w:tcW w:w="1799" w:type="pct"/>
                  <w:vAlign w:val="center"/>
                </w:tcPr>
                <w:p>
                  <w:pPr>
                    <w:jc w:val="center"/>
                    <w:rPr>
                      <w:rFonts w:ascii="宋体" w:hAnsi="宋体" w:cs="Arial"/>
                      <w:szCs w:val="21"/>
                    </w:rPr>
                  </w:pPr>
                  <w:r>
                    <w:rPr>
                      <w:rFonts w:ascii="宋体" w:hAnsi="宋体" w:cs="Arial"/>
                      <w:szCs w:val="21"/>
                    </w:rPr>
                    <w:t>12V190B</w:t>
                  </w:r>
                </w:p>
              </w:tc>
              <w:tc>
                <w:tcPr>
                  <w:tcW w:w="1283" w:type="pct"/>
                  <w:vAlign w:val="center"/>
                </w:tcPr>
                <w:p>
                  <w:pPr>
                    <w:jc w:val="center"/>
                    <w:rPr>
                      <w:rFonts w:ascii="宋体" w:hAnsi="宋体" w:cs="Arial"/>
                      <w:szCs w:val="21"/>
                    </w:rPr>
                  </w:pPr>
                  <w:r>
                    <w:rPr>
                      <w:rFonts w:ascii="宋体" w:hAnsi="宋体" w:cs="Arial"/>
                      <w:szCs w:val="21"/>
                    </w:rPr>
                    <w:t>3</w:t>
                  </w:r>
                  <w:r>
                    <w:rPr>
                      <w:rFonts w:hint="eastAsia" w:ascii="宋体" w:hAnsi="宋体" w:cs="Arial"/>
                      <w:szCs w:val="21"/>
                    </w:rPr>
                    <w:t>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5</w:t>
                  </w:r>
                </w:p>
              </w:tc>
              <w:tc>
                <w:tcPr>
                  <w:tcW w:w="1345" w:type="pct"/>
                  <w:vAlign w:val="center"/>
                </w:tcPr>
                <w:p>
                  <w:pPr>
                    <w:jc w:val="center"/>
                    <w:rPr>
                      <w:rFonts w:ascii="宋体" w:hAnsi="宋体" w:cs="Arial"/>
                      <w:szCs w:val="21"/>
                    </w:rPr>
                  </w:pPr>
                  <w:r>
                    <w:rPr>
                      <w:rFonts w:ascii="宋体" w:hAnsi="宋体" w:cs="Arial"/>
                      <w:szCs w:val="21"/>
                    </w:rPr>
                    <w:t>发电机</w:t>
                  </w:r>
                </w:p>
              </w:tc>
              <w:tc>
                <w:tcPr>
                  <w:tcW w:w="1799" w:type="pct"/>
                  <w:vAlign w:val="center"/>
                </w:tcPr>
                <w:p>
                  <w:pPr>
                    <w:jc w:val="center"/>
                    <w:rPr>
                      <w:rFonts w:ascii="宋体" w:hAnsi="宋体" w:cs="Arial"/>
                      <w:szCs w:val="21"/>
                    </w:rPr>
                  </w:pPr>
                  <w:r>
                    <w:rPr>
                      <w:rFonts w:ascii="宋体" w:hAnsi="宋体" w:cs="Arial"/>
                      <w:szCs w:val="21"/>
                    </w:rPr>
                    <w:t>CAT 3512B/SR4B</w:t>
                  </w:r>
                </w:p>
              </w:tc>
              <w:tc>
                <w:tcPr>
                  <w:tcW w:w="1283" w:type="pct"/>
                  <w:vAlign w:val="center"/>
                </w:tcPr>
                <w:p>
                  <w:pPr>
                    <w:jc w:val="center"/>
                    <w:rPr>
                      <w:rFonts w:ascii="宋体" w:hAnsi="宋体" w:cs="Arial"/>
                      <w:szCs w:val="21"/>
                    </w:rPr>
                  </w:pPr>
                  <w:r>
                    <w:rPr>
                      <w:rFonts w:ascii="宋体" w:hAnsi="宋体" w:cs="Arial"/>
                      <w:szCs w:val="21"/>
                    </w:rPr>
                    <w:t>2</w:t>
                  </w:r>
                  <w:r>
                    <w:rPr>
                      <w:rFonts w:hint="eastAsia" w:ascii="宋体" w:hAnsi="宋体" w:cs="Arial"/>
                      <w:szCs w:val="21"/>
                    </w:rPr>
                    <w:t>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6</w:t>
                  </w:r>
                </w:p>
              </w:tc>
              <w:tc>
                <w:tcPr>
                  <w:tcW w:w="1345" w:type="pct"/>
                  <w:vAlign w:val="center"/>
                </w:tcPr>
                <w:p>
                  <w:pPr>
                    <w:jc w:val="center"/>
                    <w:rPr>
                      <w:rFonts w:ascii="宋体" w:hAnsi="宋体" w:cs="Arial"/>
                      <w:szCs w:val="21"/>
                    </w:rPr>
                  </w:pPr>
                  <w:r>
                    <w:rPr>
                      <w:rFonts w:hint="eastAsia" w:ascii="宋体" w:hAnsi="宋体" w:cs="Arial"/>
                      <w:szCs w:val="21"/>
                    </w:rPr>
                    <w:t>钻井液不落地系统</w:t>
                  </w:r>
                </w:p>
              </w:tc>
              <w:tc>
                <w:tcPr>
                  <w:tcW w:w="1799" w:type="pct"/>
                  <w:vAlign w:val="center"/>
                </w:tcPr>
                <w:p>
                  <w:pPr>
                    <w:jc w:val="center"/>
                    <w:rPr>
                      <w:rFonts w:ascii="宋体" w:hAnsi="宋体" w:cs="Arial"/>
                      <w:szCs w:val="21"/>
                    </w:rPr>
                  </w:pPr>
                  <w:r>
                    <w:rPr>
                      <w:rFonts w:hint="eastAsia" w:ascii="宋体" w:hAnsi="宋体" w:cs="Arial"/>
                      <w:szCs w:val="21"/>
                    </w:rPr>
                    <w:t>/</w:t>
                  </w:r>
                </w:p>
              </w:tc>
              <w:tc>
                <w:tcPr>
                  <w:tcW w:w="1283" w:type="pct"/>
                  <w:vAlign w:val="center"/>
                </w:tcPr>
                <w:p>
                  <w:pPr>
                    <w:jc w:val="center"/>
                    <w:rPr>
                      <w:rFonts w:ascii="宋体" w:hAnsi="宋体" w:cs="Arial"/>
                      <w:szCs w:val="21"/>
                    </w:rPr>
                  </w:pPr>
                  <w:r>
                    <w:rPr>
                      <w:rFonts w:hint="eastAsia" w:ascii="宋体" w:hAnsi="宋体" w:cs="Arial"/>
                      <w:szCs w:val="21"/>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7</w:t>
                  </w:r>
                </w:p>
              </w:tc>
              <w:tc>
                <w:tcPr>
                  <w:tcW w:w="1345" w:type="pct"/>
                  <w:vAlign w:val="center"/>
                </w:tcPr>
                <w:p>
                  <w:pPr>
                    <w:jc w:val="center"/>
                    <w:rPr>
                      <w:rFonts w:ascii="宋体" w:hAnsi="宋体" w:cs="Arial"/>
                      <w:szCs w:val="21"/>
                    </w:rPr>
                  </w:pPr>
                  <w:r>
                    <w:rPr>
                      <w:rFonts w:hint="eastAsia" w:ascii="宋体" w:hAnsi="宋体" w:cs="Arial"/>
                      <w:szCs w:val="21"/>
                    </w:rPr>
                    <w:t>井控装置</w:t>
                  </w:r>
                </w:p>
              </w:tc>
              <w:tc>
                <w:tcPr>
                  <w:tcW w:w="1799" w:type="pct"/>
                  <w:vAlign w:val="center"/>
                </w:tcPr>
                <w:p>
                  <w:pPr>
                    <w:jc w:val="center"/>
                    <w:rPr>
                      <w:rFonts w:ascii="宋体" w:hAnsi="宋体" w:cs="Arial"/>
                      <w:szCs w:val="21"/>
                    </w:rPr>
                  </w:pPr>
                  <w:r>
                    <w:rPr>
                      <w:rFonts w:hint="eastAsia" w:ascii="宋体" w:hAnsi="宋体" w:cs="Arial"/>
                      <w:szCs w:val="21"/>
                    </w:rPr>
                    <w:t>二开、三开</w:t>
                  </w:r>
                </w:p>
              </w:tc>
              <w:tc>
                <w:tcPr>
                  <w:tcW w:w="1283" w:type="pct"/>
                  <w:vAlign w:val="center"/>
                </w:tcPr>
                <w:p>
                  <w:pPr>
                    <w:jc w:val="center"/>
                    <w:rPr>
                      <w:rFonts w:ascii="宋体" w:hAnsi="宋体" w:cs="Arial"/>
                      <w:szCs w:val="21"/>
                    </w:rPr>
                  </w:pPr>
                  <w:r>
                    <w:rPr>
                      <w:rFonts w:ascii="宋体" w:hAnsi="宋体" w:cs="Arial"/>
                      <w:szCs w:val="21"/>
                    </w:rPr>
                    <w:t>2</w:t>
                  </w:r>
                  <w:r>
                    <w:rPr>
                      <w:rFonts w:hint="eastAsia" w:ascii="宋体" w:hAnsi="宋体" w:cs="Arial"/>
                      <w:szCs w:val="21"/>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Merge w:val="restart"/>
                  <w:vAlign w:val="center"/>
                </w:tcPr>
                <w:p>
                  <w:pPr>
                    <w:jc w:val="center"/>
                    <w:rPr>
                      <w:rFonts w:ascii="宋体" w:hAnsi="宋体" w:cs="Arial"/>
                      <w:szCs w:val="21"/>
                    </w:rPr>
                  </w:pPr>
                  <w:r>
                    <w:rPr>
                      <w:rFonts w:hint="eastAsia" w:ascii="宋体" w:hAnsi="宋体" w:cs="Arial"/>
                      <w:szCs w:val="21"/>
                    </w:rPr>
                    <w:t>8</w:t>
                  </w:r>
                </w:p>
              </w:tc>
              <w:tc>
                <w:tcPr>
                  <w:tcW w:w="1345" w:type="pct"/>
                  <w:vMerge w:val="restart"/>
                  <w:vAlign w:val="center"/>
                </w:tcPr>
                <w:p>
                  <w:pPr>
                    <w:jc w:val="center"/>
                    <w:rPr>
                      <w:rFonts w:ascii="宋体" w:hAnsi="宋体" w:cs="Arial"/>
                      <w:szCs w:val="21"/>
                    </w:rPr>
                  </w:pPr>
                  <w:r>
                    <w:rPr>
                      <w:rFonts w:hint="eastAsia" w:ascii="宋体" w:hAnsi="宋体"/>
                      <w:szCs w:val="21"/>
                    </w:rPr>
                    <w:t>硫化氢检测仪</w:t>
                  </w:r>
                </w:p>
              </w:tc>
              <w:tc>
                <w:tcPr>
                  <w:tcW w:w="1799" w:type="pct"/>
                  <w:vAlign w:val="center"/>
                </w:tcPr>
                <w:p>
                  <w:pPr>
                    <w:jc w:val="center"/>
                    <w:rPr>
                      <w:rFonts w:ascii="宋体" w:hAnsi="宋体" w:cs="Arial"/>
                      <w:szCs w:val="21"/>
                    </w:rPr>
                  </w:pPr>
                  <w:r>
                    <w:rPr>
                      <w:rFonts w:hint="eastAsia" w:ascii="宋体" w:hAnsi="宋体"/>
                      <w:szCs w:val="21"/>
                    </w:rPr>
                    <w:t>便携式</w:t>
                  </w:r>
                </w:p>
              </w:tc>
              <w:tc>
                <w:tcPr>
                  <w:tcW w:w="1283" w:type="pct"/>
                  <w:vAlign w:val="center"/>
                </w:tcPr>
                <w:p>
                  <w:pPr>
                    <w:jc w:val="center"/>
                    <w:rPr>
                      <w:rFonts w:ascii="宋体" w:hAnsi="宋体" w:cs="Arial"/>
                      <w:szCs w:val="21"/>
                    </w:rPr>
                  </w:pPr>
                  <w:r>
                    <w:rPr>
                      <w:rFonts w:hint="eastAsia" w:ascii="宋体" w:hAnsi="宋体"/>
                      <w:szCs w:val="21"/>
                    </w:rPr>
                    <w:t>≥</w:t>
                  </w:r>
                  <w:r>
                    <w:rPr>
                      <w:rFonts w:ascii="宋体" w:hAnsi="宋体"/>
                      <w:szCs w:val="21"/>
                    </w:rPr>
                    <w:t>4</w:t>
                  </w:r>
                  <w:r>
                    <w:rPr>
                      <w:rFonts w:hint="eastAsia" w:ascii="宋体" w:hAnsi="宋体"/>
                      <w:szCs w:val="21"/>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Merge w:val="continue"/>
                  <w:vAlign w:val="center"/>
                </w:tcPr>
                <w:p>
                  <w:pPr>
                    <w:jc w:val="center"/>
                    <w:rPr>
                      <w:rFonts w:ascii="宋体" w:hAnsi="宋体" w:cs="Arial"/>
                      <w:szCs w:val="21"/>
                    </w:rPr>
                  </w:pPr>
                </w:p>
              </w:tc>
              <w:tc>
                <w:tcPr>
                  <w:tcW w:w="1345" w:type="pct"/>
                  <w:vMerge w:val="continue"/>
                  <w:vAlign w:val="center"/>
                </w:tcPr>
                <w:p>
                  <w:pPr>
                    <w:jc w:val="center"/>
                    <w:rPr>
                      <w:rFonts w:ascii="宋体" w:hAnsi="宋体"/>
                      <w:szCs w:val="21"/>
                    </w:rPr>
                  </w:pPr>
                </w:p>
              </w:tc>
              <w:tc>
                <w:tcPr>
                  <w:tcW w:w="1799" w:type="pct"/>
                  <w:vAlign w:val="center"/>
                </w:tcPr>
                <w:p>
                  <w:pPr>
                    <w:jc w:val="center"/>
                    <w:rPr>
                      <w:rFonts w:ascii="宋体" w:hAnsi="宋体"/>
                      <w:szCs w:val="21"/>
                    </w:rPr>
                  </w:pPr>
                  <w:r>
                    <w:rPr>
                      <w:rFonts w:hint="eastAsia" w:ascii="宋体" w:hAnsi="宋体"/>
                      <w:szCs w:val="21"/>
                    </w:rPr>
                    <w:t>固定式</w:t>
                  </w:r>
                </w:p>
              </w:tc>
              <w:tc>
                <w:tcPr>
                  <w:tcW w:w="1283" w:type="pct"/>
                  <w:vAlign w:val="center"/>
                </w:tcPr>
                <w:p>
                  <w:pPr>
                    <w:jc w:val="center"/>
                    <w:rPr>
                      <w:rFonts w:ascii="宋体" w:hAnsi="宋体"/>
                      <w:szCs w:val="21"/>
                    </w:rPr>
                  </w:pPr>
                  <w:r>
                    <w:rPr>
                      <w:rFonts w:hint="eastAsia" w:ascii="宋体" w:hAnsi="宋体"/>
                      <w:szCs w:val="21"/>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9</w:t>
                  </w:r>
                </w:p>
              </w:tc>
              <w:tc>
                <w:tcPr>
                  <w:tcW w:w="1345" w:type="pct"/>
                  <w:vAlign w:val="center"/>
                </w:tcPr>
                <w:p>
                  <w:pPr>
                    <w:jc w:val="center"/>
                    <w:rPr>
                      <w:rFonts w:ascii="宋体" w:hAnsi="宋体" w:cs="Arial"/>
                      <w:szCs w:val="21"/>
                    </w:rPr>
                  </w:pPr>
                  <w:r>
                    <w:rPr>
                      <w:rFonts w:hint="eastAsia" w:ascii="宋体" w:hAnsi="宋体" w:cs="Arial"/>
                      <w:szCs w:val="21"/>
                    </w:rPr>
                    <w:t>液压大钳</w:t>
                  </w:r>
                </w:p>
              </w:tc>
              <w:tc>
                <w:tcPr>
                  <w:tcW w:w="1799" w:type="pct"/>
                  <w:vAlign w:val="center"/>
                </w:tcPr>
                <w:p>
                  <w:pPr>
                    <w:jc w:val="center"/>
                    <w:rPr>
                      <w:rFonts w:ascii="宋体" w:hAnsi="宋体" w:cs="Arial"/>
                      <w:szCs w:val="21"/>
                    </w:rPr>
                  </w:pPr>
                  <w:r>
                    <w:rPr>
                      <w:rFonts w:ascii="宋体" w:hAnsi="宋体" w:cs="Arial"/>
                      <w:szCs w:val="21"/>
                    </w:rPr>
                    <w:t>Q10Y-M</w:t>
                  </w:r>
                </w:p>
              </w:tc>
              <w:tc>
                <w:tcPr>
                  <w:tcW w:w="1283" w:type="pct"/>
                  <w:vAlign w:val="center"/>
                </w:tcPr>
                <w:p>
                  <w:pPr>
                    <w:jc w:val="center"/>
                    <w:rPr>
                      <w:rFonts w:ascii="宋体" w:hAnsi="宋体" w:cs="Arial"/>
                      <w:szCs w:val="21"/>
                    </w:rPr>
                  </w:pPr>
                  <w:r>
                    <w:rPr>
                      <w:rFonts w:hint="eastAsia" w:ascii="宋体" w:hAnsi="宋体" w:cs="Arial"/>
                      <w:szCs w:val="21"/>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1</w:t>
                  </w:r>
                  <w:r>
                    <w:rPr>
                      <w:rFonts w:ascii="宋体" w:hAnsi="宋体" w:cs="Arial"/>
                      <w:szCs w:val="21"/>
                    </w:rPr>
                    <w:t>0</w:t>
                  </w:r>
                </w:p>
              </w:tc>
              <w:tc>
                <w:tcPr>
                  <w:tcW w:w="1345" w:type="pct"/>
                  <w:vAlign w:val="center"/>
                </w:tcPr>
                <w:p>
                  <w:pPr>
                    <w:jc w:val="center"/>
                    <w:rPr>
                      <w:rFonts w:ascii="宋体" w:hAnsi="宋体" w:cs="Arial"/>
                      <w:szCs w:val="21"/>
                    </w:rPr>
                  </w:pPr>
                  <w:r>
                    <w:rPr>
                      <w:rFonts w:hint="eastAsia" w:ascii="宋体" w:hAnsi="宋体" w:cs="Arial"/>
                      <w:szCs w:val="21"/>
                    </w:rPr>
                    <w:t>柴油储罐</w:t>
                  </w:r>
                </w:p>
              </w:tc>
              <w:tc>
                <w:tcPr>
                  <w:tcW w:w="1799" w:type="pct"/>
                  <w:vAlign w:val="center"/>
                </w:tcPr>
                <w:p>
                  <w:pPr>
                    <w:jc w:val="center"/>
                    <w:rPr>
                      <w:rFonts w:ascii="宋体" w:hAnsi="宋体" w:cs="Arial"/>
                      <w:szCs w:val="21"/>
                    </w:rPr>
                  </w:pPr>
                  <w:r>
                    <w:rPr>
                      <w:rFonts w:ascii="宋体" w:hAnsi="宋体"/>
                      <w:szCs w:val="21"/>
                    </w:rPr>
                    <w:t>60m</w:t>
                  </w:r>
                  <w:r>
                    <w:rPr>
                      <w:rFonts w:ascii="宋体" w:hAnsi="宋体"/>
                      <w:szCs w:val="21"/>
                      <w:vertAlign w:val="superscript"/>
                    </w:rPr>
                    <w:t>3</w:t>
                  </w:r>
                </w:p>
              </w:tc>
              <w:tc>
                <w:tcPr>
                  <w:tcW w:w="1283" w:type="pct"/>
                  <w:vAlign w:val="center"/>
                </w:tcPr>
                <w:p>
                  <w:pPr>
                    <w:jc w:val="center"/>
                    <w:rPr>
                      <w:rFonts w:ascii="宋体" w:hAnsi="宋体" w:cs="Arial"/>
                      <w:szCs w:val="21"/>
                    </w:rPr>
                  </w:pPr>
                  <w:r>
                    <w:rPr>
                      <w:rFonts w:hint="eastAsia" w:ascii="宋体" w:hAnsi="宋体" w:cs="Arial"/>
                      <w:szCs w:val="21"/>
                    </w:rPr>
                    <w:t>1座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1</w:t>
                  </w:r>
                  <w:r>
                    <w:rPr>
                      <w:rFonts w:ascii="宋体" w:hAnsi="宋体" w:cs="Arial"/>
                      <w:szCs w:val="21"/>
                    </w:rPr>
                    <w:t>1</w:t>
                  </w:r>
                </w:p>
              </w:tc>
              <w:tc>
                <w:tcPr>
                  <w:tcW w:w="1345" w:type="pct"/>
                  <w:vAlign w:val="center"/>
                </w:tcPr>
                <w:p>
                  <w:pPr>
                    <w:jc w:val="center"/>
                    <w:rPr>
                      <w:rFonts w:ascii="宋体" w:hAnsi="宋体" w:cs="Arial"/>
                      <w:szCs w:val="21"/>
                    </w:rPr>
                  </w:pPr>
                  <w:r>
                    <w:rPr>
                      <w:rFonts w:hint="eastAsia" w:ascii="宋体" w:hAnsi="宋体" w:cs="宋体"/>
                      <w:kern w:val="0"/>
                      <w:szCs w:val="21"/>
                    </w:rPr>
                    <w:t>井口方罐</w:t>
                  </w:r>
                </w:p>
              </w:tc>
              <w:tc>
                <w:tcPr>
                  <w:tcW w:w="1799" w:type="pct"/>
                  <w:vAlign w:val="center"/>
                </w:tcPr>
                <w:p>
                  <w:pPr>
                    <w:jc w:val="center"/>
                    <w:rPr>
                      <w:rFonts w:ascii="宋体" w:hAnsi="宋体"/>
                      <w:szCs w:val="21"/>
                    </w:rPr>
                  </w:pPr>
                  <w:r>
                    <w:rPr>
                      <w:rFonts w:hint="eastAsia" w:ascii="宋体" w:hAnsi="宋体" w:cs="宋体"/>
                      <w:kern w:val="0"/>
                      <w:szCs w:val="21"/>
                      <w:lang w:val="zh-CN"/>
                    </w:rPr>
                    <w:t>21.00m</w:t>
                  </w:r>
                  <w:r>
                    <w:rPr>
                      <w:rFonts w:hint="eastAsia" w:ascii="宋体" w:hAnsi="宋体" w:cs="宋体"/>
                      <w:kern w:val="0"/>
                      <w:szCs w:val="21"/>
                      <w:vertAlign w:val="superscript"/>
                      <w:lang w:val="zh-CN"/>
                    </w:rPr>
                    <w:t>3</w:t>
                  </w:r>
                </w:p>
              </w:tc>
              <w:tc>
                <w:tcPr>
                  <w:tcW w:w="1283" w:type="pct"/>
                  <w:vAlign w:val="center"/>
                </w:tcPr>
                <w:p>
                  <w:pPr>
                    <w:jc w:val="center"/>
                    <w:rPr>
                      <w:rFonts w:ascii="宋体" w:hAnsi="宋体" w:cs="Arial"/>
                      <w:szCs w:val="21"/>
                    </w:rPr>
                  </w:pPr>
                  <w:r>
                    <w:rPr>
                      <w:rFonts w:ascii="宋体" w:hAnsi="宋体" w:cs="宋体"/>
                      <w:kern w:val="0"/>
                      <w:szCs w:val="21"/>
                    </w:rPr>
                    <w:t>1</w:t>
                  </w:r>
                  <w:r>
                    <w:rPr>
                      <w:rFonts w:hint="eastAsia" w:ascii="宋体" w:hAnsi="宋体" w:cs="宋体"/>
                      <w:kern w:val="0"/>
                      <w:szCs w:val="21"/>
                    </w:rPr>
                    <w:t>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1</w:t>
                  </w:r>
                  <w:r>
                    <w:rPr>
                      <w:rFonts w:ascii="宋体" w:hAnsi="宋体" w:cs="Arial"/>
                      <w:szCs w:val="21"/>
                    </w:rPr>
                    <w:t>2</w:t>
                  </w:r>
                </w:p>
              </w:tc>
              <w:tc>
                <w:tcPr>
                  <w:tcW w:w="1345" w:type="pct"/>
                  <w:vAlign w:val="center"/>
                </w:tcPr>
                <w:p>
                  <w:pPr>
                    <w:jc w:val="center"/>
                    <w:rPr>
                      <w:rFonts w:ascii="宋体" w:hAnsi="宋体" w:cs="Arial"/>
                      <w:szCs w:val="21"/>
                    </w:rPr>
                  </w:pPr>
                  <w:r>
                    <w:rPr>
                      <w:rFonts w:hint="eastAsia" w:ascii="宋体" w:hAnsi="宋体" w:cs="宋体"/>
                      <w:kern w:val="0"/>
                      <w:szCs w:val="21"/>
                    </w:rPr>
                    <w:t>采出液方罐</w:t>
                  </w:r>
                </w:p>
              </w:tc>
              <w:tc>
                <w:tcPr>
                  <w:tcW w:w="1799" w:type="pct"/>
                  <w:vAlign w:val="center"/>
                </w:tcPr>
                <w:p>
                  <w:pPr>
                    <w:jc w:val="center"/>
                    <w:rPr>
                      <w:rFonts w:ascii="宋体" w:hAnsi="宋体"/>
                      <w:szCs w:val="21"/>
                    </w:rPr>
                  </w:pPr>
                  <w:r>
                    <w:rPr>
                      <w:rFonts w:hint="eastAsia" w:ascii="宋体" w:hAnsi="宋体" w:cs="宋体"/>
                      <w:kern w:val="0"/>
                      <w:szCs w:val="21"/>
                    </w:rPr>
                    <w:t>60.00m</w:t>
                  </w:r>
                  <w:r>
                    <w:rPr>
                      <w:rFonts w:hint="eastAsia" w:ascii="宋体" w:hAnsi="宋体" w:cs="宋体"/>
                      <w:kern w:val="0"/>
                      <w:szCs w:val="21"/>
                      <w:vertAlign w:val="superscript"/>
                    </w:rPr>
                    <w:t>3</w:t>
                  </w:r>
                </w:p>
              </w:tc>
              <w:tc>
                <w:tcPr>
                  <w:tcW w:w="1283" w:type="pct"/>
                  <w:vAlign w:val="center"/>
                </w:tcPr>
                <w:p>
                  <w:pPr>
                    <w:jc w:val="center"/>
                    <w:rPr>
                      <w:rFonts w:ascii="宋体" w:hAnsi="宋体" w:cs="Arial"/>
                      <w:szCs w:val="21"/>
                    </w:rPr>
                  </w:pPr>
                  <w:r>
                    <w:rPr>
                      <w:rFonts w:ascii="宋体" w:hAnsi="宋体" w:cs="宋体"/>
                      <w:kern w:val="0"/>
                      <w:szCs w:val="21"/>
                    </w:rPr>
                    <w:t>1</w:t>
                  </w:r>
                  <w:r>
                    <w:rPr>
                      <w:rFonts w:hint="eastAsia" w:ascii="宋体" w:hAnsi="宋体" w:cs="宋体"/>
                      <w:kern w:val="0"/>
                      <w:szCs w:val="21"/>
                    </w:rPr>
                    <w:t>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1</w:t>
                  </w:r>
                  <w:r>
                    <w:rPr>
                      <w:rFonts w:ascii="宋体" w:hAnsi="宋体" w:cs="Arial"/>
                      <w:szCs w:val="21"/>
                    </w:rPr>
                    <w:t>3</w:t>
                  </w:r>
                </w:p>
              </w:tc>
              <w:tc>
                <w:tcPr>
                  <w:tcW w:w="1345" w:type="pct"/>
                  <w:vAlign w:val="center"/>
                </w:tcPr>
                <w:p>
                  <w:pPr>
                    <w:jc w:val="center"/>
                    <w:rPr>
                      <w:rFonts w:ascii="宋体" w:hAnsi="宋体" w:cs="宋体"/>
                      <w:kern w:val="0"/>
                      <w:szCs w:val="21"/>
                    </w:rPr>
                  </w:pPr>
                  <w:r>
                    <w:rPr>
                      <w:rFonts w:hint="eastAsia" w:ascii="宋体" w:hAnsi="宋体" w:cs="宋体"/>
                      <w:kern w:val="0"/>
                      <w:szCs w:val="21"/>
                    </w:rPr>
                    <w:t>岩屑方罐</w:t>
                  </w:r>
                </w:p>
              </w:tc>
              <w:tc>
                <w:tcPr>
                  <w:tcW w:w="1799" w:type="pct"/>
                  <w:vAlign w:val="center"/>
                </w:tcPr>
                <w:p>
                  <w:pPr>
                    <w:jc w:val="center"/>
                    <w:rPr>
                      <w:rFonts w:ascii="宋体" w:hAnsi="宋体" w:cs="宋体"/>
                      <w:kern w:val="0"/>
                      <w:szCs w:val="21"/>
                    </w:rPr>
                  </w:pPr>
                  <w:r>
                    <w:rPr>
                      <w:rFonts w:hint="eastAsia" w:ascii="宋体" w:hAnsi="宋体" w:cs="宋体"/>
                      <w:kern w:val="0"/>
                      <w:szCs w:val="21"/>
                    </w:rPr>
                    <w:t>60.00m</w:t>
                  </w:r>
                  <w:r>
                    <w:rPr>
                      <w:rFonts w:hint="eastAsia" w:ascii="宋体" w:hAnsi="宋体" w:cs="宋体"/>
                      <w:kern w:val="0"/>
                      <w:szCs w:val="21"/>
                      <w:vertAlign w:val="superscript"/>
                    </w:rPr>
                    <w:t>3</w:t>
                  </w:r>
                </w:p>
              </w:tc>
              <w:tc>
                <w:tcPr>
                  <w:tcW w:w="1283" w:type="pct"/>
                  <w:vAlign w:val="center"/>
                </w:tcPr>
                <w:p>
                  <w:pPr>
                    <w:jc w:val="center"/>
                    <w:rPr>
                      <w:rFonts w:ascii="宋体" w:hAnsi="宋体" w:cs="宋体"/>
                      <w:kern w:val="0"/>
                      <w:szCs w:val="21"/>
                    </w:rPr>
                  </w:pPr>
                  <w:r>
                    <w:rPr>
                      <w:rFonts w:hint="eastAsia" w:ascii="宋体" w:hAnsi="宋体" w:cs="宋体"/>
                      <w:kern w:val="0"/>
                      <w:szCs w:val="21"/>
                    </w:rPr>
                    <w:t>2个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73" w:type="pct"/>
                  <w:vAlign w:val="center"/>
                </w:tcPr>
                <w:p>
                  <w:pPr>
                    <w:jc w:val="center"/>
                    <w:rPr>
                      <w:rFonts w:ascii="宋体" w:hAnsi="宋体" w:cs="Arial"/>
                      <w:szCs w:val="21"/>
                    </w:rPr>
                  </w:pPr>
                  <w:r>
                    <w:rPr>
                      <w:rFonts w:hint="eastAsia" w:ascii="宋体" w:hAnsi="宋体" w:cs="Arial"/>
                      <w:szCs w:val="21"/>
                    </w:rPr>
                    <w:t>1</w:t>
                  </w:r>
                  <w:r>
                    <w:rPr>
                      <w:rFonts w:ascii="宋体" w:hAnsi="宋体" w:cs="Arial"/>
                      <w:szCs w:val="21"/>
                    </w:rPr>
                    <w:t>4</w:t>
                  </w:r>
                </w:p>
              </w:tc>
              <w:tc>
                <w:tcPr>
                  <w:tcW w:w="1345" w:type="pct"/>
                  <w:vAlign w:val="center"/>
                </w:tcPr>
                <w:p>
                  <w:pPr>
                    <w:jc w:val="center"/>
                    <w:rPr>
                      <w:rFonts w:ascii="宋体" w:hAnsi="宋体" w:cs="宋体"/>
                      <w:kern w:val="0"/>
                      <w:szCs w:val="21"/>
                    </w:rPr>
                  </w:pPr>
                  <w:r>
                    <w:rPr>
                      <w:rFonts w:hint="eastAsia" w:ascii="宋体" w:hAnsi="宋体" w:cs="宋体"/>
                      <w:kern w:val="0"/>
                      <w:szCs w:val="21"/>
                    </w:rPr>
                    <w:t>钻井液储罐</w:t>
                  </w:r>
                </w:p>
              </w:tc>
              <w:tc>
                <w:tcPr>
                  <w:tcW w:w="1799" w:type="pct"/>
                  <w:vAlign w:val="center"/>
                </w:tcPr>
                <w:p>
                  <w:pPr>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00</w:t>
                  </w:r>
                  <w:r>
                    <w:rPr>
                      <w:rFonts w:hint="eastAsia" w:ascii="宋体" w:hAnsi="宋体" w:cs="宋体"/>
                      <w:kern w:val="0"/>
                      <w:szCs w:val="21"/>
                    </w:rPr>
                    <w:t>m</w:t>
                  </w:r>
                  <w:r>
                    <w:rPr>
                      <w:rFonts w:ascii="宋体" w:hAnsi="宋体" w:cs="宋体"/>
                      <w:kern w:val="0"/>
                      <w:szCs w:val="21"/>
                      <w:vertAlign w:val="superscript"/>
                    </w:rPr>
                    <w:t>3</w:t>
                  </w:r>
                </w:p>
              </w:tc>
              <w:tc>
                <w:tcPr>
                  <w:tcW w:w="1283" w:type="pct"/>
                  <w:vAlign w:val="center"/>
                </w:tcPr>
                <w:p>
                  <w:pPr>
                    <w:jc w:val="center"/>
                    <w:rPr>
                      <w:rFonts w:ascii="宋体" w:hAnsi="宋体" w:cs="宋体"/>
                      <w:kern w:val="0"/>
                      <w:szCs w:val="21"/>
                    </w:rPr>
                  </w:pPr>
                  <w:r>
                    <w:rPr>
                      <w:rFonts w:hint="eastAsia" w:ascii="宋体" w:hAnsi="宋体" w:cs="宋体"/>
                      <w:kern w:val="0"/>
                      <w:szCs w:val="21"/>
                    </w:rPr>
                    <w:t>1套</w:t>
                  </w:r>
                </w:p>
              </w:tc>
            </w:tr>
          </w:tbl>
          <w:p>
            <w:pPr>
              <w:pStyle w:val="46"/>
              <w:ind w:firstLine="480"/>
            </w:pPr>
            <w:r>
              <w:rPr>
                <w:rFonts w:hint="eastAsia"/>
              </w:rPr>
              <w:t>④钻井液体系</w:t>
            </w:r>
          </w:p>
          <w:p>
            <w:pPr>
              <w:pStyle w:val="53"/>
              <w:ind w:firstLine="480"/>
              <w:rPr>
                <w:snapToGrid w:val="0"/>
              </w:rPr>
            </w:pPr>
            <w:r>
              <w:rPr>
                <w:rFonts w:hint="eastAsia"/>
                <w:snapToGrid w:val="0"/>
              </w:rPr>
              <w:t>本次钻井一开采用非磺化水基钻井液（主要成分为坂土+</w:t>
            </w:r>
            <w:r>
              <w:rPr>
                <w:snapToGrid w:val="0"/>
              </w:rPr>
              <w:t>CMC</w:t>
            </w:r>
            <w:r>
              <w:rPr>
                <w:rFonts w:hint="eastAsia"/>
                <w:snapToGrid w:val="0"/>
              </w:rPr>
              <w:t>），二开、三开采用油基钻井液。水基钻井液用量为2</w:t>
            </w:r>
            <w:r>
              <w:rPr>
                <w:snapToGrid w:val="0"/>
              </w:rPr>
              <w:t>08m</w:t>
            </w:r>
            <w:r>
              <w:rPr>
                <w:snapToGrid w:val="0"/>
                <w:vertAlign w:val="superscript"/>
              </w:rPr>
              <w:t>3</w:t>
            </w:r>
            <w:r>
              <w:rPr>
                <w:rFonts w:hint="eastAsia"/>
                <w:snapToGrid w:val="0"/>
              </w:rPr>
              <w:t>，油基钻井液合计用量为</w:t>
            </w:r>
            <w:r>
              <w:rPr>
                <w:snapToGrid w:val="0"/>
              </w:rPr>
              <w:t>880m</w:t>
            </w:r>
            <w:r>
              <w:rPr>
                <w:snapToGrid w:val="0"/>
                <w:vertAlign w:val="superscript"/>
              </w:rPr>
              <w:t>3</w:t>
            </w:r>
            <w:r>
              <w:rPr>
                <w:rFonts w:hint="eastAsia"/>
                <w:snapToGrid w:val="0"/>
              </w:rPr>
              <w:t>，详见表5。</w:t>
            </w:r>
          </w:p>
          <w:p>
            <w:pPr>
              <w:pStyle w:val="68"/>
              <w:spacing w:line="500" w:lineRule="exact"/>
            </w:pPr>
            <w:bookmarkStart w:id="14" w:name="_Ref107503904"/>
          </w:p>
          <w:p>
            <w:pPr>
              <w:pStyle w:val="68"/>
              <w:spacing w:line="500" w:lineRule="exact"/>
            </w:pPr>
          </w:p>
          <w:bookmarkEnd w:id="14"/>
          <w:p>
            <w:pPr>
              <w:pStyle w:val="68"/>
              <w:spacing w:line="500" w:lineRule="exact"/>
              <w:rPr>
                <w:rFonts w:hAnsi="黑体"/>
              </w:rPr>
            </w:pPr>
            <w:r>
              <w:rPr>
                <w:rFonts w:hint="eastAsia"/>
              </w:rPr>
              <w:t>表5</w:t>
            </w:r>
            <w:r>
              <w:t xml:space="preserve">  </w:t>
            </w:r>
            <w:r>
              <w:rPr>
                <w:rFonts w:hAnsi="黑体"/>
              </w:rPr>
              <w:t xml:space="preserve">  钻井液</w:t>
            </w:r>
            <w:r>
              <w:rPr>
                <w:rFonts w:hint="eastAsia" w:hAnsi="黑体"/>
              </w:rPr>
              <w:t>用量</w:t>
            </w:r>
            <w:r>
              <w:rPr>
                <w:rFonts w:hAnsi="黑体"/>
              </w:rPr>
              <w:t>一览表</w:t>
            </w:r>
          </w:p>
          <w:tbl>
            <w:tblPr>
              <w:tblStyle w:val="17"/>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15" w:type="dxa"/>
                <w:left w:w="15" w:type="dxa"/>
                <w:bottom w:w="15" w:type="dxa"/>
                <w:right w:w="15" w:type="dxa"/>
              </w:tblCellMar>
            </w:tblPr>
            <w:tblGrid>
              <w:gridCol w:w="1310"/>
              <w:gridCol w:w="1032"/>
              <w:gridCol w:w="2210"/>
              <w:gridCol w:w="1640"/>
              <w:gridCol w:w="167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833" w:type="pct"/>
                  <w:tcBorders>
                    <w:right w:val="single" w:color="auto" w:sz="4" w:space="0"/>
                  </w:tcBorders>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钻井液类别</w:t>
                  </w:r>
                </w:p>
              </w:tc>
              <w:tc>
                <w:tcPr>
                  <w:tcW w:w="656" w:type="pct"/>
                  <w:tcBorders>
                    <w:left w:val="single" w:color="auto" w:sz="4" w:space="0"/>
                  </w:tcBorders>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开钻次序</w:t>
                  </w:r>
                </w:p>
              </w:tc>
              <w:tc>
                <w:tcPr>
                  <w:tcW w:w="1405" w:type="pct"/>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钻井液密度（g/cm</w:t>
                  </w:r>
                  <w:r>
                    <w:rPr>
                      <w:rFonts w:hint="eastAsia" w:ascii="宋体" w:hAnsi="宋体" w:cs="宋体"/>
                      <w:kern w:val="0"/>
                      <w:szCs w:val="21"/>
                      <w:vertAlign w:val="superscript"/>
                    </w:rPr>
                    <w:t>3</w:t>
                  </w:r>
                  <w:r>
                    <w:rPr>
                      <w:rFonts w:hint="eastAsia" w:ascii="宋体" w:hAnsi="宋体" w:cs="宋体"/>
                      <w:kern w:val="0"/>
                      <w:szCs w:val="21"/>
                    </w:rPr>
                    <w:t>）</w:t>
                  </w:r>
                </w:p>
              </w:tc>
              <w:tc>
                <w:tcPr>
                  <w:tcW w:w="1043" w:type="pct"/>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钻井液体系</w:t>
                  </w:r>
                </w:p>
              </w:tc>
              <w:tc>
                <w:tcPr>
                  <w:tcW w:w="1063" w:type="pct"/>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钻井液用量（m</w:t>
                  </w:r>
                  <w:r>
                    <w:rPr>
                      <w:rFonts w:hint="eastAsia" w:ascii="宋体" w:hAnsi="宋体" w:cs="宋体"/>
                      <w:kern w:val="0"/>
                      <w:szCs w:val="21"/>
                      <w:vertAlign w:val="superscript"/>
                    </w:rPr>
                    <w:t>3</w:t>
                  </w:r>
                  <w:r>
                    <w:rPr>
                      <w:rFonts w:hint="eastAsia" w:ascii="宋体" w:hAnsi="宋体" w:cs="宋体"/>
                      <w:kern w:val="0"/>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833" w:type="pct"/>
                  <w:tcBorders>
                    <w:right w:val="single" w:color="auto" w:sz="4" w:space="0"/>
                  </w:tcBorders>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水基钻井液</w:t>
                  </w:r>
                </w:p>
              </w:tc>
              <w:tc>
                <w:tcPr>
                  <w:tcW w:w="656" w:type="pct"/>
                  <w:tcBorders>
                    <w:left w:val="single" w:color="auto" w:sz="4" w:space="0"/>
                  </w:tcBorders>
                  <w:vAlign w:val="center"/>
                </w:tcPr>
                <w:p>
                  <w:pPr>
                    <w:adjustRightInd w:val="0"/>
                    <w:snapToGrid w:val="0"/>
                    <w:spacing w:line="300" w:lineRule="exact"/>
                    <w:jc w:val="center"/>
                    <w:rPr>
                      <w:rFonts w:ascii="宋体" w:hAnsi="宋体" w:cs="宋体"/>
                      <w:kern w:val="0"/>
                      <w:szCs w:val="21"/>
                    </w:rPr>
                  </w:pPr>
                  <w:r>
                    <w:rPr>
                      <w:rFonts w:hint="eastAsia" w:ascii="宋体" w:hAnsi="宋体" w:cs="宋体"/>
                      <w:kern w:val="0"/>
                      <w:szCs w:val="21"/>
                    </w:rPr>
                    <w:t>一开</w:t>
                  </w:r>
                </w:p>
              </w:tc>
              <w:tc>
                <w:tcPr>
                  <w:tcW w:w="1405" w:type="pct"/>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1.10～1.</w:t>
                  </w:r>
                  <w:r>
                    <w:rPr>
                      <w:rFonts w:ascii="宋体" w:hAnsi="宋体" w:cs="宋体"/>
                      <w:kern w:val="0"/>
                      <w:szCs w:val="21"/>
                    </w:rPr>
                    <w:t>20</w:t>
                  </w:r>
                </w:p>
              </w:tc>
              <w:tc>
                <w:tcPr>
                  <w:tcW w:w="1043" w:type="pct"/>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坂土+</w:t>
                  </w:r>
                  <w:r>
                    <w:rPr>
                      <w:rFonts w:ascii="宋体" w:hAnsi="宋体" w:cs="宋体"/>
                      <w:kern w:val="0"/>
                      <w:szCs w:val="21"/>
                    </w:rPr>
                    <w:t>CMC</w:t>
                  </w:r>
                </w:p>
              </w:tc>
              <w:tc>
                <w:tcPr>
                  <w:tcW w:w="1063" w:type="pct"/>
                  <w:vAlign w:val="center"/>
                </w:tcPr>
                <w:p>
                  <w:pPr>
                    <w:widowControl/>
                    <w:adjustRightInd w:val="0"/>
                    <w:snapToGrid w:val="0"/>
                    <w:spacing w:line="300" w:lineRule="exact"/>
                    <w:jc w:val="center"/>
                    <w:rPr>
                      <w:rFonts w:ascii="宋体" w:hAnsi="宋体" w:cs="宋体"/>
                      <w:kern w:val="0"/>
                      <w:szCs w:val="21"/>
                    </w:rPr>
                  </w:pPr>
                  <w:r>
                    <w:rPr>
                      <w:rFonts w:ascii="宋体" w:hAnsi="宋体" w:cs="宋体"/>
                      <w:kern w:val="0"/>
                      <w:szCs w:val="21"/>
                    </w:rPr>
                    <w:t>208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833" w:type="pct"/>
                  <w:vMerge w:val="restart"/>
                  <w:tcBorders>
                    <w:right w:val="single" w:color="auto" w:sz="4" w:space="0"/>
                  </w:tcBorders>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油基钻井液</w:t>
                  </w:r>
                </w:p>
              </w:tc>
              <w:tc>
                <w:tcPr>
                  <w:tcW w:w="656" w:type="pct"/>
                  <w:tcBorders>
                    <w:left w:val="single" w:color="auto" w:sz="4" w:space="0"/>
                  </w:tcBorders>
                  <w:vAlign w:val="center"/>
                </w:tcPr>
                <w:p>
                  <w:pPr>
                    <w:adjustRightInd w:val="0"/>
                    <w:snapToGrid w:val="0"/>
                    <w:spacing w:line="300" w:lineRule="exact"/>
                    <w:jc w:val="center"/>
                    <w:rPr>
                      <w:rFonts w:ascii="宋体" w:hAnsi="宋体" w:cs="宋体"/>
                      <w:kern w:val="0"/>
                      <w:szCs w:val="21"/>
                    </w:rPr>
                  </w:pPr>
                  <w:r>
                    <w:rPr>
                      <w:rFonts w:hint="eastAsia" w:ascii="宋体" w:hAnsi="宋体" w:cs="宋体"/>
                      <w:kern w:val="0"/>
                      <w:szCs w:val="21"/>
                    </w:rPr>
                    <w:t>二开</w:t>
                  </w:r>
                </w:p>
              </w:tc>
              <w:tc>
                <w:tcPr>
                  <w:tcW w:w="1405" w:type="pct"/>
                  <w:vAlign w:val="center"/>
                </w:tcPr>
                <w:p>
                  <w:pPr>
                    <w:adjustRightInd w:val="0"/>
                    <w:snapToGrid w:val="0"/>
                    <w:spacing w:line="3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15</w:t>
                  </w:r>
                  <w:r>
                    <w:rPr>
                      <w:rFonts w:hint="eastAsia" w:ascii="宋体" w:hAnsi="宋体" w:cs="宋体"/>
                      <w:kern w:val="0"/>
                      <w:szCs w:val="21"/>
                    </w:rPr>
                    <w:t>～1.</w:t>
                  </w:r>
                  <w:r>
                    <w:rPr>
                      <w:rFonts w:ascii="宋体" w:hAnsi="宋体" w:cs="宋体"/>
                      <w:kern w:val="0"/>
                      <w:szCs w:val="21"/>
                    </w:rPr>
                    <w:t>45</w:t>
                  </w:r>
                </w:p>
              </w:tc>
              <w:tc>
                <w:tcPr>
                  <w:tcW w:w="1043" w:type="pct"/>
                  <w:vMerge w:val="restart"/>
                  <w:vAlign w:val="center"/>
                </w:tcPr>
                <w:p>
                  <w:pPr>
                    <w:adjustRightInd w:val="0"/>
                    <w:snapToGrid w:val="0"/>
                    <w:spacing w:line="300" w:lineRule="exact"/>
                    <w:jc w:val="center"/>
                    <w:rPr>
                      <w:rFonts w:ascii="宋体" w:hAnsi="宋体" w:cs="宋体"/>
                      <w:kern w:val="0"/>
                      <w:szCs w:val="21"/>
                    </w:rPr>
                  </w:pPr>
                  <w:r>
                    <w:rPr>
                      <w:rFonts w:hint="eastAsia" w:ascii="宋体" w:hAnsi="宋体" w:cs="宋体"/>
                      <w:kern w:val="0"/>
                      <w:szCs w:val="21"/>
                    </w:rPr>
                    <w:t>油基钻井液</w:t>
                  </w:r>
                </w:p>
              </w:tc>
              <w:tc>
                <w:tcPr>
                  <w:tcW w:w="1063" w:type="pct"/>
                  <w:vAlign w:val="center"/>
                </w:tcPr>
                <w:p>
                  <w:pPr>
                    <w:adjustRightInd w:val="0"/>
                    <w:snapToGrid w:val="0"/>
                    <w:spacing w:line="300" w:lineRule="exact"/>
                    <w:jc w:val="center"/>
                    <w:rPr>
                      <w:rFonts w:ascii="宋体" w:hAnsi="宋体" w:cs="宋体"/>
                      <w:kern w:val="0"/>
                      <w:szCs w:val="21"/>
                    </w:rPr>
                  </w:pPr>
                  <w:r>
                    <w:rPr>
                      <w:rFonts w:ascii="宋体" w:hAnsi="宋体" w:cs="宋体"/>
                      <w:kern w:val="0"/>
                      <w:szCs w:val="21"/>
                    </w:rPr>
                    <w:t>717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833" w:type="pct"/>
                  <w:vMerge w:val="continue"/>
                  <w:tcBorders>
                    <w:right w:val="single" w:color="auto" w:sz="4" w:space="0"/>
                  </w:tcBorders>
                  <w:vAlign w:val="center"/>
                </w:tcPr>
                <w:p>
                  <w:pPr>
                    <w:widowControl/>
                    <w:adjustRightInd w:val="0"/>
                    <w:snapToGrid w:val="0"/>
                    <w:spacing w:line="300" w:lineRule="exact"/>
                    <w:jc w:val="center"/>
                    <w:rPr>
                      <w:rFonts w:ascii="宋体" w:hAnsi="宋体" w:cs="宋体"/>
                      <w:kern w:val="0"/>
                      <w:szCs w:val="21"/>
                    </w:rPr>
                  </w:pPr>
                </w:p>
              </w:tc>
              <w:tc>
                <w:tcPr>
                  <w:tcW w:w="656" w:type="pct"/>
                  <w:tcBorders>
                    <w:left w:val="single" w:color="auto" w:sz="4" w:space="0"/>
                  </w:tcBorders>
                  <w:vAlign w:val="center"/>
                </w:tcPr>
                <w:p>
                  <w:pPr>
                    <w:adjustRightInd w:val="0"/>
                    <w:snapToGrid w:val="0"/>
                    <w:spacing w:line="300" w:lineRule="exact"/>
                    <w:jc w:val="center"/>
                    <w:rPr>
                      <w:rFonts w:ascii="宋体" w:hAnsi="宋体" w:cs="宋体"/>
                      <w:kern w:val="0"/>
                      <w:szCs w:val="21"/>
                    </w:rPr>
                  </w:pPr>
                  <w:r>
                    <w:rPr>
                      <w:rFonts w:hint="eastAsia" w:ascii="宋体" w:hAnsi="宋体" w:cs="宋体"/>
                      <w:kern w:val="0"/>
                      <w:sz w:val="20"/>
                    </w:rPr>
                    <w:t>三开</w:t>
                  </w:r>
                </w:p>
              </w:tc>
              <w:tc>
                <w:tcPr>
                  <w:tcW w:w="1405" w:type="pct"/>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 w:val="20"/>
                    </w:rPr>
                    <w:t>1.</w:t>
                  </w:r>
                  <w:r>
                    <w:rPr>
                      <w:rFonts w:ascii="宋体" w:hAnsi="宋体" w:cs="宋体"/>
                      <w:kern w:val="0"/>
                      <w:sz w:val="20"/>
                    </w:rPr>
                    <w:t>50</w:t>
                  </w:r>
                  <w:r>
                    <w:rPr>
                      <w:rFonts w:hint="eastAsia" w:ascii="宋体" w:hAnsi="宋体" w:cs="宋体"/>
                      <w:kern w:val="0"/>
                      <w:sz w:val="20"/>
                    </w:rPr>
                    <w:t>～2</w:t>
                  </w:r>
                  <w:r>
                    <w:rPr>
                      <w:rFonts w:ascii="宋体" w:hAnsi="宋体" w:cs="宋体"/>
                      <w:kern w:val="0"/>
                      <w:sz w:val="20"/>
                    </w:rPr>
                    <w:t>.10</w:t>
                  </w:r>
                </w:p>
              </w:tc>
              <w:tc>
                <w:tcPr>
                  <w:tcW w:w="1043" w:type="pct"/>
                  <w:vMerge w:val="continue"/>
                  <w:vAlign w:val="center"/>
                </w:tcPr>
                <w:p>
                  <w:pPr>
                    <w:widowControl/>
                    <w:adjustRightInd w:val="0"/>
                    <w:snapToGrid w:val="0"/>
                    <w:spacing w:line="300" w:lineRule="exact"/>
                    <w:jc w:val="center"/>
                    <w:rPr>
                      <w:rFonts w:ascii="宋体" w:hAnsi="宋体" w:cs="宋体"/>
                      <w:kern w:val="0"/>
                      <w:szCs w:val="21"/>
                    </w:rPr>
                  </w:pPr>
                </w:p>
              </w:tc>
              <w:tc>
                <w:tcPr>
                  <w:tcW w:w="1063" w:type="pct"/>
                  <w:vAlign w:val="center"/>
                </w:tcPr>
                <w:p>
                  <w:pPr>
                    <w:widowControl/>
                    <w:adjustRightInd w:val="0"/>
                    <w:snapToGrid w:val="0"/>
                    <w:spacing w:line="300" w:lineRule="exact"/>
                    <w:jc w:val="center"/>
                    <w:rPr>
                      <w:rFonts w:ascii="宋体" w:hAnsi="宋体" w:cs="宋体"/>
                      <w:kern w:val="0"/>
                      <w:szCs w:val="21"/>
                    </w:rPr>
                  </w:pPr>
                  <w:r>
                    <w:rPr>
                      <w:rFonts w:ascii="宋体" w:hAnsi="宋体" w:cs="宋体"/>
                      <w:kern w:val="0"/>
                      <w:szCs w:val="21"/>
                    </w:rPr>
                    <w:t>163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833" w:type="pct"/>
                  <w:vMerge w:val="continue"/>
                  <w:tcBorders>
                    <w:right w:val="single" w:color="auto" w:sz="4" w:space="0"/>
                  </w:tcBorders>
                  <w:vAlign w:val="center"/>
                </w:tcPr>
                <w:p>
                  <w:pPr>
                    <w:widowControl/>
                    <w:adjustRightInd w:val="0"/>
                    <w:snapToGrid w:val="0"/>
                    <w:spacing w:line="300" w:lineRule="exact"/>
                    <w:jc w:val="center"/>
                    <w:rPr>
                      <w:rFonts w:ascii="宋体" w:hAnsi="宋体" w:cs="宋体"/>
                      <w:kern w:val="0"/>
                      <w:szCs w:val="21"/>
                    </w:rPr>
                  </w:pPr>
                </w:p>
              </w:tc>
              <w:tc>
                <w:tcPr>
                  <w:tcW w:w="3104" w:type="pct"/>
                  <w:gridSpan w:val="3"/>
                  <w:tcBorders>
                    <w:left w:val="single" w:color="auto" w:sz="4" w:space="0"/>
                  </w:tcBorders>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合计</w:t>
                  </w:r>
                </w:p>
              </w:tc>
              <w:tc>
                <w:tcPr>
                  <w:tcW w:w="1063" w:type="pct"/>
                  <w:vAlign w:val="center"/>
                </w:tcPr>
                <w:p>
                  <w:pPr>
                    <w:widowControl/>
                    <w:adjustRightInd w:val="0"/>
                    <w:snapToGrid w:val="0"/>
                    <w:spacing w:line="30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80</w:t>
                  </w:r>
                </w:p>
              </w:tc>
            </w:tr>
          </w:tbl>
          <w:p>
            <w:pPr>
              <w:pStyle w:val="46"/>
              <w:ind w:firstLine="480"/>
              <w:rPr>
                <w:snapToGrid w:val="0"/>
              </w:rPr>
            </w:pPr>
            <w:r>
              <w:rPr>
                <w:rFonts w:hint="eastAsia"/>
                <w:snapToGrid w:val="0"/>
              </w:rPr>
              <w:t>⑤压裂液</w:t>
            </w:r>
          </w:p>
          <w:p>
            <w:pPr>
              <w:pStyle w:val="46"/>
              <w:ind w:firstLine="480"/>
              <w:rPr>
                <w:snapToGrid w:val="0"/>
              </w:rPr>
            </w:pPr>
            <w:r>
              <w:rPr>
                <w:rFonts w:hint="eastAsia"/>
                <w:snapToGrid w:val="0"/>
              </w:rPr>
              <w:t>车排46井试油期压裂液用量为</w:t>
            </w:r>
            <w:r>
              <w:rPr>
                <w:snapToGrid w:val="0"/>
              </w:rPr>
              <w:t>800</w:t>
            </w:r>
            <w:r>
              <w:rPr>
                <w:rFonts w:hint="eastAsia"/>
                <w:snapToGrid w:val="0"/>
              </w:rPr>
              <w:t>m</w:t>
            </w:r>
            <w:r>
              <w:rPr>
                <w:snapToGrid w:val="0"/>
                <w:vertAlign w:val="superscript"/>
              </w:rPr>
              <w:t>3</w:t>
            </w:r>
            <w:r>
              <w:rPr>
                <w:rFonts w:hint="eastAsia"/>
                <w:snapToGrid w:val="0"/>
              </w:rPr>
              <w:t>，压裂液主要成分为羟丙基胍胶、K</w:t>
            </w:r>
            <w:r>
              <w:rPr>
                <w:snapToGrid w:val="0"/>
              </w:rPr>
              <w:t>C</w:t>
            </w:r>
            <w:r>
              <w:rPr>
                <w:rFonts w:hint="eastAsia"/>
                <w:snapToGrid w:val="0"/>
              </w:rPr>
              <w:t>l及过硫酸钠等。</w:t>
            </w:r>
          </w:p>
          <w:p>
            <w:pPr>
              <w:widowControl/>
              <w:spacing w:line="500" w:lineRule="exact"/>
              <w:ind w:firstLine="482" w:firstLineChars="200"/>
              <w:rPr>
                <w:rFonts w:ascii="宋体" w:hAnsi="宋体" w:cs="宋体"/>
                <w:b/>
                <w:bCs/>
                <w:snapToGrid w:val="0"/>
                <w:sz w:val="24"/>
              </w:rPr>
            </w:pPr>
            <w:r>
              <w:rPr>
                <w:rFonts w:hint="eastAsia" w:ascii="宋体" w:hAnsi="宋体" w:cs="宋体"/>
                <w:b/>
                <w:bCs/>
                <w:snapToGrid w:val="0"/>
                <w:sz w:val="24"/>
              </w:rPr>
              <w:t>2、试油施工方案</w:t>
            </w:r>
          </w:p>
          <w:p>
            <w:pPr>
              <w:pStyle w:val="46"/>
              <w:ind w:firstLine="480"/>
            </w:pPr>
            <w:r>
              <w:rPr>
                <w:rFonts w:hint="eastAsia"/>
                <w:bCs/>
                <w:lang w:bidi="ar"/>
              </w:rPr>
              <w:t>钻井施工完毕后对目的层进行试油作业。</w:t>
            </w:r>
            <w:bookmarkStart w:id="15" w:name="_Ref19641660"/>
            <w:r>
              <w:rPr>
                <w:rFonts w:hint="eastAsia"/>
                <w:bCs/>
                <w:lang w:bidi="ar"/>
              </w:rPr>
              <w:t>包括通井（</w:t>
            </w:r>
            <w:r>
              <w:rPr>
                <w:rFonts w:hint="eastAsia"/>
              </w:rPr>
              <w:t>用钻杆或油管带通井规下入井内，清除井壁上附着的固体物质，如钢渣、固井残留水泥等，同时检查套管是否有影响试油工具通过的弯曲等</w:t>
            </w:r>
            <w:r>
              <w:rPr>
                <w:rFonts w:hint="eastAsia"/>
                <w:bCs/>
                <w:lang w:bidi="ar"/>
              </w:rPr>
              <w:t>）</w:t>
            </w:r>
            <w:bookmarkEnd w:id="15"/>
            <w:r>
              <w:rPr>
                <w:rFonts w:hint="eastAsia"/>
                <w:bCs/>
                <w:lang w:bidi="ar"/>
              </w:rPr>
              <w:t>、</w:t>
            </w:r>
            <w:r>
              <w:rPr>
                <w:rFonts w:hint="eastAsia"/>
              </w:rPr>
              <w:t>洗井（使用泵注设备，利用洗井液，通过井内管柱内外循环，清除套管壁杂物等）、试压（用气体或液体介质，对地面流程、井口设备、井下套管等进行耐压程度检验）、射孔（利用专用设备和射孔枪，对套管和井壁进行射孔，建立地层与井筒之间的通道）、压裂（用泵车将压裂液挤入油层，当把油层压出许多裂缝后，加入支撑剂，如石英砂等，充填进裂缝，提高油层的渗透能力）等操作，然后在井口安装分离器，对获取的地层油、气、水进行取样。采出液进入采出液罐，伴生气通过地面排气管线燃烧放空。</w:t>
            </w:r>
          </w:p>
          <w:p>
            <w:pPr>
              <w:pStyle w:val="46"/>
              <w:ind w:firstLine="480"/>
            </w:pPr>
            <w:r>
              <w:rPr>
                <w:rFonts w:hint="eastAsia"/>
              </w:rPr>
              <w:t>钻井及试油期总体工艺流程见图1。</w:t>
            </w:r>
          </w:p>
          <w:p>
            <w:pPr>
              <w:pStyle w:val="68"/>
            </w:pPr>
            <w:r>
              <w:rPr>
                <w:rFonts w:hint="eastAsia"/>
              </w:rPr>
              <w:t>图1</w:t>
            </w:r>
            <w:r>
              <w:t xml:space="preserve">  工艺流程和产污环节示意图</w:t>
            </w:r>
          </w:p>
          <w:p>
            <w:pPr>
              <w:spacing w:line="500" w:lineRule="exact"/>
              <w:ind w:firstLine="482" w:firstLineChars="200"/>
              <w:rPr>
                <w:rFonts w:ascii="宋体" w:hAnsi="宋体" w:cs="宋体"/>
                <w:b/>
                <w:sz w:val="24"/>
              </w:rPr>
            </w:pPr>
            <w:r>
              <w:rPr>
                <w:rFonts w:hint="eastAsia" w:ascii="宋体" w:hAnsi="宋体" w:cs="宋体"/>
                <w:b/>
                <w:sz w:val="24"/>
              </w:rPr>
              <w:t>3、完井施工方案</w:t>
            </w:r>
          </w:p>
          <w:p>
            <w:pPr>
              <w:widowControl/>
              <w:snapToGrid w:val="0"/>
              <w:spacing w:line="500" w:lineRule="exact"/>
              <w:ind w:firstLine="472" w:firstLineChars="200"/>
              <w:rPr>
                <w:rFonts w:ascii="宋体" w:hAnsi="宋体" w:cs="宋体"/>
                <w:spacing w:val="-2"/>
                <w:kern w:val="0"/>
                <w:sz w:val="24"/>
              </w:rPr>
            </w:pPr>
            <w:bookmarkStart w:id="16" w:name="_Hlk117983035"/>
            <w:r>
              <w:rPr>
                <w:rFonts w:hint="eastAsia" w:ascii="宋体" w:hAnsi="宋体" w:cs="宋体"/>
                <w:spacing w:val="-2"/>
                <w:kern w:val="0"/>
                <w:sz w:val="24"/>
              </w:rPr>
              <w:t>试油作业结束后，如该井具备商业开采价值，则对其进行关井，后期根据油田开发要求转为开采井，并办理相应的环保手续。如该井不具备开采价值，则对地面设施进行拆除，对井口按照《废弃井及长停井处置指南》（SY/T6646-2017）进行封井作业。撤去所有生产设施（包括钻井杆以及钻头等），平整并清理井场。</w:t>
            </w:r>
          </w:p>
          <w:bookmarkEnd w:id="16"/>
          <w:p>
            <w:pPr>
              <w:widowControl/>
              <w:snapToGrid w:val="0"/>
              <w:spacing w:line="500" w:lineRule="exact"/>
              <w:ind w:firstLine="482" w:firstLineChars="200"/>
              <w:rPr>
                <w:rFonts w:ascii="宋体" w:hAnsi="宋体" w:cs="宋体"/>
                <w:b/>
                <w:bCs/>
                <w:kern w:val="0"/>
                <w:sz w:val="24"/>
              </w:rPr>
            </w:pPr>
            <w:r>
              <w:rPr>
                <w:rFonts w:hint="eastAsia" w:ascii="宋体" w:hAnsi="宋体" w:cs="宋体"/>
                <w:b/>
                <w:bCs/>
                <w:kern w:val="0"/>
                <w:sz w:val="24"/>
              </w:rPr>
              <w:t>4、施工周期</w:t>
            </w:r>
            <w:r>
              <w:rPr>
                <w:rFonts w:ascii="宋体" w:hAnsi="宋体" w:cs="宋体"/>
                <w:b/>
                <w:bCs/>
                <w:kern w:val="0"/>
                <w:sz w:val="24"/>
              </w:rPr>
              <w:t>及组织定员</w:t>
            </w:r>
          </w:p>
          <w:p>
            <w:pPr>
              <w:widowControl/>
              <w:snapToGrid w:val="0"/>
              <w:spacing w:line="500" w:lineRule="exact"/>
              <w:ind w:firstLine="472" w:firstLineChars="200"/>
              <w:rPr>
                <w:rFonts w:ascii="宋体" w:hAnsi="宋体" w:cs="宋体"/>
                <w:spacing w:val="-2"/>
                <w:kern w:val="0"/>
                <w:sz w:val="24"/>
              </w:rPr>
            </w:pPr>
            <w:r>
              <w:rPr>
                <w:rFonts w:hint="eastAsia" w:ascii="宋体" w:hAnsi="宋体" w:cs="宋体"/>
                <w:spacing w:val="-2"/>
                <w:kern w:val="0"/>
                <w:sz w:val="24"/>
              </w:rPr>
              <w:t>钻井期</w:t>
            </w:r>
            <w:r>
              <w:rPr>
                <w:rFonts w:ascii="宋体" w:hAnsi="宋体" w:cs="宋体"/>
                <w:spacing w:val="-2"/>
                <w:kern w:val="0"/>
                <w:sz w:val="24"/>
              </w:rPr>
              <w:t>62</w:t>
            </w:r>
            <w:r>
              <w:rPr>
                <w:rFonts w:hint="eastAsia" w:ascii="宋体" w:hAnsi="宋体" w:cs="宋体"/>
                <w:spacing w:val="-2"/>
                <w:kern w:val="0"/>
                <w:sz w:val="24"/>
              </w:rPr>
              <w:t>天，施工人数均为3</w:t>
            </w:r>
            <w:r>
              <w:rPr>
                <w:rFonts w:ascii="宋体" w:hAnsi="宋体" w:cs="宋体"/>
                <w:spacing w:val="-2"/>
                <w:kern w:val="0"/>
                <w:sz w:val="24"/>
              </w:rPr>
              <w:t>5</w:t>
            </w:r>
            <w:r>
              <w:rPr>
                <w:rFonts w:hint="eastAsia" w:ascii="宋体" w:hAnsi="宋体" w:cs="宋体"/>
                <w:spacing w:val="-2"/>
                <w:kern w:val="0"/>
                <w:sz w:val="24"/>
              </w:rPr>
              <w:t>人。试油期1</w:t>
            </w:r>
            <w:r>
              <w:rPr>
                <w:rFonts w:ascii="宋体" w:hAnsi="宋体" w:cs="宋体"/>
                <w:spacing w:val="-2"/>
                <w:kern w:val="0"/>
                <w:sz w:val="24"/>
              </w:rPr>
              <w:t>20</w:t>
            </w:r>
            <w:r>
              <w:rPr>
                <w:rFonts w:hint="eastAsia" w:ascii="宋体" w:hAnsi="宋体" w:cs="宋体"/>
                <w:spacing w:val="-2"/>
                <w:kern w:val="0"/>
                <w:sz w:val="24"/>
              </w:rPr>
              <w:t>天，施工人数2人。</w:t>
            </w:r>
          </w:p>
          <w:p>
            <w:pPr>
              <w:widowControl/>
              <w:spacing w:line="500" w:lineRule="exact"/>
              <w:ind w:firstLine="482" w:firstLineChars="200"/>
              <w:rPr>
                <w:rFonts w:ascii="宋体" w:hAnsi="宋体"/>
                <w:b/>
                <w:kern w:val="0"/>
                <w:sz w:val="24"/>
              </w:rPr>
            </w:pPr>
            <w:r>
              <w:rPr>
                <w:rFonts w:ascii="宋体" w:hAnsi="宋体"/>
                <w:b/>
                <w:kern w:val="0"/>
                <w:sz w:val="24"/>
              </w:rPr>
              <w:t>5、能源物料消耗</w:t>
            </w:r>
          </w:p>
          <w:p>
            <w:pPr>
              <w:widowControl/>
              <w:spacing w:line="500" w:lineRule="exact"/>
              <w:ind w:firstLine="480" w:firstLineChars="200"/>
              <w:rPr>
                <w:rStyle w:val="47"/>
              </w:rPr>
            </w:pPr>
            <w:r>
              <w:rPr>
                <w:rFonts w:ascii="宋体" w:hAnsi="宋体"/>
                <w:kern w:val="0"/>
                <w:sz w:val="24"/>
              </w:rPr>
              <w:t>物料消耗</w:t>
            </w:r>
            <w:r>
              <w:rPr>
                <w:rFonts w:hint="eastAsia" w:ascii="宋体" w:hAnsi="宋体"/>
                <w:kern w:val="0"/>
                <w:sz w:val="24"/>
              </w:rPr>
              <w:t>主要</w:t>
            </w:r>
            <w:r>
              <w:rPr>
                <w:rFonts w:ascii="宋体" w:hAnsi="宋体"/>
                <w:kern w:val="0"/>
                <w:sz w:val="24"/>
              </w:rPr>
              <w:t>为钻井液、压裂液、柴油、水等，消耗情</w:t>
            </w:r>
            <w:r>
              <w:rPr>
                <w:rStyle w:val="47"/>
              </w:rPr>
              <w:t>况</w:t>
            </w:r>
            <w:r>
              <w:rPr>
                <w:rStyle w:val="47"/>
                <w:rFonts w:hint="eastAsia"/>
              </w:rPr>
              <w:t>见表6</w:t>
            </w:r>
            <w:r>
              <w:rPr>
                <w:rStyle w:val="47"/>
              </w:rPr>
              <w:t>。</w:t>
            </w:r>
            <w:bookmarkStart w:id="17" w:name="_Hlk15400228"/>
          </w:p>
          <w:bookmarkEnd w:id="17"/>
          <w:p>
            <w:pPr>
              <w:pStyle w:val="6"/>
              <w:keepNext/>
            </w:pPr>
            <w:r>
              <w:rPr>
                <w:rFonts w:hint="eastAsia"/>
              </w:rPr>
              <w:t>表6</w:t>
            </w:r>
            <w:r>
              <w:t xml:space="preserve">    </w:t>
            </w:r>
            <w:r>
              <w:rPr>
                <w:rFonts w:hint="eastAsia"/>
              </w:rPr>
              <w:t>能源物料消耗</w:t>
            </w:r>
            <w:r>
              <w:t>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1702"/>
              <w:gridCol w:w="2016"/>
              <w:gridCol w:w="41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75" w:hRule="atLeast"/>
                <w:jc w:val="center"/>
              </w:trPr>
              <w:tc>
                <w:tcPr>
                  <w:tcW w:w="2364" w:type="pct"/>
                  <w:gridSpan w:val="2"/>
                  <w:vAlign w:val="center"/>
                </w:tcPr>
                <w:p>
                  <w:pPr>
                    <w:widowControl/>
                    <w:spacing w:line="300" w:lineRule="exact"/>
                    <w:jc w:val="center"/>
                    <w:rPr>
                      <w:rFonts w:ascii="宋体" w:hAnsi="宋体" w:cs="宋体"/>
                      <w:szCs w:val="21"/>
                    </w:rPr>
                  </w:pPr>
                  <w:r>
                    <w:rPr>
                      <w:rFonts w:hint="eastAsia" w:ascii="宋体" w:hAnsi="宋体" w:cs="宋体"/>
                      <w:szCs w:val="21"/>
                    </w:rPr>
                    <w:t>物料名称</w:t>
                  </w:r>
                </w:p>
              </w:tc>
              <w:tc>
                <w:tcPr>
                  <w:tcW w:w="2636" w:type="pct"/>
                  <w:vAlign w:val="center"/>
                </w:tcPr>
                <w:p>
                  <w:pPr>
                    <w:widowControl/>
                    <w:spacing w:line="300" w:lineRule="exact"/>
                    <w:jc w:val="center"/>
                    <w:rPr>
                      <w:rFonts w:ascii="宋体" w:hAnsi="宋体" w:cs="宋体"/>
                      <w:szCs w:val="21"/>
                    </w:rPr>
                  </w:pPr>
                  <w:r>
                    <w:rPr>
                      <w:rFonts w:hint="eastAsia" w:ascii="宋体" w:hAnsi="宋体" w:cs="宋体"/>
                      <w:szCs w:val="21"/>
                    </w:rPr>
                    <w:t>使用量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16" w:hRule="atLeast"/>
                <w:jc w:val="center"/>
              </w:trPr>
              <w:tc>
                <w:tcPr>
                  <w:tcW w:w="2364" w:type="pct"/>
                  <w:gridSpan w:val="2"/>
                  <w:vAlign w:val="center"/>
                </w:tcPr>
                <w:p>
                  <w:pPr>
                    <w:widowControl/>
                    <w:spacing w:line="300" w:lineRule="exact"/>
                    <w:jc w:val="center"/>
                    <w:rPr>
                      <w:rFonts w:ascii="宋体" w:hAnsi="宋体" w:cs="宋体"/>
                      <w:szCs w:val="21"/>
                    </w:rPr>
                  </w:pPr>
                  <w:r>
                    <w:rPr>
                      <w:rFonts w:hint="eastAsia" w:ascii="宋体" w:hAnsi="宋体" w:cs="宋体"/>
                      <w:szCs w:val="21"/>
                    </w:rPr>
                    <w:t>油基钻井液（m</w:t>
                  </w:r>
                  <w:r>
                    <w:rPr>
                      <w:rFonts w:hint="eastAsia" w:ascii="宋体" w:hAnsi="宋体" w:cs="宋体"/>
                      <w:szCs w:val="21"/>
                      <w:vertAlign w:val="superscript"/>
                    </w:rPr>
                    <w:t>3</w:t>
                  </w:r>
                  <w:r>
                    <w:rPr>
                      <w:rFonts w:hint="eastAsia" w:ascii="宋体" w:hAnsi="宋体" w:cs="宋体"/>
                      <w:szCs w:val="21"/>
                    </w:rPr>
                    <w:t>）</w:t>
                  </w:r>
                </w:p>
              </w:tc>
              <w:tc>
                <w:tcPr>
                  <w:tcW w:w="2636" w:type="pct"/>
                  <w:vAlign w:val="center"/>
                </w:tcPr>
                <w:p>
                  <w:pPr>
                    <w:widowControl/>
                    <w:spacing w:line="300" w:lineRule="exact"/>
                    <w:jc w:val="center"/>
                    <w:rPr>
                      <w:rFonts w:ascii="宋体" w:hAnsi="宋体" w:cs="宋体"/>
                      <w:szCs w:val="21"/>
                    </w:rPr>
                  </w:pPr>
                  <w:r>
                    <w:rPr>
                      <w:rFonts w:ascii="宋体" w:hAnsi="宋体" w:cs="宋体"/>
                      <w:szCs w:val="21"/>
                    </w:rPr>
                    <w:t>880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16" w:hRule="atLeast"/>
                <w:jc w:val="center"/>
              </w:trPr>
              <w:tc>
                <w:tcPr>
                  <w:tcW w:w="2364" w:type="pct"/>
                  <w:gridSpan w:val="2"/>
                  <w:vAlign w:val="center"/>
                </w:tcPr>
                <w:p>
                  <w:pPr>
                    <w:widowControl/>
                    <w:spacing w:line="300" w:lineRule="exact"/>
                    <w:jc w:val="center"/>
                    <w:rPr>
                      <w:rFonts w:ascii="宋体" w:hAnsi="宋体" w:cs="宋体"/>
                      <w:szCs w:val="21"/>
                    </w:rPr>
                  </w:pPr>
                  <w:r>
                    <w:rPr>
                      <w:rFonts w:hint="eastAsia" w:ascii="宋体" w:hAnsi="宋体" w:cs="宋体"/>
                      <w:szCs w:val="21"/>
                    </w:rPr>
                    <w:t>水基钻井液（m</w:t>
                  </w:r>
                  <w:r>
                    <w:rPr>
                      <w:rFonts w:hint="eastAsia" w:ascii="宋体" w:hAnsi="宋体" w:cs="宋体"/>
                      <w:szCs w:val="21"/>
                      <w:vertAlign w:val="superscript"/>
                    </w:rPr>
                    <w:t>3</w:t>
                  </w:r>
                  <w:r>
                    <w:rPr>
                      <w:rFonts w:hint="eastAsia" w:ascii="宋体" w:hAnsi="宋体" w:cs="宋体"/>
                      <w:szCs w:val="21"/>
                    </w:rPr>
                    <w:t>）</w:t>
                  </w:r>
                </w:p>
              </w:tc>
              <w:tc>
                <w:tcPr>
                  <w:tcW w:w="2636" w:type="pct"/>
                  <w:vAlign w:val="center"/>
                </w:tcPr>
                <w:p>
                  <w:pPr>
                    <w:widowControl/>
                    <w:spacing w:line="300" w:lineRule="exact"/>
                    <w:jc w:val="center"/>
                    <w:rPr>
                      <w:rFonts w:ascii="宋体" w:hAnsi="宋体" w:cs="宋体"/>
                      <w:szCs w:val="21"/>
                    </w:rPr>
                  </w:pPr>
                  <w:r>
                    <w:rPr>
                      <w:rFonts w:ascii="宋体" w:hAnsi="宋体" w:cs="宋体"/>
                      <w:szCs w:val="21"/>
                    </w:rPr>
                    <w:t>208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51" w:hRule="atLeast"/>
                <w:jc w:val="center"/>
              </w:trPr>
              <w:tc>
                <w:tcPr>
                  <w:tcW w:w="2364" w:type="pct"/>
                  <w:gridSpan w:val="2"/>
                  <w:vAlign w:val="center"/>
                </w:tcPr>
                <w:p>
                  <w:pPr>
                    <w:widowControl/>
                    <w:spacing w:line="300" w:lineRule="exact"/>
                    <w:jc w:val="center"/>
                    <w:rPr>
                      <w:rFonts w:ascii="宋体" w:hAnsi="宋体" w:cs="宋体"/>
                      <w:szCs w:val="21"/>
                    </w:rPr>
                  </w:pPr>
                  <w:r>
                    <w:rPr>
                      <w:rFonts w:hint="eastAsia" w:ascii="宋体" w:hAnsi="宋体" w:cs="宋体"/>
                      <w:szCs w:val="21"/>
                    </w:rPr>
                    <w:t>压裂液（m</w:t>
                  </w:r>
                  <w:r>
                    <w:rPr>
                      <w:rFonts w:hint="eastAsia" w:ascii="宋体" w:hAnsi="宋体" w:cs="宋体"/>
                      <w:szCs w:val="21"/>
                      <w:vertAlign w:val="superscript"/>
                    </w:rPr>
                    <w:t>3</w:t>
                  </w:r>
                  <w:r>
                    <w:rPr>
                      <w:rFonts w:hint="eastAsia" w:ascii="宋体" w:hAnsi="宋体" w:cs="宋体"/>
                      <w:szCs w:val="21"/>
                    </w:rPr>
                    <w:t>）</w:t>
                  </w:r>
                </w:p>
              </w:tc>
              <w:tc>
                <w:tcPr>
                  <w:tcW w:w="2636" w:type="pct"/>
                  <w:vAlign w:val="center"/>
                </w:tcPr>
                <w:p>
                  <w:pPr>
                    <w:widowControl/>
                    <w:spacing w:line="300" w:lineRule="exact"/>
                    <w:jc w:val="center"/>
                    <w:rPr>
                      <w:rFonts w:ascii="宋体" w:hAnsi="宋体" w:cs="宋体"/>
                      <w:szCs w:val="21"/>
                    </w:rPr>
                  </w:pPr>
                  <w:r>
                    <w:rPr>
                      <w:rFonts w:ascii="宋体" w:hAnsi="宋体" w:cs="宋体"/>
                      <w:szCs w:val="21"/>
                    </w:rPr>
                    <w:t>800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27" w:hRule="atLeast"/>
                <w:jc w:val="center"/>
              </w:trPr>
              <w:tc>
                <w:tcPr>
                  <w:tcW w:w="1082" w:type="pct"/>
                  <w:vMerge w:val="restart"/>
                  <w:vAlign w:val="center"/>
                </w:tcPr>
                <w:p>
                  <w:pPr>
                    <w:widowControl/>
                    <w:spacing w:line="300" w:lineRule="exact"/>
                    <w:jc w:val="center"/>
                    <w:rPr>
                      <w:rFonts w:ascii="宋体" w:hAnsi="宋体" w:cs="宋体"/>
                      <w:szCs w:val="21"/>
                    </w:rPr>
                  </w:pPr>
                  <w:r>
                    <w:rPr>
                      <w:rFonts w:hint="eastAsia" w:ascii="宋体" w:hAnsi="宋体" w:cs="宋体"/>
                      <w:szCs w:val="21"/>
                    </w:rPr>
                    <w:t>新鲜</w:t>
                  </w:r>
                </w:p>
                <w:p>
                  <w:pPr>
                    <w:widowControl/>
                    <w:spacing w:line="300" w:lineRule="exact"/>
                    <w:jc w:val="center"/>
                    <w:rPr>
                      <w:rFonts w:ascii="宋体" w:hAnsi="宋体" w:cs="宋体"/>
                      <w:szCs w:val="21"/>
                    </w:rPr>
                  </w:pPr>
                  <w:r>
                    <w:rPr>
                      <w:rFonts w:hint="eastAsia" w:ascii="宋体" w:hAnsi="宋体" w:cs="宋体"/>
                      <w:szCs w:val="21"/>
                    </w:rPr>
                    <w:t>用水</w:t>
                  </w:r>
                </w:p>
              </w:tc>
              <w:tc>
                <w:tcPr>
                  <w:tcW w:w="1282" w:type="pct"/>
                  <w:vAlign w:val="center"/>
                </w:tcPr>
                <w:p>
                  <w:pPr>
                    <w:widowControl/>
                    <w:spacing w:line="300" w:lineRule="exact"/>
                    <w:jc w:val="center"/>
                    <w:rPr>
                      <w:rFonts w:ascii="宋体" w:hAnsi="宋体" w:cs="宋体"/>
                      <w:szCs w:val="21"/>
                    </w:rPr>
                  </w:pPr>
                  <w:r>
                    <w:rPr>
                      <w:rFonts w:hint="eastAsia" w:ascii="宋体" w:hAnsi="宋体" w:cs="宋体"/>
                      <w:szCs w:val="21"/>
                    </w:rPr>
                    <w:t>洗井用水（m</w:t>
                  </w:r>
                  <w:r>
                    <w:rPr>
                      <w:rFonts w:hint="eastAsia" w:ascii="宋体" w:hAnsi="宋体" w:cs="宋体"/>
                      <w:szCs w:val="21"/>
                      <w:vertAlign w:val="superscript"/>
                    </w:rPr>
                    <w:t>3</w:t>
                  </w:r>
                  <w:r>
                    <w:rPr>
                      <w:rFonts w:hint="eastAsia" w:ascii="宋体" w:hAnsi="宋体" w:cs="宋体"/>
                      <w:szCs w:val="21"/>
                    </w:rPr>
                    <w:t>）</w:t>
                  </w:r>
                </w:p>
              </w:tc>
              <w:tc>
                <w:tcPr>
                  <w:tcW w:w="2636" w:type="pct"/>
                  <w:vAlign w:val="center"/>
                </w:tcPr>
                <w:p>
                  <w:pPr>
                    <w:widowControl/>
                    <w:spacing w:line="300" w:lineRule="exact"/>
                    <w:jc w:val="center"/>
                    <w:rPr>
                      <w:rFonts w:ascii="宋体" w:hAnsi="宋体" w:cs="宋体"/>
                      <w:szCs w:val="21"/>
                    </w:rPr>
                  </w:pPr>
                  <w:r>
                    <w:rPr>
                      <w:rFonts w:hint="eastAsia" w:ascii="宋体" w:hAnsi="宋体" w:cs="宋体"/>
                      <w:szCs w:val="21"/>
                    </w:rPr>
                    <w:t>6</w:t>
                  </w:r>
                  <w:r>
                    <w:rPr>
                      <w:rFonts w:ascii="宋体" w:hAnsi="宋体" w:cs="宋体"/>
                      <w:szCs w:val="21"/>
                    </w:rPr>
                    <w:t>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51" w:hRule="atLeast"/>
                <w:jc w:val="center"/>
              </w:trPr>
              <w:tc>
                <w:tcPr>
                  <w:tcW w:w="1082" w:type="pct"/>
                  <w:vMerge w:val="continue"/>
                  <w:vAlign w:val="center"/>
                </w:tcPr>
                <w:p>
                  <w:pPr>
                    <w:widowControl/>
                    <w:spacing w:line="300" w:lineRule="exact"/>
                    <w:jc w:val="center"/>
                    <w:rPr>
                      <w:rFonts w:ascii="宋体" w:hAnsi="宋体" w:cs="宋体"/>
                      <w:szCs w:val="21"/>
                    </w:rPr>
                  </w:pPr>
                </w:p>
              </w:tc>
              <w:tc>
                <w:tcPr>
                  <w:tcW w:w="1282" w:type="pct"/>
                  <w:vAlign w:val="center"/>
                </w:tcPr>
                <w:p>
                  <w:pPr>
                    <w:widowControl/>
                    <w:spacing w:line="300" w:lineRule="exact"/>
                    <w:jc w:val="center"/>
                    <w:rPr>
                      <w:rFonts w:ascii="宋体" w:hAnsi="宋体" w:cs="宋体"/>
                      <w:szCs w:val="21"/>
                    </w:rPr>
                  </w:pPr>
                  <w:r>
                    <w:rPr>
                      <w:rFonts w:hint="eastAsia" w:ascii="宋体" w:hAnsi="宋体" w:cs="宋体"/>
                      <w:szCs w:val="21"/>
                    </w:rPr>
                    <w:t>生活用水（m</w:t>
                  </w:r>
                  <w:r>
                    <w:rPr>
                      <w:rFonts w:hint="eastAsia" w:ascii="宋体" w:hAnsi="宋体" w:cs="宋体"/>
                      <w:szCs w:val="21"/>
                      <w:vertAlign w:val="superscript"/>
                    </w:rPr>
                    <w:t>3</w:t>
                  </w:r>
                  <w:r>
                    <w:rPr>
                      <w:rFonts w:hint="eastAsia" w:ascii="宋体" w:hAnsi="宋体" w:cs="宋体"/>
                      <w:szCs w:val="21"/>
                    </w:rPr>
                    <w:t>）</w:t>
                  </w:r>
                </w:p>
              </w:tc>
              <w:tc>
                <w:tcPr>
                  <w:tcW w:w="2636" w:type="pct"/>
                  <w:vAlign w:val="center"/>
                </w:tcPr>
                <w:p>
                  <w:pPr>
                    <w:widowControl/>
                    <w:spacing w:line="300" w:lineRule="exact"/>
                    <w:jc w:val="center"/>
                    <w:rPr>
                      <w:rFonts w:ascii="宋体" w:hAnsi="宋体" w:cs="宋体"/>
                      <w:szCs w:val="21"/>
                    </w:rPr>
                  </w:pPr>
                  <w:r>
                    <w:rPr>
                      <w:rFonts w:ascii="宋体" w:hAnsi="宋体" w:cs="宋体"/>
                      <w:szCs w:val="21"/>
                    </w:rPr>
                    <w:t>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31" w:hRule="atLeast"/>
                <w:jc w:val="center"/>
              </w:trPr>
              <w:tc>
                <w:tcPr>
                  <w:tcW w:w="1082" w:type="pct"/>
                  <w:vMerge w:val="continue"/>
                  <w:vAlign w:val="center"/>
                </w:tcPr>
                <w:p>
                  <w:pPr>
                    <w:widowControl/>
                    <w:spacing w:line="300" w:lineRule="exact"/>
                    <w:jc w:val="center"/>
                    <w:rPr>
                      <w:rFonts w:ascii="宋体" w:hAnsi="宋体" w:cs="宋体"/>
                      <w:szCs w:val="21"/>
                    </w:rPr>
                  </w:pPr>
                </w:p>
              </w:tc>
              <w:tc>
                <w:tcPr>
                  <w:tcW w:w="1282" w:type="pct"/>
                  <w:vAlign w:val="center"/>
                </w:tcPr>
                <w:p>
                  <w:pPr>
                    <w:widowControl/>
                    <w:spacing w:line="300" w:lineRule="exact"/>
                    <w:jc w:val="center"/>
                    <w:rPr>
                      <w:rFonts w:ascii="宋体" w:hAnsi="宋体" w:cs="宋体"/>
                      <w:szCs w:val="21"/>
                    </w:rPr>
                  </w:pPr>
                  <w:r>
                    <w:rPr>
                      <w:rFonts w:hint="eastAsia" w:ascii="宋体" w:hAnsi="宋体" w:cs="宋体"/>
                      <w:szCs w:val="21"/>
                    </w:rPr>
                    <w:t>总计（m</w:t>
                  </w:r>
                  <w:r>
                    <w:rPr>
                      <w:rFonts w:hint="eastAsia" w:ascii="宋体" w:hAnsi="宋体" w:cs="宋体"/>
                      <w:szCs w:val="21"/>
                      <w:vertAlign w:val="superscript"/>
                    </w:rPr>
                    <w:t>3</w:t>
                  </w:r>
                  <w:r>
                    <w:rPr>
                      <w:rFonts w:hint="eastAsia" w:ascii="宋体" w:hAnsi="宋体" w:cs="宋体"/>
                      <w:szCs w:val="21"/>
                    </w:rPr>
                    <w:t>）</w:t>
                  </w:r>
                </w:p>
              </w:tc>
              <w:tc>
                <w:tcPr>
                  <w:tcW w:w="2636" w:type="pct"/>
                  <w:vAlign w:val="center"/>
                </w:tcPr>
                <w:p>
                  <w:pPr>
                    <w:widowControl/>
                    <w:spacing w:line="300" w:lineRule="exact"/>
                    <w:jc w:val="center"/>
                    <w:rPr>
                      <w:rFonts w:ascii="宋体" w:hAnsi="宋体" w:cs="宋体"/>
                      <w:szCs w:val="21"/>
                    </w:rPr>
                  </w:pPr>
                  <w:r>
                    <w:rPr>
                      <w:rFonts w:hint="eastAsia" w:ascii="宋体" w:hAnsi="宋体" w:cs="宋体"/>
                      <w:szCs w:val="21"/>
                    </w:rPr>
                    <w:t>6</w:t>
                  </w:r>
                  <w:r>
                    <w:rPr>
                      <w:rFonts w:ascii="宋体" w:hAnsi="宋体" w:cs="宋体"/>
                      <w:szCs w:val="21"/>
                    </w:rPr>
                    <w:t>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00" w:hRule="atLeast"/>
                <w:jc w:val="center"/>
              </w:trPr>
              <w:tc>
                <w:tcPr>
                  <w:tcW w:w="2364" w:type="pct"/>
                  <w:gridSpan w:val="2"/>
                  <w:vAlign w:val="center"/>
                </w:tcPr>
                <w:p>
                  <w:pPr>
                    <w:widowControl/>
                    <w:spacing w:line="300" w:lineRule="exact"/>
                    <w:jc w:val="center"/>
                    <w:rPr>
                      <w:rFonts w:ascii="宋体" w:hAnsi="宋体" w:cs="宋体"/>
                      <w:szCs w:val="21"/>
                    </w:rPr>
                  </w:pPr>
                  <w:r>
                    <w:rPr>
                      <w:rFonts w:hint="eastAsia" w:ascii="宋体" w:hAnsi="宋体" w:cs="宋体"/>
                      <w:szCs w:val="21"/>
                    </w:rPr>
                    <w:t>柴  油（t）</w:t>
                  </w:r>
                </w:p>
              </w:tc>
              <w:tc>
                <w:tcPr>
                  <w:tcW w:w="2636" w:type="pct"/>
                  <w:vAlign w:val="center"/>
                </w:tcPr>
                <w:p>
                  <w:pPr>
                    <w:widowControl/>
                    <w:spacing w:line="300" w:lineRule="exact"/>
                    <w:jc w:val="center"/>
                    <w:rPr>
                      <w:rFonts w:ascii="宋体" w:hAnsi="宋体" w:cs="宋体"/>
                      <w:szCs w:val="21"/>
                    </w:rPr>
                  </w:pPr>
                  <w:r>
                    <w:rPr>
                      <w:rFonts w:ascii="宋体" w:hAnsi="宋体" w:cs="宋体"/>
                      <w:szCs w:val="21"/>
                    </w:rPr>
                    <w:t>203</w:t>
                  </w:r>
                </w:p>
              </w:tc>
            </w:tr>
          </w:tbl>
          <w:p>
            <w:pPr>
              <w:pStyle w:val="8"/>
              <w:spacing w:before="56" w:line="343" w:lineRule="auto"/>
              <w:ind w:right="85" w:firstLine="480" w:firstLineChars="200"/>
              <w:jc w:val="left"/>
              <w:rPr>
                <w:rFonts w:ascii="宋体" w:hAnsi="宋体" w:cs="宋体"/>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5" w:hRule="atLeast"/>
          <w:jc w:val="center"/>
        </w:trPr>
        <w:tc>
          <w:tcPr>
            <w:tcW w:w="699" w:type="dxa"/>
            <w:vAlign w:val="center"/>
          </w:tcPr>
          <w:p>
            <w:pPr>
              <w:adjustRightInd w:val="0"/>
              <w:snapToGrid w:val="0"/>
              <w:jc w:val="center"/>
              <w:rPr>
                <w:rFonts w:ascii="宋体" w:hAnsi="宋体" w:cs="宋体"/>
                <w:kern w:val="0"/>
                <w:sz w:val="24"/>
              </w:rPr>
            </w:pPr>
            <w:r>
              <w:rPr>
                <w:rFonts w:hint="eastAsia" w:ascii="宋体" w:hAnsi="宋体" w:cs="宋体"/>
                <w:kern w:val="0"/>
                <w:sz w:val="24"/>
              </w:rPr>
              <w:t>其他</w:t>
            </w:r>
          </w:p>
        </w:tc>
        <w:tc>
          <w:tcPr>
            <w:tcW w:w="8080" w:type="dxa"/>
            <w:vAlign w:val="center"/>
          </w:tcPr>
          <w:p>
            <w:pPr>
              <w:pStyle w:val="8"/>
              <w:spacing w:before="0" w:after="0" w:line="500" w:lineRule="exact"/>
              <w:ind w:right="0"/>
              <w:jc w:val="center"/>
              <w:rPr>
                <w:rFonts w:ascii="宋体" w:hAnsi="宋体" w:cs="宋体"/>
                <w:kern w:val="2"/>
                <w:sz w:val="24"/>
                <w:szCs w:val="24"/>
              </w:rPr>
            </w:pPr>
            <w:r>
              <w:rPr>
                <w:rFonts w:hint="eastAsia" w:ascii="宋体" w:hAnsi="宋体" w:cs="宋体"/>
                <w:kern w:val="2"/>
                <w:sz w:val="24"/>
                <w:szCs w:val="24"/>
              </w:rPr>
              <w:t>无</w:t>
            </w:r>
          </w:p>
        </w:tc>
      </w:tr>
    </w:tbl>
    <w:p>
      <w:pPr>
        <w:pStyle w:val="2"/>
        <w:rPr>
          <w:snapToGrid w:val="0"/>
          <w:color w:val="auto"/>
        </w:rPr>
      </w:pPr>
      <w:bookmarkStart w:id="18" w:name="_Hlk117989504"/>
      <w:r>
        <w:rPr>
          <w:rFonts w:hint="eastAsia"/>
          <w:snapToGrid w:val="0"/>
          <w:color w:val="auto"/>
        </w:rPr>
        <w:t>三、生态环境现状、保护目标及评价标准</w:t>
      </w:r>
    </w:p>
    <w:bookmarkEnd w:id="18"/>
    <w:tbl>
      <w:tblPr>
        <w:tblStyle w:val="17"/>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96"/>
        <w:gridCol w:w="706"/>
        <w:gridCol w:w="142"/>
        <w:gridCol w:w="996"/>
        <w:gridCol w:w="1277"/>
        <w:gridCol w:w="1841"/>
        <w:gridCol w:w="711"/>
        <w:gridCol w:w="709"/>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179" w:hRule="atLeast"/>
          <w:jc w:val="center"/>
        </w:trPr>
        <w:tc>
          <w:tcPr>
            <w:tcW w:w="696" w:type="dxa"/>
            <w:vAlign w:val="center"/>
          </w:tcPr>
          <w:p>
            <w:pPr>
              <w:adjustRightInd w:val="0"/>
              <w:snapToGrid w:val="0"/>
              <w:jc w:val="center"/>
              <w:rPr>
                <w:rFonts w:ascii="宋体" w:hAnsi="宋体" w:cs="宋体"/>
                <w:kern w:val="0"/>
                <w:szCs w:val="21"/>
              </w:rPr>
            </w:pPr>
            <w:r>
              <w:rPr>
                <w:rFonts w:hint="eastAsia" w:ascii="宋体" w:hAnsi="宋体" w:cs="宋体"/>
                <w:kern w:val="0"/>
                <w:sz w:val="24"/>
              </w:rPr>
              <w:t>生态环境现状</w:t>
            </w:r>
          </w:p>
        </w:tc>
        <w:tc>
          <w:tcPr>
            <w:tcW w:w="8083" w:type="dxa"/>
            <w:gridSpan w:val="8"/>
            <w:vAlign w:val="center"/>
          </w:tcPr>
          <w:p>
            <w:pPr>
              <w:wordWrap w:val="0"/>
              <w:spacing w:line="500" w:lineRule="exact"/>
              <w:ind w:firstLine="482" w:firstLineChars="200"/>
              <w:rPr>
                <w:rFonts w:ascii="宋体" w:hAnsi="宋体" w:cs="宋体"/>
                <w:b/>
                <w:sz w:val="24"/>
              </w:rPr>
            </w:pPr>
            <w:r>
              <w:rPr>
                <w:rFonts w:hint="eastAsia" w:ascii="宋体" w:hAnsi="等线" w:cs="宋体"/>
                <w:b/>
                <w:sz w:val="24"/>
              </w:rPr>
              <w:t>1、新疆生产建设兵团主体功能区规划</w:t>
            </w:r>
          </w:p>
          <w:p>
            <w:pPr>
              <w:pStyle w:val="53"/>
              <w:wordWrap w:val="0"/>
              <w:adjustRightInd w:val="0"/>
              <w:snapToGrid w:val="0"/>
              <w:ind w:firstLine="480"/>
            </w:pPr>
            <w:r>
              <w:rPr>
                <w:rFonts w:hint="eastAsia"/>
              </w:rPr>
              <w:t>车排46井所在的第七师</w:t>
            </w:r>
            <w:r>
              <w:t>130</w:t>
            </w:r>
            <w:r>
              <w:rPr>
                <w:rFonts w:hint="eastAsia"/>
              </w:rPr>
              <w:t>团位于</w:t>
            </w:r>
            <w:r>
              <w:t>《新疆</w:t>
            </w:r>
            <w:r>
              <w:rPr>
                <w:rFonts w:hint="eastAsia"/>
              </w:rPr>
              <w:t>生产建设兵团</w:t>
            </w:r>
            <w:r>
              <w:t>主体功能区规划</w:t>
            </w:r>
            <w:r>
              <w:rPr>
                <w:rFonts w:hint="eastAsia"/>
              </w:rPr>
              <w:t>》中的限制开发区，属于天山北坡农产品主产区，该区限制进行大规模、高强度城镇化工业化开发</w:t>
            </w:r>
            <w:r>
              <w:rPr>
                <w:rFonts w:hint="eastAsia"/>
                <w:bCs/>
              </w:rPr>
              <w:t>。本次仅进行油气勘察活动，均为临时工程，不属于大规模工业化开发活动，符合区域功能定位。</w:t>
            </w:r>
            <w:r>
              <w:t xml:space="preserve"> </w:t>
            </w:r>
          </w:p>
          <w:p>
            <w:pPr>
              <w:wordWrap w:val="0"/>
              <w:spacing w:line="500" w:lineRule="exact"/>
              <w:ind w:firstLine="482" w:firstLineChars="200"/>
              <w:rPr>
                <w:rFonts w:ascii="宋体" w:hAnsi="宋体" w:cs="宋体"/>
                <w:b/>
                <w:sz w:val="24"/>
              </w:rPr>
            </w:pPr>
            <w:r>
              <w:rPr>
                <w:rFonts w:hint="eastAsia" w:ascii="宋体" w:hAnsi="宋体" w:cs="宋体"/>
                <w:b/>
                <w:sz w:val="24"/>
              </w:rPr>
              <w:t>2、新疆生产建设兵团生态功能区划</w:t>
            </w:r>
          </w:p>
          <w:p>
            <w:pPr>
              <w:wordWrap w:val="0"/>
              <w:snapToGrid w:val="0"/>
              <w:spacing w:line="500" w:lineRule="exact"/>
              <w:ind w:firstLine="480" w:firstLineChars="200"/>
              <w:rPr>
                <w:rStyle w:val="47"/>
              </w:rPr>
            </w:pPr>
            <w:r>
              <w:rPr>
                <w:rFonts w:hint="eastAsia" w:ascii="宋体" w:hAnsi="宋体" w:cs="宋体"/>
                <w:kern w:val="0"/>
                <w:sz w:val="24"/>
              </w:rPr>
              <w:t>根据《</w:t>
            </w:r>
            <w:r>
              <w:rPr>
                <w:rFonts w:hint="eastAsia" w:ascii="宋体" w:hAnsi="宋体" w:cs="宋体"/>
                <w:bCs/>
                <w:sz w:val="24"/>
              </w:rPr>
              <w:t>新疆生产建设兵团</w:t>
            </w:r>
            <w:r>
              <w:rPr>
                <w:rFonts w:hint="eastAsia" w:ascii="宋体" w:hAnsi="宋体" w:cs="宋体"/>
                <w:bCs/>
                <w:kern w:val="0"/>
                <w:sz w:val="24"/>
              </w:rPr>
              <w:t>生</w:t>
            </w:r>
            <w:r>
              <w:rPr>
                <w:rFonts w:hint="eastAsia" w:ascii="宋体" w:hAnsi="宋体" w:cs="宋体"/>
                <w:kern w:val="0"/>
                <w:sz w:val="24"/>
              </w:rPr>
              <w:t>态功能区划简表》，项目所属生态功能区的主要生态服务功能、主要生态环境问题、主要保护目标和主要发展方向等内容</w:t>
            </w:r>
            <w:r>
              <w:rPr>
                <w:rStyle w:val="47"/>
                <w:rFonts w:hint="eastAsia"/>
              </w:rPr>
              <w:t>详见表7。</w:t>
            </w:r>
          </w:p>
          <w:p>
            <w:pPr>
              <w:pStyle w:val="6"/>
              <w:keepNext/>
            </w:pPr>
            <w:r>
              <w:rPr>
                <w:rFonts w:hint="eastAsia"/>
              </w:rPr>
              <w:t>表7</w:t>
            </w:r>
            <w:r>
              <w:rPr>
                <w:rFonts w:hint="eastAsia" w:cs="黑体"/>
                <w:szCs w:val="21"/>
              </w:rPr>
              <w:t xml:space="preserve">  </w:t>
            </w:r>
            <w:r>
              <w:rPr>
                <w:rFonts w:cs="黑体"/>
                <w:szCs w:val="21"/>
              </w:rPr>
              <w:t xml:space="preserve">  </w:t>
            </w:r>
            <w:r>
              <w:rPr>
                <w:rFonts w:hint="eastAsia" w:cs="黑体"/>
                <w:szCs w:val="21"/>
              </w:rPr>
              <w:t>生态功能区划简表</w:t>
            </w:r>
          </w:p>
          <w:tbl>
            <w:tblPr>
              <w:tblStyle w:val="1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77"/>
              <w:gridCol w:w="58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restart"/>
                  <w:tcBorders>
                    <w:top w:val="single" w:color="000000" w:sz="12" w:space="0"/>
                    <w:tl2br w:val="nil"/>
                    <w:tr2bl w:val="nil"/>
                  </w:tcBorders>
                  <w:vAlign w:val="center"/>
                </w:tcPr>
                <w:p>
                  <w:pPr>
                    <w:pStyle w:val="8"/>
                    <w:spacing w:before="0" w:after="0" w:line="240" w:lineRule="exact"/>
                    <w:ind w:right="0"/>
                    <w:jc w:val="center"/>
                    <w:rPr>
                      <w:sz w:val="21"/>
                      <w:szCs w:val="21"/>
                    </w:rPr>
                  </w:pPr>
                  <w:r>
                    <w:rPr>
                      <w:rFonts w:hint="eastAsia"/>
                      <w:sz w:val="21"/>
                      <w:szCs w:val="21"/>
                    </w:rPr>
                    <w:t>生态功能分区单元</w:t>
                  </w:r>
                </w:p>
              </w:tc>
              <w:tc>
                <w:tcPr>
                  <w:tcW w:w="864" w:type="pct"/>
                  <w:tcBorders>
                    <w:top w:val="single" w:color="000000" w:sz="12" w:space="0"/>
                    <w:tl2br w:val="nil"/>
                    <w:tr2bl w:val="nil"/>
                  </w:tcBorders>
                  <w:vAlign w:val="center"/>
                </w:tcPr>
                <w:p>
                  <w:pPr>
                    <w:pStyle w:val="8"/>
                    <w:spacing w:before="0" w:after="0" w:line="240" w:lineRule="exact"/>
                    <w:ind w:right="0"/>
                    <w:jc w:val="center"/>
                    <w:rPr>
                      <w:sz w:val="21"/>
                      <w:szCs w:val="21"/>
                    </w:rPr>
                  </w:pPr>
                  <w:r>
                    <w:rPr>
                      <w:rFonts w:hint="eastAsia"/>
                      <w:sz w:val="21"/>
                      <w:szCs w:val="21"/>
                    </w:rPr>
                    <w:t>生态区</w:t>
                  </w:r>
                </w:p>
              </w:tc>
              <w:tc>
                <w:tcPr>
                  <w:tcW w:w="3697" w:type="pct"/>
                  <w:tcBorders>
                    <w:top w:val="single" w:color="000000" w:sz="12" w:space="0"/>
                    <w:tl2br w:val="nil"/>
                    <w:tr2bl w:val="nil"/>
                  </w:tcBorders>
                  <w:vAlign w:val="center"/>
                </w:tcPr>
                <w:p>
                  <w:pPr>
                    <w:pStyle w:val="8"/>
                    <w:spacing w:before="0" w:after="0" w:line="240" w:lineRule="exact"/>
                    <w:ind w:right="0"/>
                    <w:jc w:val="center"/>
                    <w:rPr>
                      <w:rFonts w:ascii="宋体" w:hAnsi="宋体" w:cs="宋体"/>
                      <w:sz w:val="21"/>
                      <w:szCs w:val="21"/>
                    </w:rPr>
                  </w:pPr>
                  <w:r>
                    <w:rPr>
                      <w:rFonts w:hint="eastAsia" w:ascii="宋体" w:hAnsi="宋体" w:cs="宋体"/>
                      <w:sz w:val="21"/>
                      <w:szCs w:val="21"/>
                    </w:rPr>
                    <w:t>Ⅱ 兵团准噶尔盆地温带干旱荒漠与绿洲生态区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continue"/>
                  <w:tcBorders>
                    <w:tl2br w:val="nil"/>
                    <w:tr2bl w:val="nil"/>
                  </w:tcBorders>
                  <w:vAlign w:val="center"/>
                </w:tcPr>
                <w:p>
                  <w:pPr>
                    <w:pStyle w:val="8"/>
                    <w:spacing w:before="0" w:after="0" w:line="240" w:lineRule="exact"/>
                    <w:ind w:right="0"/>
                    <w:jc w:val="center"/>
                    <w:rPr>
                      <w:sz w:val="21"/>
                      <w:szCs w:val="21"/>
                    </w:rPr>
                  </w:pPr>
                </w:p>
              </w:tc>
              <w:tc>
                <w:tcPr>
                  <w:tcW w:w="864" w:type="pct"/>
                  <w:tcBorders>
                    <w:tl2br w:val="nil"/>
                    <w:tr2bl w:val="nil"/>
                  </w:tcBorders>
                  <w:vAlign w:val="center"/>
                </w:tcPr>
                <w:p>
                  <w:pPr>
                    <w:pStyle w:val="8"/>
                    <w:spacing w:before="0" w:after="0" w:line="240" w:lineRule="exact"/>
                    <w:ind w:right="0"/>
                    <w:jc w:val="center"/>
                    <w:rPr>
                      <w:sz w:val="21"/>
                      <w:szCs w:val="21"/>
                    </w:rPr>
                  </w:pPr>
                  <w:r>
                    <w:rPr>
                      <w:rFonts w:hint="eastAsia"/>
                      <w:sz w:val="21"/>
                      <w:szCs w:val="21"/>
                    </w:rPr>
                    <w:t>生态亚区</w:t>
                  </w:r>
                </w:p>
              </w:tc>
              <w:tc>
                <w:tcPr>
                  <w:tcW w:w="3697" w:type="pct"/>
                  <w:tcBorders>
                    <w:tl2br w:val="nil"/>
                    <w:tr2bl w:val="nil"/>
                  </w:tcBorders>
                  <w:vAlign w:val="center"/>
                </w:tcPr>
                <w:p>
                  <w:pPr>
                    <w:pStyle w:val="8"/>
                    <w:spacing w:before="0" w:after="0" w:line="240" w:lineRule="exact"/>
                    <w:ind w:right="0"/>
                    <w:jc w:val="center"/>
                    <w:rPr>
                      <w:rFonts w:ascii="宋体" w:hAnsi="宋体" w:cs="宋体"/>
                      <w:sz w:val="21"/>
                      <w:szCs w:val="21"/>
                    </w:rPr>
                  </w:pPr>
                  <w:r>
                    <w:rPr>
                      <w:rFonts w:hint="eastAsia" w:ascii="宋体" w:hAnsi="宋体" w:cs="宋体"/>
                      <w:sz w:val="21"/>
                      <w:szCs w:val="21"/>
                    </w:rPr>
                    <w:t>Ⅱ</w:t>
                  </w:r>
                  <w:r>
                    <w:rPr>
                      <w:rFonts w:ascii="宋体" w:hAnsi="宋体" w:cs="宋体"/>
                      <w:sz w:val="21"/>
                      <w:szCs w:val="21"/>
                      <w:vertAlign w:val="subscript"/>
                    </w:rPr>
                    <w:t>3</w:t>
                  </w:r>
                  <w:r>
                    <w:rPr>
                      <w:rFonts w:hint="eastAsia" w:ascii="宋体" w:hAnsi="宋体" w:cs="宋体"/>
                      <w:sz w:val="21"/>
                      <w:szCs w:val="21"/>
                    </w:rPr>
                    <w:t>六、七、八、十二师准噶尔盆地南部灌木、半灌木荒漠、绿洲农业生态亚区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continue"/>
                  <w:tcBorders>
                    <w:tl2br w:val="nil"/>
                    <w:tr2bl w:val="nil"/>
                  </w:tcBorders>
                  <w:vAlign w:val="center"/>
                </w:tcPr>
                <w:p>
                  <w:pPr>
                    <w:pStyle w:val="8"/>
                    <w:spacing w:before="0" w:after="0" w:line="240" w:lineRule="exact"/>
                    <w:ind w:right="0"/>
                    <w:jc w:val="center"/>
                    <w:rPr>
                      <w:sz w:val="21"/>
                      <w:szCs w:val="21"/>
                    </w:rPr>
                  </w:pPr>
                </w:p>
              </w:tc>
              <w:tc>
                <w:tcPr>
                  <w:tcW w:w="864" w:type="pct"/>
                  <w:tcBorders>
                    <w:tl2br w:val="nil"/>
                    <w:tr2bl w:val="nil"/>
                  </w:tcBorders>
                  <w:vAlign w:val="center"/>
                </w:tcPr>
                <w:p>
                  <w:pPr>
                    <w:pStyle w:val="8"/>
                    <w:spacing w:before="0" w:after="0" w:line="240" w:lineRule="exact"/>
                    <w:ind w:right="0"/>
                    <w:jc w:val="center"/>
                    <w:rPr>
                      <w:sz w:val="21"/>
                      <w:szCs w:val="21"/>
                    </w:rPr>
                  </w:pPr>
                  <w:r>
                    <w:rPr>
                      <w:rFonts w:hint="eastAsia"/>
                      <w:sz w:val="21"/>
                      <w:szCs w:val="21"/>
                    </w:rPr>
                    <w:t>生态功能区</w:t>
                  </w:r>
                </w:p>
              </w:tc>
              <w:tc>
                <w:tcPr>
                  <w:tcW w:w="3697" w:type="pct"/>
                  <w:tcBorders>
                    <w:tl2br w:val="nil"/>
                    <w:tr2bl w:val="nil"/>
                  </w:tcBorders>
                  <w:vAlign w:val="center"/>
                </w:tcPr>
                <w:p>
                  <w:pPr>
                    <w:pStyle w:val="8"/>
                    <w:spacing w:before="0" w:after="0" w:line="240" w:lineRule="exact"/>
                    <w:ind w:right="0"/>
                    <w:jc w:val="center"/>
                    <w:rPr>
                      <w:rFonts w:ascii="宋体" w:hAnsi="宋体" w:cs="宋体"/>
                      <w:sz w:val="21"/>
                      <w:szCs w:val="21"/>
                    </w:rPr>
                  </w:pPr>
                  <w:r>
                    <w:rPr>
                      <w:rFonts w:ascii="宋体" w:hAnsi="宋体" w:cs="宋体"/>
                      <w:sz w:val="21"/>
                      <w:szCs w:val="21"/>
                    </w:rPr>
                    <w:t>11</w:t>
                  </w:r>
                  <w:r>
                    <w:rPr>
                      <w:rFonts w:hint="eastAsia" w:ascii="宋体" w:hAnsi="宋体" w:cs="宋体"/>
                      <w:sz w:val="21"/>
                      <w:szCs w:val="21"/>
                    </w:rPr>
                    <w:t>六、七、八师奎屯-石河子-五家渠城镇与绿洲生态功能区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pct"/>
                  <w:gridSpan w:val="2"/>
                  <w:tcBorders>
                    <w:tl2br w:val="nil"/>
                    <w:tr2bl w:val="nil"/>
                  </w:tcBorders>
                  <w:vAlign w:val="center"/>
                </w:tcPr>
                <w:p>
                  <w:pPr>
                    <w:pStyle w:val="8"/>
                    <w:spacing w:before="0" w:after="0" w:line="240" w:lineRule="exact"/>
                    <w:ind w:right="0"/>
                    <w:jc w:val="center"/>
                    <w:rPr>
                      <w:sz w:val="21"/>
                      <w:szCs w:val="21"/>
                    </w:rPr>
                  </w:pPr>
                  <w:r>
                    <w:rPr>
                      <w:rFonts w:hint="eastAsia"/>
                      <w:sz w:val="21"/>
                      <w:szCs w:val="21"/>
                    </w:rPr>
                    <w:t>主要生态服务功能</w:t>
                  </w:r>
                </w:p>
              </w:tc>
              <w:tc>
                <w:tcPr>
                  <w:tcW w:w="3697" w:type="pct"/>
                  <w:tcBorders>
                    <w:tl2br w:val="nil"/>
                    <w:tr2bl w:val="nil"/>
                  </w:tcBorders>
                  <w:vAlign w:val="center"/>
                </w:tcPr>
                <w:p>
                  <w:pPr>
                    <w:pStyle w:val="8"/>
                    <w:spacing w:before="0" w:after="0" w:line="240" w:lineRule="exact"/>
                    <w:ind w:right="0"/>
                    <w:jc w:val="center"/>
                    <w:rPr>
                      <w:rFonts w:ascii="宋体" w:hAnsi="宋体" w:cs="宋体"/>
                      <w:sz w:val="21"/>
                      <w:szCs w:val="21"/>
                    </w:rPr>
                  </w:pPr>
                  <w:r>
                    <w:rPr>
                      <w:rFonts w:hint="eastAsia" w:ascii="宋体" w:hAnsi="宋体" w:cs="宋体"/>
                      <w:sz w:val="21"/>
                      <w:szCs w:val="21"/>
                    </w:rPr>
                    <w:t>工农畜产品生产、人居环境、荒漠化控制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pct"/>
                  <w:gridSpan w:val="2"/>
                  <w:tcBorders>
                    <w:tl2br w:val="nil"/>
                    <w:tr2bl w:val="nil"/>
                  </w:tcBorders>
                  <w:vAlign w:val="center"/>
                </w:tcPr>
                <w:p>
                  <w:pPr>
                    <w:pStyle w:val="8"/>
                    <w:spacing w:before="0" w:after="0" w:line="240" w:lineRule="exact"/>
                    <w:ind w:right="0"/>
                    <w:jc w:val="center"/>
                    <w:rPr>
                      <w:sz w:val="21"/>
                      <w:szCs w:val="21"/>
                    </w:rPr>
                  </w:pPr>
                  <w:r>
                    <w:rPr>
                      <w:rFonts w:hint="eastAsia"/>
                      <w:sz w:val="21"/>
                      <w:szCs w:val="21"/>
                    </w:rPr>
                    <w:t>主要生态环境问题</w:t>
                  </w:r>
                </w:p>
              </w:tc>
              <w:tc>
                <w:tcPr>
                  <w:tcW w:w="3697" w:type="pct"/>
                  <w:tcBorders>
                    <w:tl2br w:val="nil"/>
                    <w:tr2bl w:val="nil"/>
                  </w:tcBorders>
                  <w:vAlign w:val="center"/>
                </w:tcPr>
                <w:p>
                  <w:pPr>
                    <w:pStyle w:val="8"/>
                    <w:spacing w:before="0" w:after="0" w:line="240" w:lineRule="exact"/>
                    <w:ind w:right="0"/>
                    <w:jc w:val="center"/>
                    <w:rPr>
                      <w:rFonts w:ascii="宋体" w:hAnsi="宋体" w:cs="宋体"/>
                      <w:sz w:val="21"/>
                      <w:szCs w:val="21"/>
                    </w:rPr>
                  </w:pPr>
                  <w:r>
                    <w:rPr>
                      <w:rFonts w:hint="eastAsia" w:ascii="宋体" w:hAnsi="宋体" w:cs="宋体"/>
                      <w:sz w:val="21"/>
                      <w:szCs w:val="21"/>
                    </w:rPr>
                    <w:t>地下水超采、荒漠植被退化、河流萎缩断流、土地荒漠化与盐渍化、工业污染严重、绿洲外围受到沙漠化威胁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pct"/>
                  <w:gridSpan w:val="2"/>
                  <w:tcBorders>
                    <w:tl2br w:val="nil"/>
                    <w:tr2bl w:val="nil"/>
                  </w:tcBorders>
                  <w:vAlign w:val="center"/>
                </w:tcPr>
                <w:p>
                  <w:pPr>
                    <w:pStyle w:val="8"/>
                    <w:spacing w:before="0" w:after="0" w:line="240" w:lineRule="exact"/>
                    <w:ind w:right="0"/>
                    <w:jc w:val="center"/>
                    <w:rPr>
                      <w:sz w:val="21"/>
                      <w:szCs w:val="21"/>
                    </w:rPr>
                  </w:pPr>
                  <w:r>
                    <w:rPr>
                      <w:rFonts w:hint="eastAsia"/>
                      <w:sz w:val="21"/>
                      <w:szCs w:val="21"/>
                    </w:rPr>
                    <w:t>主要保护目标</w:t>
                  </w:r>
                </w:p>
              </w:tc>
              <w:tc>
                <w:tcPr>
                  <w:tcW w:w="3697" w:type="pct"/>
                  <w:tcBorders>
                    <w:tl2br w:val="nil"/>
                    <w:tr2bl w:val="nil"/>
                  </w:tcBorders>
                  <w:vAlign w:val="center"/>
                </w:tcPr>
                <w:p>
                  <w:pPr>
                    <w:pStyle w:val="8"/>
                    <w:spacing w:before="0" w:after="0" w:line="240" w:lineRule="exact"/>
                    <w:ind w:right="0"/>
                    <w:jc w:val="center"/>
                    <w:rPr>
                      <w:rFonts w:ascii="宋体" w:hAnsi="宋体" w:cs="宋体"/>
                      <w:sz w:val="21"/>
                      <w:szCs w:val="21"/>
                    </w:rPr>
                  </w:pPr>
                  <w:r>
                    <w:rPr>
                      <w:rFonts w:hint="eastAsia" w:ascii="宋体" w:hAnsi="宋体" w:cs="宋体"/>
                      <w:sz w:val="21"/>
                      <w:szCs w:val="21"/>
                    </w:rPr>
                    <w:t>保护农田绿洲生态系统及农田土壤环境质量、保护城市环境质量、保护荒漠植被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pct"/>
                  <w:gridSpan w:val="2"/>
                  <w:tcBorders>
                    <w:tl2br w:val="nil"/>
                    <w:tr2bl w:val="nil"/>
                  </w:tcBorders>
                  <w:vAlign w:val="center"/>
                </w:tcPr>
                <w:p>
                  <w:pPr>
                    <w:pStyle w:val="8"/>
                    <w:spacing w:before="0" w:after="0" w:line="240" w:lineRule="exact"/>
                    <w:ind w:right="0"/>
                    <w:jc w:val="center"/>
                    <w:rPr>
                      <w:sz w:val="21"/>
                      <w:szCs w:val="21"/>
                    </w:rPr>
                  </w:pPr>
                  <w:r>
                    <w:rPr>
                      <w:rFonts w:hint="eastAsia"/>
                      <w:sz w:val="21"/>
                      <w:szCs w:val="21"/>
                    </w:rPr>
                    <w:t>主要保护措施</w:t>
                  </w:r>
                </w:p>
              </w:tc>
              <w:tc>
                <w:tcPr>
                  <w:tcW w:w="3697" w:type="pct"/>
                  <w:tcBorders>
                    <w:tl2br w:val="nil"/>
                    <w:tr2bl w:val="nil"/>
                  </w:tcBorders>
                  <w:vAlign w:val="center"/>
                </w:tcPr>
                <w:p>
                  <w:pPr>
                    <w:pStyle w:val="8"/>
                    <w:spacing w:before="0" w:after="0" w:line="240" w:lineRule="exact"/>
                    <w:ind w:right="0"/>
                    <w:jc w:val="center"/>
                    <w:rPr>
                      <w:rFonts w:ascii="宋体" w:hAnsi="宋体" w:cs="宋体"/>
                      <w:sz w:val="21"/>
                      <w:szCs w:val="21"/>
                    </w:rPr>
                  </w:pPr>
                  <w:r>
                    <w:rPr>
                      <w:rFonts w:hint="eastAsia" w:ascii="宋体" w:hAnsi="宋体" w:cs="宋体"/>
                      <w:sz w:val="21"/>
                      <w:szCs w:val="21"/>
                    </w:rPr>
                    <w:t>节水灌溉、合理控制地下水开采，各类污染物达标排放、提高城市环境质量，保护绿洲外围荒漠植被、完善防护林体系、加强农产品投入品的使用管理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pct"/>
                  <w:gridSpan w:val="2"/>
                  <w:tcBorders>
                    <w:bottom w:val="single" w:color="000000" w:sz="12" w:space="0"/>
                    <w:tl2br w:val="nil"/>
                    <w:tr2bl w:val="nil"/>
                  </w:tcBorders>
                  <w:vAlign w:val="center"/>
                </w:tcPr>
                <w:p>
                  <w:pPr>
                    <w:pStyle w:val="8"/>
                    <w:spacing w:before="0" w:after="0" w:line="240" w:lineRule="exact"/>
                    <w:ind w:right="0"/>
                    <w:jc w:val="center"/>
                    <w:rPr>
                      <w:sz w:val="21"/>
                      <w:szCs w:val="21"/>
                    </w:rPr>
                  </w:pPr>
                  <w:r>
                    <w:rPr>
                      <w:rFonts w:hint="eastAsia"/>
                      <w:sz w:val="21"/>
                      <w:szCs w:val="21"/>
                    </w:rPr>
                    <w:t>主要发展方向</w:t>
                  </w:r>
                </w:p>
              </w:tc>
              <w:tc>
                <w:tcPr>
                  <w:tcW w:w="3697" w:type="pct"/>
                  <w:tcBorders>
                    <w:bottom w:val="single" w:color="000000" w:sz="12" w:space="0"/>
                    <w:tl2br w:val="nil"/>
                    <w:tr2bl w:val="nil"/>
                  </w:tcBorders>
                  <w:vAlign w:val="center"/>
                </w:tcPr>
                <w:p>
                  <w:pPr>
                    <w:pStyle w:val="8"/>
                    <w:spacing w:before="0" w:after="0" w:line="240" w:lineRule="exact"/>
                    <w:ind w:right="0"/>
                    <w:jc w:val="center"/>
                    <w:rPr>
                      <w:rFonts w:ascii="宋体" w:hAnsi="宋体" w:cs="宋体"/>
                      <w:sz w:val="21"/>
                      <w:szCs w:val="21"/>
                    </w:rPr>
                  </w:pPr>
                  <w:r>
                    <w:rPr>
                      <w:rFonts w:hint="eastAsia" w:ascii="宋体" w:hAnsi="宋体" w:cs="宋体"/>
                      <w:sz w:val="21"/>
                      <w:szCs w:val="21"/>
                    </w:rPr>
                    <w:t>发展以棉花为主导的优质、高效、特色农业；加快高标准城镇（市）化建设；发展和做强棉纺业、塑化节水器材产业、化工业等重要工业的建设</w:t>
                  </w:r>
                </w:p>
              </w:tc>
            </w:tr>
          </w:tbl>
          <w:p>
            <w:pPr>
              <w:spacing w:line="500" w:lineRule="exact"/>
              <w:ind w:firstLine="482" w:firstLineChars="200"/>
              <w:rPr>
                <w:rFonts w:ascii="宋体" w:hAnsi="宋体" w:cs="宋体"/>
                <w:b/>
                <w:sz w:val="24"/>
              </w:rPr>
            </w:pPr>
            <w:r>
              <w:rPr>
                <w:rFonts w:hint="eastAsia" w:ascii="宋体" w:hAnsi="宋体" w:cs="宋体"/>
                <w:b/>
                <w:sz w:val="24"/>
              </w:rPr>
              <w:t>3、生态环境现状</w:t>
            </w:r>
          </w:p>
          <w:p>
            <w:pPr>
              <w:pStyle w:val="53"/>
              <w:ind w:firstLine="480"/>
            </w:pPr>
            <w:r>
              <w:rPr>
                <w:rFonts w:hint="eastAsia"/>
              </w:rPr>
              <w:t>（</w:t>
            </w:r>
            <w:r>
              <w:t>1</w:t>
            </w:r>
            <w:r>
              <w:rPr>
                <w:rFonts w:hint="eastAsia"/>
              </w:rPr>
              <w:t>）土地利用类型</w:t>
            </w:r>
          </w:p>
          <w:p>
            <w:pPr>
              <w:pStyle w:val="53"/>
              <w:ind w:firstLine="472"/>
              <w:rPr>
                <w:spacing w:val="-4"/>
              </w:rPr>
            </w:pPr>
            <w:r>
              <w:rPr>
                <w:rFonts w:hint="eastAsia"/>
                <w:spacing w:val="-4"/>
              </w:rPr>
              <w:t>项目区土地利用类型为其他草地。</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）植被现状</w:t>
            </w:r>
          </w:p>
          <w:p>
            <w:pPr>
              <w:adjustRightInd w:val="0"/>
              <w:snapToGrid w:val="0"/>
              <w:spacing w:line="500" w:lineRule="exact"/>
              <w:ind w:firstLine="480" w:firstLineChars="200"/>
              <w:rPr>
                <w:rFonts w:ascii="宋体" w:hAnsi="宋体"/>
                <w:kern w:val="0"/>
                <w:sz w:val="24"/>
              </w:rPr>
            </w:pPr>
            <w:bookmarkStart w:id="19" w:name="_Hlk117989583"/>
            <w:r>
              <w:rPr>
                <w:rFonts w:hint="eastAsia" w:ascii="宋体" w:hAnsi="宋体"/>
                <w:kern w:val="0"/>
                <w:sz w:val="24"/>
              </w:rPr>
              <w:t>项目区地表植被覆盖度较高，植被盖度约为3</w:t>
            </w:r>
            <w:r>
              <w:rPr>
                <w:rFonts w:ascii="宋体" w:hAnsi="宋体"/>
                <w:kern w:val="0"/>
                <w:sz w:val="24"/>
              </w:rPr>
              <w:t>0</w:t>
            </w:r>
            <w:r>
              <w:rPr>
                <w:rFonts w:hint="eastAsia" w:ascii="宋体" w:hAnsi="宋体"/>
                <w:kern w:val="0"/>
                <w:sz w:val="24"/>
              </w:rPr>
              <w:t>～</w:t>
            </w:r>
            <w:r>
              <w:rPr>
                <w:rFonts w:ascii="宋体" w:hAnsi="宋体"/>
                <w:kern w:val="0"/>
                <w:sz w:val="24"/>
              </w:rPr>
              <w:t>50</w:t>
            </w:r>
            <w:r>
              <w:rPr>
                <w:rFonts w:hint="eastAsia" w:ascii="宋体" w:hAnsi="宋体"/>
                <w:kern w:val="0"/>
                <w:sz w:val="24"/>
              </w:rPr>
              <w:t>%，群落结构简单，物种较为单一，多为耐干旱、抗风沙、抗盐碱的荒漠植被，如梭梭、柽柳、骆驼刺、碱蓬、花花柴等，根据《新疆维吾尔自治区重点保护野生植物名录》，梭梭为自治区Ⅰ级保护植物，是典型的荒漠植物及优良固沙植物。</w:t>
            </w:r>
          </w:p>
          <w:bookmarkEnd w:id="19"/>
          <w:p>
            <w:pPr>
              <w:adjustRightInd w:val="0"/>
              <w:snapToGrid w:val="0"/>
              <w:spacing w:line="500" w:lineRule="exact"/>
              <w:ind w:firstLine="480" w:firstLineChars="20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）野生动物</w:t>
            </w:r>
          </w:p>
          <w:p>
            <w:pPr>
              <w:adjustRightInd w:val="0"/>
              <w:snapToGrid w:val="0"/>
              <w:spacing w:line="500" w:lineRule="exact"/>
              <w:ind w:firstLine="480" w:firstLineChars="200"/>
              <w:rPr>
                <w:rFonts w:ascii="宋体" w:hAnsi="宋体"/>
                <w:kern w:val="0"/>
                <w:sz w:val="24"/>
              </w:rPr>
            </w:pPr>
            <w:r>
              <w:rPr>
                <w:rFonts w:hint="eastAsia" w:ascii="宋体" w:hAnsi="宋体"/>
                <w:kern w:val="0"/>
                <w:sz w:val="24"/>
              </w:rPr>
              <w:t>该地区仅分布一些爬行类、啮齿类的小型动物，如子午沙鼠、大沙鼠、小家鼠、鸟类等，无国家及自治区级保护动物分布。</w:t>
            </w:r>
          </w:p>
          <w:p>
            <w:pPr>
              <w:spacing w:line="500" w:lineRule="exact"/>
              <w:ind w:firstLine="466" w:firstLineChars="200"/>
              <w:rPr>
                <w:rFonts w:ascii="宋体" w:hAnsi="宋体" w:cs="宋体"/>
                <w:b/>
                <w:bCs/>
                <w:sz w:val="24"/>
              </w:rPr>
            </w:pPr>
            <w:r>
              <w:rPr>
                <w:rFonts w:hint="eastAsia" w:ascii="宋体" w:hAnsi="宋体" w:cs="宋体"/>
                <w:b/>
                <w:bCs/>
                <w:spacing w:val="-4"/>
                <w:kern w:val="0"/>
                <w:sz w:val="24"/>
              </w:rPr>
              <w:t>4、水土流失及土地沙化现状</w:t>
            </w:r>
          </w:p>
          <w:p>
            <w:pPr>
              <w:pStyle w:val="53"/>
              <w:adjustRightInd w:val="0"/>
              <w:snapToGrid w:val="0"/>
              <w:ind w:firstLine="480"/>
            </w:pPr>
            <w:r>
              <w:rPr>
                <w:rFonts w:hint="eastAsia"/>
              </w:rPr>
              <w:t>项目区属于非沙化土地。根据《全国水土保持国家级水土流失重点预防区和重点治理区复核划分成果》，项目所在地不属于水土流失重点预防区和重点治理区。</w:t>
            </w:r>
          </w:p>
          <w:p>
            <w:pPr>
              <w:widowControl/>
              <w:snapToGrid w:val="0"/>
              <w:spacing w:line="500" w:lineRule="exact"/>
              <w:ind w:firstLine="466" w:firstLineChars="200"/>
              <w:rPr>
                <w:rFonts w:ascii="宋体" w:hAnsi="宋体" w:cs="宋体"/>
                <w:b/>
                <w:bCs/>
                <w:spacing w:val="-4"/>
                <w:kern w:val="0"/>
                <w:sz w:val="24"/>
              </w:rPr>
            </w:pPr>
            <w:r>
              <w:rPr>
                <w:rFonts w:hint="eastAsia" w:ascii="宋体" w:hAnsi="宋体" w:cs="宋体"/>
                <w:b/>
                <w:bCs/>
                <w:spacing w:val="-4"/>
                <w:kern w:val="0"/>
                <w:sz w:val="24"/>
              </w:rPr>
              <w:t>5、区域环境质量现状</w:t>
            </w:r>
          </w:p>
          <w:p>
            <w:pPr>
              <w:pStyle w:val="68"/>
              <w:spacing w:line="500" w:lineRule="exact"/>
              <w:ind w:firstLine="480" w:firstLineChars="200"/>
              <w:jc w:val="both"/>
              <w:rPr>
                <w:rFonts w:ascii="宋体" w:eastAsia="宋体"/>
                <w:sz w:val="24"/>
              </w:rPr>
            </w:pPr>
            <w:r>
              <w:rPr>
                <w:rFonts w:hint="eastAsia" w:ascii="宋体" w:eastAsia="宋体"/>
                <w:sz w:val="24"/>
              </w:rPr>
              <w:t>项目周边无地表水体，50m内无声环境敏感目标，地下水、土壤均为Ⅳ类，参照《建设项目环境影响报告表编制技术指南（污染影响类）》（试行）及相关环境影响评价技术导则，仅对大气环境质量现状进行调查评价。引用距离项目区最近的奎屯市2021年的环境空气质量数据（来源于伊犁哈萨克自治州生态环境局奎屯市分局公开发布的《新疆维吾尔自治区奎屯市环境质量状况报告》（2</w:t>
            </w:r>
            <w:r>
              <w:rPr>
                <w:rFonts w:ascii="宋体" w:eastAsia="宋体"/>
                <w:sz w:val="24"/>
              </w:rPr>
              <w:t>021</w:t>
            </w:r>
            <w:r>
              <w:rPr>
                <w:rFonts w:hint="eastAsia" w:ascii="宋体" w:eastAsia="宋体"/>
                <w:sz w:val="24"/>
              </w:rPr>
              <w:t>年度）），见表</w:t>
            </w:r>
            <w:r>
              <w:rPr>
                <w:rFonts w:ascii="宋体" w:eastAsia="宋体"/>
                <w:sz w:val="24"/>
              </w:rPr>
              <w:t>8</w:t>
            </w:r>
            <w:r>
              <w:rPr>
                <w:rFonts w:hint="eastAsia" w:ascii="宋体" w:eastAsia="宋体"/>
                <w:sz w:val="24"/>
              </w:rPr>
              <w:t>。由表8可知，项目区属于环境空气质量不达标区。</w:t>
            </w:r>
          </w:p>
          <w:p>
            <w:pPr>
              <w:pStyle w:val="6"/>
              <w:keepNext/>
            </w:pPr>
            <w:r>
              <w:rPr>
                <w:rFonts w:hint="eastAsia"/>
              </w:rPr>
              <w:t>表8</w:t>
            </w:r>
            <w:r>
              <w:t xml:space="preserve">    </w:t>
            </w:r>
            <w:r>
              <w:rPr>
                <w:rFonts w:hint="eastAsia"/>
              </w:rPr>
              <w:t>大气质量及评价结果一览表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968"/>
              <w:gridCol w:w="2082"/>
              <w:gridCol w:w="1293"/>
              <w:gridCol w:w="1294"/>
              <w:gridCol w:w="1151"/>
              <w:gridCol w:w="118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608" w:type="pct"/>
                  <w:vAlign w:val="center"/>
                </w:tcPr>
                <w:p>
                  <w:pPr>
                    <w:widowControl/>
                    <w:snapToGrid w:val="0"/>
                    <w:spacing w:line="300" w:lineRule="exact"/>
                    <w:jc w:val="center"/>
                    <w:rPr>
                      <w:rFonts w:ascii="宋体" w:hAnsi="宋体" w:cs="宋体"/>
                      <w:spacing w:val="-4"/>
                      <w:kern w:val="0"/>
                      <w:szCs w:val="21"/>
                    </w:rPr>
                  </w:pPr>
                  <w:r>
                    <w:rPr>
                      <w:rFonts w:hint="eastAsia" w:ascii="宋体" w:hAnsi="宋体" w:cs="宋体"/>
                      <w:spacing w:val="-4"/>
                      <w:kern w:val="0"/>
                      <w:szCs w:val="21"/>
                    </w:rPr>
                    <w:t>监测因子</w:t>
                  </w:r>
                </w:p>
              </w:tc>
              <w:tc>
                <w:tcPr>
                  <w:tcW w:w="1306" w:type="pct"/>
                  <w:vAlign w:val="center"/>
                </w:tcPr>
                <w:p>
                  <w:pPr>
                    <w:widowControl/>
                    <w:snapToGrid w:val="0"/>
                    <w:spacing w:line="300" w:lineRule="exact"/>
                    <w:jc w:val="center"/>
                    <w:rPr>
                      <w:rFonts w:ascii="宋体" w:hAnsi="宋体" w:cs="宋体"/>
                      <w:spacing w:val="-4"/>
                      <w:kern w:val="0"/>
                      <w:szCs w:val="21"/>
                    </w:rPr>
                  </w:pPr>
                  <w:r>
                    <w:rPr>
                      <w:rFonts w:hint="eastAsia" w:ascii="宋体" w:hAnsi="宋体" w:cs="宋体"/>
                      <w:spacing w:val="-4"/>
                      <w:kern w:val="0"/>
                      <w:szCs w:val="21"/>
                    </w:rPr>
                    <w:t>年评价指标</w:t>
                  </w:r>
                </w:p>
              </w:tc>
              <w:tc>
                <w:tcPr>
                  <w:tcW w:w="811" w:type="pct"/>
                  <w:vAlign w:val="center"/>
                </w:tcPr>
                <w:p>
                  <w:pPr>
                    <w:widowControl/>
                    <w:snapToGrid w:val="0"/>
                    <w:spacing w:line="300" w:lineRule="exact"/>
                    <w:jc w:val="center"/>
                    <w:rPr>
                      <w:rFonts w:ascii="宋体" w:hAnsi="宋体" w:cs="宋体"/>
                      <w:spacing w:val="-4"/>
                      <w:kern w:val="0"/>
                      <w:szCs w:val="21"/>
                    </w:rPr>
                  </w:pPr>
                  <w:r>
                    <w:rPr>
                      <w:rFonts w:hint="eastAsia" w:ascii="宋体" w:hAnsi="宋体" w:cs="宋体"/>
                      <w:spacing w:val="-4"/>
                      <w:kern w:val="0"/>
                      <w:szCs w:val="21"/>
                    </w:rPr>
                    <w:t>现状浓度</w:t>
                  </w:r>
                </w:p>
                <w:p>
                  <w:pPr>
                    <w:widowControl/>
                    <w:snapToGrid w:val="0"/>
                    <w:spacing w:line="300" w:lineRule="exact"/>
                    <w:jc w:val="center"/>
                    <w:rPr>
                      <w:rFonts w:ascii="宋体" w:hAnsi="宋体" w:cs="宋体"/>
                      <w:spacing w:val="-4"/>
                      <w:kern w:val="0"/>
                      <w:szCs w:val="21"/>
                    </w:rPr>
                  </w:pPr>
                  <w:r>
                    <w:rPr>
                      <w:rFonts w:hint="eastAsia" w:ascii="宋体" w:hAnsi="宋体" w:cs="宋体"/>
                      <w:spacing w:val="-4"/>
                      <w:kern w:val="0"/>
                      <w:szCs w:val="21"/>
                    </w:rPr>
                    <w:t>（μg/m</w:t>
                  </w:r>
                  <w:r>
                    <w:rPr>
                      <w:rFonts w:hint="eastAsia" w:ascii="宋体" w:hAnsi="宋体" w:cs="宋体"/>
                      <w:spacing w:val="-4"/>
                      <w:kern w:val="0"/>
                      <w:szCs w:val="21"/>
                      <w:vertAlign w:val="superscript"/>
                    </w:rPr>
                    <w:t>3</w:t>
                  </w:r>
                  <w:r>
                    <w:rPr>
                      <w:rFonts w:hint="eastAsia" w:ascii="宋体" w:hAnsi="宋体" w:cs="宋体"/>
                      <w:spacing w:val="-4"/>
                      <w:kern w:val="0"/>
                      <w:szCs w:val="21"/>
                    </w:rPr>
                    <w:t>）</w:t>
                  </w:r>
                </w:p>
              </w:tc>
              <w:tc>
                <w:tcPr>
                  <w:tcW w:w="812" w:type="pct"/>
                  <w:vAlign w:val="center"/>
                </w:tcPr>
                <w:p>
                  <w:pPr>
                    <w:widowControl/>
                    <w:snapToGrid w:val="0"/>
                    <w:spacing w:line="300" w:lineRule="exact"/>
                    <w:jc w:val="center"/>
                    <w:rPr>
                      <w:rFonts w:ascii="宋体" w:hAnsi="宋体" w:cs="宋体"/>
                      <w:spacing w:val="-4"/>
                      <w:kern w:val="0"/>
                      <w:szCs w:val="21"/>
                    </w:rPr>
                  </w:pPr>
                  <w:r>
                    <w:rPr>
                      <w:rFonts w:hint="eastAsia" w:ascii="宋体" w:hAnsi="宋体" w:cs="宋体"/>
                      <w:spacing w:val="-4"/>
                      <w:kern w:val="0"/>
                      <w:szCs w:val="21"/>
                    </w:rPr>
                    <w:t>标准值</w:t>
                  </w:r>
                </w:p>
                <w:p>
                  <w:pPr>
                    <w:widowControl/>
                    <w:snapToGrid w:val="0"/>
                    <w:spacing w:line="300" w:lineRule="exact"/>
                    <w:jc w:val="center"/>
                    <w:rPr>
                      <w:rFonts w:ascii="宋体" w:hAnsi="宋体" w:cs="宋体"/>
                      <w:spacing w:val="-4"/>
                      <w:kern w:val="0"/>
                      <w:szCs w:val="21"/>
                    </w:rPr>
                  </w:pPr>
                  <w:r>
                    <w:rPr>
                      <w:rFonts w:hint="eastAsia" w:ascii="宋体" w:hAnsi="宋体" w:cs="宋体"/>
                      <w:spacing w:val="-4"/>
                      <w:kern w:val="0"/>
                      <w:szCs w:val="21"/>
                    </w:rPr>
                    <w:t>（μg/m</w:t>
                  </w:r>
                  <w:r>
                    <w:rPr>
                      <w:rFonts w:hint="eastAsia" w:ascii="宋体" w:hAnsi="宋体" w:cs="宋体"/>
                      <w:spacing w:val="-4"/>
                      <w:kern w:val="0"/>
                      <w:szCs w:val="21"/>
                      <w:vertAlign w:val="superscript"/>
                    </w:rPr>
                    <w:t>3</w:t>
                  </w:r>
                  <w:r>
                    <w:rPr>
                      <w:rFonts w:hint="eastAsia" w:ascii="宋体" w:hAnsi="宋体" w:cs="宋体"/>
                      <w:spacing w:val="-4"/>
                      <w:kern w:val="0"/>
                      <w:szCs w:val="21"/>
                    </w:rPr>
                    <w:t>）</w:t>
                  </w:r>
                </w:p>
              </w:tc>
              <w:tc>
                <w:tcPr>
                  <w:tcW w:w="722" w:type="pct"/>
                  <w:vAlign w:val="center"/>
                </w:tcPr>
                <w:p>
                  <w:pPr>
                    <w:widowControl/>
                    <w:snapToGrid w:val="0"/>
                    <w:spacing w:line="300" w:lineRule="exact"/>
                    <w:jc w:val="center"/>
                    <w:rPr>
                      <w:rFonts w:ascii="宋体" w:hAnsi="宋体" w:cs="宋体"/>
                      <w:spacing w:val="-4"/>
                      <w:kern w:val="0"/>
                      <w:szCs w:val="21"/>
                    </w:rPr>
                  </w:pPr>
                  <w:r>
                    <w:rPr>
                      <w:rFonts w:hint="eastAsia" w:ascii="宋体" w:hAnsi="宋体" w:cs="宋体"/>
                      <w:spacing w:val="-4"/>
                      <w:kern w:val="0"/>
                      <w:szCs w:val="21"/>
                    </w:rPr>
                    <w:t>占标率</w:t>
                  </w:r>
                </w:p>
                <w:p>
                  <w:pPr>
                    <w:widowControl/>
                    <w:snapToGrid w:val="0"/>
                    <w:spacing w:line="300" w:lineRule="exact"/>
                    <w:jc w:val="center"/>
                    <w:rPr>
                      <w:rFonts w:ascii="宋体" w:hAnsi="宋体" w:cs="宋体"/>
                      <w:spacing w:val="-4"/>
                      <w:kern w:val="0"/>
                      <w:szCs w:val="21"/>
                    </w:rPr>
                  </w:pPr>
                  <w:r>
                    <w:rPr>
                      <w:rFonts w:hint="eastAsia" w:ascii="宋体" w:hAnsi="宋体" w:cs="宋体"/>
                      <w:spacing w:val="-4"/>
                      <w:kern w:val="0"/>
                      <w:szCs w:val="21"/>
                    </w:rPr>
                    <w:t>（%）</w:t>
                  </w:r>
                </w:p>
              </w:tc>
              <w:tc>
                <w:tcPr>
                  <w:tcW w:w="741" w:type="pct"/>
                  <w:vAlign w:val="center"/>
                </w:tcPr>
                <w:p>
                  <w:pPr>
                    <w:widowControl/>
                    <w:snapToGrid w:val="0"/>
                    <w:spacing w:line="300" w:lineRule="exact"/>
                    <w:jc w:val="center"/>
                    <w:rPr>
                      <w:rFonts w:ascii="宋体" w:hAnsi="宋体" w:cs="宋体"/>
                      <w:spacing w:val="-4"/>
                      <w:kern w:val="0"/>
                      <w:szCs w:val="21"/>
                    </w:rPr>
                  </w:pPr>
                  <w:r>
                    <w:rPr>
                      <w:rFonts w:hint="eastAsia" w:ascii="宋体" w:hAnsi="宋体" w:cs="宋体"/>
                      <w:spacing w:val="-4"/>
                      <w:kern w:val="0"/>
                      <w:szCs w:val="21"/>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70" w:hRule="atLeast"/>
                <w:jc w:val="center"/>
              </w:trPr>
              <w:tc>
                <w:tcPr>
                  <w:tcW w:w="608" w:type="pct"/>
                  <w:vAlign w:val="center"/>
                </w:tcPr>
                <w:p>
                  <w:pPr>
                    <w:pStyle w:val="61"/>
                    <w:rPr>
                      <w:rFonts w:cs="宋体"/>
                      <w:spacing w:val="-4"/>
                      <w:szCs w:val="21"/>
                    </w:rPr>
                  </w:pPr>
                  <w:r>
                    <w:rPr>
                      <w:rFonts w:hint="eastAsia"/>
                      <w:kern w:val="2"/>
                      <w:szCs w:val="21"/>
                    </w:rPr>
                    <w:t>SO</w:t>
                  </w:r>
                  <w:r>
                    <w:rPr>
                      <w:rFonts w:hint="eastAsia"/>
                      <w:kern w:val="2"/>
                      <w:szCs w:val="21"/>
                      <w:vertAlign w:val="subscript"/>
                    </w:rPr>
                    <w:t>2</w:t>
                  </w:r>
                </w:p>
              </w:tc>
              <w:tc>
                <w:tcPr>
                  <w:tcW w:w="1306" w:type="pct"/>
                  <w:vAlign w:val="center"/>
                </w:tcPr>
                <w:p>
                  <w:pPr>
                    <w:pStyle w:val="61"/>
                    <w:rPr>
                      <w:rFonts w:cs="宋体"/>
                      <w:spacing w:val="-4"/>
                      <w:szCs w:val="21"/>
                    </w:rPr>
                  </w:pPr>
                  <w:r>
                    <w:rPr>
                      <w:rFonts w:hint="eastAsia"/>
                      <w:kern w:val="2"/>
                      <w:szCs w:val="21"/>
                    </w:rPr>
                    <w:t>年平均值</w:t>
                  </w:r>
                </w:p>
              </w:tc>
              <w:tc>
                <w:tcPr>
                  <w:tcW w:w="811" w:type="pct"/>
                  <w:vAlign w:val="center"/>
                </w:tcPr>
                <w:p>
                  <w:pPr>
                    <w:pStyle w:val="61"/>
                    <w:rPr>
                      <w:rFonts w:cs="宋体"/>
                      <w:spacing w:val="-4"/>
                      <w:szCs w:val="21"/>
                    </w:rPr>
                  </w:pPr>
                  <w:r>
                    <w:rPr>
                      <w:rFonts w:hint="eastAsia"/>
                    </w:rPr>
                    <w:t>6</w:t>
                  </w:r>
                </w:p>
              </w:tc>
              <w:tc>
                <w:tcPr>
                  <w:tcW w:w="812" w:type="pct"/>
                  <w:vAlign w:val="center"/>
                </w:tcPr>
                <w:p>
                  <w:pPr>
                    <w:pStyle w:val="61"/>
                    <w:rPr>
                      <w:rFonts w:cs="宋体"/>
                      <w:spacing w:val="-4"/>
                      <w:szCs w:val="21"/>
                    </w:rPr>
                  </w:pPr>
                  <w:r>
                    <w:rPr>
                      <w:rFonts w:hint="eastAsia"/>
                      <w:kern w:val="2"/>
                    </w:rPr>
                    <w:t>60</w:t>
                  </w:r>
                </w:p>
              </w:tc>
              <w:tc>
                <w:tcPr>
                  <w:tcW w:w="722" w:type="pct"/>
                  <w:vAlign w:val="center"/>
                </w:tcPr>
                <w:p>
                  <w:pPr>
                    <w:pStyle w:val="61"/>
                    <w:rPr>
                      <w:rFonts w:cs="宋体"/>
                      <w:spacing w:val="-4"/>
                      <w:szCs w:val="21"/>
                    </w:rPr>
                  </w:pPr>
                  <w:r>
                    <w:rPr>
                      <w:rFonts w:hint="eastAsia"/>
                    </w:rPr>
                    <w:t>10</w:t>
                  </w:r>
                </w:p>
              </w:tc>
              <w:tc>
                <w:tcPr>
                  <w:tcW w:w="741" w:type="pct"/>
                  <w:vAlign w:val="center"/>
                </w:tcPr>
                <w:p>
                  <w:pPr>
                    <w:pStyle w:val="61"/>
                    <w:rPr>
                      <w:rFonts w:cs="宋体"/>
                      <w:spacing w:val="-4"/>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8" w:type="pct"/>
                  <w:vAlign w:val="center"/>
                </w:tcPr>
                <w:p>
                  <w:pPr>
                    <w:pStyle w:val="61"/>
                    <w:rPr>
                      <w:rFonts w:cs="宋体"/>
                      <w:spacing w:val="-4"/>
                      <w:szCs w:val="21"/>
                    </w:rPr>
                  </w:pPr>
                  <w:r>
                    <w:rPr>
                      <w:rFonts w:hint="eastAsia"/>
                      <w:szCs w:val="21"/>
                    </w:rPr>
                    <w:t>NO</w:t>
                  </w:r>
                  <w:r>
                    <w:rPr>
                      <w:rFonts w:hint="eastAsia"/>
                      <w:szCs w:val="21"/>
                      <w:vertAlign w:val="subscript"/>
                    </w:rPr>
                    <w:t>2</w:t>
                  </w:r>
                </w:p>
              </w:tc>
              <w:tc>
                <w:tcPr>
                  <w:tcW w:w="1306" w:type="pct"/>
                  <w:vAlign w:val="center"/>
                </w:tcPr>
                <w:p>
                  <w:pPr>
                    <w:pStyle w:val="61"/>
                    <w:rPr>
                      <w:rFonts w:cs="宋体"/>
                      <w:spacing w:val="-4"/>
                      <w:szCs w:val="21"/>
                    </w:rPr>
                  </w:pPr>
                  <w:r>
                    <w:rPr>
                      <w:rFonts w:hint="eastAsia"/>
                      <w:szCs w:val="21"/>
                    </w:rPr>
                    <w:t>年平均值</w:t>
                  </w:r>
                </w:p>
              </w:tc>
              <w:tc>
                <w:tcPr>
                  <w:tcW w:w="811" w:type="pct"/>
                  <w:vAlign w:val="center"/>
                </w:tcPr>
                <w:p>
                  <w:pPr>
                    <w:pStyle w:val="61"/>
                    <w:rPr>
                      <w:rFonts w:cs="宋体"/>
                      <w:spacing w:val="-4"/>
                      <w:szCs w:val="21"/>
                    </w:rPr>
                  </w:pPr>
                  <w:r>
                    <w:rPr>
                      <w:rFonts w:hint="eastAsia"/>
                    </w:rPr>
                    <w:t>2</w:t>
                  </w:r>
                  <w:r>
                    <w:t>8</w:t>
                  </w:r>
                </w:p>
              </w:tc>
              <w:tc>
                <w:tcPr>
                  <w:tcW w:w="812" w:type="pct"/>
                  <w:vAlign w:val="center"/>
                </w:tcPr>
                <w:p>
                  <w:pPr>
                    <w:pStyle w:val="61"/>
                    <w:rPr>
                      <w:rFonts w:cs="宋体"/>
                      <w:spacing w:val="-4"/>
                      <w:szCs w:val="21"/>
                    </w:rPr>
                  </w:pPr>
                  <w:r>
                    <w:rPr>
                      <w:rFonts w:hint="eastAsia"/>
                    </w:rPr>
                    <w:t>40</w:t>
                  </w:r>
                </w:p>
              </w:tc>
              <w:tc>
                <w:tcPr>
                  <w:tcW w:w="722" w:type="pct"/>
                  <w:vAlign w:val="center"/>
                </w:tcPr>
                <w:p>
                  <w:pPr>
                    <w:pStyle w:val="61"/>
                    <w:rPr>
                      <w:rFonts w:cs="宋体"/>
                      <w:spacing w:val="-4"/>
                      <w:szCs w:val="21"/>
                    </w:rPr>
                  </w:pPr>
                  <w:r>
                    <w:rPr>
                      <w:rFonts w:hint="eastAsia" w:cs="宋体"/>
                      <w:spacing w:val="-4"/>
                      <w:szCs w:val="21"/>
                    </w:rPr>
                    <w:t>7</w:t>
                  </w:r>
                  <w:r>
                    <w:rPr>
                      <w:rFonts w:cs="宋体"/>
                      <w:spacing w:val="-4"/>
                      <w:szCs w:val="21"/>
                    </w:rPr>
                    <w:t>0</w:t>
                  </w:r>
                </w:p>
              </w:tc>
              <w:tc>
                <w:tcPr>
                  <w:tcW w:w="741" w:type="pct"/>
                  <w:vAlign w:val="center"/>
                </w:tcPr>
                <w:p>
                  <w:pPr>
                    <w:pStyle w:val="61"/>
                    <w:rPr>
                      <w:rFonts w:cs="宋体"/>
                      <w:spacing w:val="-4"/>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608" w:type="pct"/>
                  <w:vAlign w:val="center"/>
                </w:tcPr>
                <w:p>
                  <w:pPr>
                    <w:pStyle w:val="61"/>
                    <w:rPr>
                      <w:szCs w:val="21"/>
                    </w:rPr>
                  </w:pPr>
                  <w:r>
                    <w:rPr>
                      <w:rFonts w:hint="eastAsia"/>
                      <w:szCs w:val="21"/>
                    </w:rPr>
                    <w:t>PM</w:t>
                  </w:r>
                  <w:r>
                    <w:rPr>
                      <w:rFonts w:hint="eastAsia"/>
                      <w:szCs w:val="21"/>
                      <w:vertAlign w:val="subscript"/>
                    </w:rPr>
                    <w:t>10</w:t>
                  </w:r>
                </w:p>
              </w:tc>
              <w:tc>
                <w:tcPr>
                  <w:tcW w:w="1306" w:type="pct"/>
                  <w:vAlign w:val="center"/>
                </w:tcPr>
                <w:p>
                  <w:pPr>
                    <w:pStyle w:val="61"/>
                    <w:rPr>
                      <w:szCs w:val="21"/>
                    </w:rPr>
                  </w:pPr>
                  <w:r>
                    <w:rPr>
                      <w:rFonts w:hint="eastAsia"/>
                      <w:szCs w:val="21"/>
                    </w:rPr>
                    <w:t>年平均值</w:t>
                  </w:r>
                </w:p>
              </w:tc>
              <w:tc>
                <w:tcPr>
                  <w:tcW w:w="811" w:type="pct"/>
                  <w:vAlign w:val="center"/>
                </w:tcPr>
                <w:p>
                  <w:pPr>
                    <w:pStyle w:val="61"/>
                    <w:rPr>
                      <w:szCs w:val="21"/>
                    </w:rPr>
                  </w:pPr>
                  <w:r>
                    <w:t>68</w:t>
                  </w:r>
                </w:p>
              </w:tc>
              <w:tc>
                <w:tcPr>
                  <w:tcW w:w="812" w:type="pct"/>
                  <w:vAlign w:val="center"/>
                </w:tcPr>
                <w:p>
                  <w:pPr>
                    <w:pStyle w:val="61"/>
                    <w:rPr>
                      <w:szCs w:val="21"/>
                    </w:rPr>
                  </w:pPr>
                  <w:r>
                    <w:rPr>
                      <w:rFonts w:hint="eastAsia"/>
                    </w:rPr>
                    <w:t>70</w:t>
                  </w:r>
                </w:p>
              </w:tc>
              <w:tc>
                <w:tcPr>
                  <w:tcW w:w="722" w:type="pct"/>
                  <w:vAlign w:val="center"/>
                </w:tcPr>
                <w:p>
                  <w:pPr>
                    <w:pStyle w:val="61"/>
                    <w:rPr>
                      <w:szCs w:val="21"/>
                    </w:rPr>
                  </w:pPr>
                  <w:r>
                    <w:rPr>
                      <w:rFonts w:hint="eastAsia"/>
                      <w:szCs w:val="21"/>
                    </w:rPr>
                    <w:t>9</w:t>
                  </w:r>
                  <w:r>
                    <w:rPr>
                      <w:szCs w:val="21"/>
                    </w:rPr>
                    <w:t>7.14</w:t>
                  </w:r>
                </w:p>
              </w:tc>
              <w:tc>
                <w:tcPr>
                  <w:tcW w:w="741" w:type="pct"/>
                  <w:vAlign w:val="center"/>
                </w:tcPr>
                <w:p>
                  <w:pPr>
                    <w:pStyle w:val="61"/>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04" w:hRule="atLeast"/>
                <w:jc w:val="center"/>
              </w:trPr>
              <w:tc>
                <w:tcPr>
                  <w:tcW w:w="608" w:type="pct"/>
                  <w:vAlign w:val="center"/>
                </w:tcPr>
                <w:p>
                  <w:pPr>
                    <w:pStyle w:val="61"/>
                    <w:rPr>
                      <w:szCs w:val="21"/>
                    </w:rPr>
                  </w:pPr>
                  <w:r>
                    <w:rPr>
                      <w:rFonts w:hint="eastAsia"/>
                      <w:szCs w:val="21"/>
                    </w:rPr>
                    <w:t>PM</w:t>
                  </w:r>
                  <w:r>
                    <w:rPr>
                      <w:rFonts w:hint="eastAsia"/>
                      <w:szCs w:val="21"/>
                      <w:vertAlign w:val="subscript"/>
                    </w:rPr>
                    <w:t>2.5</w:t>
                  </w:r>
                </w:p>
              </w:tc>
              <w:tc>
                <w:tcPr>
                  <w:tcW w:w="1306" w:type="pct"/>
                  <w:vAlign w:val="center"/>
                </w:tcPr>
                <w:p>
                  <w:pPr>
                    <w:pStyle w:val="61"/>
                    <w:rPr>
                      <w:szCs w:val="21"/>
                    </w:rPr>
                  </w:pPr>
                  <w:r>
                    <w:rPr>
                      <w:rFonts w:hint="eastAsia"/>
                      <w:szCs w:val="21"/>
                    </w:rPr>
                    <w:t>年平均值</w:t>
                  </w:r>
                </w:p>
              </w:tc>
              <w:tc>
                <w:tcPr>
                  <w:tcW w:w="811" w:type="pct"/>
                  <w:vAlign w:val="center"/>
                </w:tcPr>
                <w:p>
                  <w:pPr>
                    <w:pStyle w:val="61"/>
                    <w:rPr>
                      <w:szCs w:val="21"/>
                    </w:rPr>
                  </w:pPr>
                  <w:r>
                    <w:rPr>
                      <w:rFonts w:hint="eastAsia"/>
                    </w:rPr>
                    <w:t>39</w:t>
                  </w:r>
                </w:p>
              </w:tc>
              <w:tc>
                <w:tcPr>
                  <w:tcW w:w="812" w:type="pct"/>
                  <w:vAlign w:val="center"/>
                </w:tcPr>
                <w:p>
                  <w:pPr>
                    <w:pStyle w:val="61"/>
                    <w:rPr>
                      <w:szCs w:val="21"/>
                    </w:rPr>
                  </w:pPr>
                  <w:r>
                    <w:rPr>
                      <w:rFonts w:hint="eastAsia"/>
                    </w:rPr>
                    <w:t>35</w:t>
                  </w:r>
                </w:p>
              </w:tc>
              <w:tc>
                <w:tcPr>
                  <w:tcW w:w="722" w:type="pct"/>
                  <w:vAlign w:val="center"/>
                </w:tcPr>
                <w:p>
                  <w:pPr>
                    <w:pStyle w:val="61"/>
                    <w:rPr>
                      <w:szCs w:val="21"/>
                    </w:rPr>
                  </w:pPr>
                  <w:r>
                    <w:rPr>
                      <w:rFonts w:hint="eastAsia"/>
                      <w:szCs w:val="21"/>
                    </w:rPr>
                    <w:t>1</w:t>
                  </w:r>
                  <w:r>
                    <w:rPr>
                      <w:szCs w:val="21"/>
                    </w:rPr>
                    <w:t>14.43</w:t>
                  </w:r>
                </w:p>
              </w:tc>
              <w:tc>
                <w:tcPr>
                  <w:tcW w:w="741" w:type="pct"/>
                  <w:vAlign w:val="center"/>
                </w:tcPr>
                <w:p>
                  <w:pPr>
                    <w:pStyle w:val="61"/>
                    <w:rPr>
                      <w:szCs w:val="21"/>
                    </w:rPr>
                  </w:pPr>
                  <w:r>
                    <w:rPr>
                      <w:rFonts w:hint="eastAsia"/>
                      <w:szCs w:val="21"/>
                    </w:rPr>
                    <w:t>不达标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3" w:hRule="atLeast"/>
                <w:jc w:val="center"/>
              </w:trPr>
              <w:tc>
                <w:tcPr>
                  <w:tcW w:w="608" w:type="pct"/>
                  <w:vAlign w:val="center"/>
                </w:tcPr>
                <w:p>
                  <w:pPr>
                    <w:pStyle w:val="61"/>
                    <w:rPr>
                      <w:szCs w:val="21"/>
                    </w:rPr>
                  </w:pPr>
                  <w:r>
                    <w:rPr>
                      <w:rFonts w:hint="eastAsia"/>
                      <w:szCs w:val="21"/>
                    </w:rPr>
                    <w:t>CO</w:t>
                  </w:r>
                </w:p>
              </w:tc>
              <w:tc>
                <w:tcPr>
                  <w:tcW w:w="1306" w:type="pct"/>
                  <w:vAlign w:val="center"/>
                </w:tcPr>
                <w:p>
                  <w:pPr>
                    <w:pStyle w:val="61"/>
                    <w:rPr>
                      <w:szCs w:val="21"/>
                    </w:rPr>
                  </w:pPr>
                  <w:r>
                    <w:rPr>
                      <w:rFonts w:hint="eastAsia"/>
                      <w:szCs w:val="21"/>
                    </w:rPr>
                    <w:t>24小时平均第95百分位数</w:t>
                  </w:r>
                </w:p>
              </w:tc>
              <w:tc>
                <w:tcPr>
                  <w:tcW w:w="811" w:type="pct"/>
                  <w:vAlign w:val="center"/>
                </w:tcPr>
                <w:p>
                  <w:pPr>
                    <w:pStyle w:val="61"/>
                    <w:rPr>
                      <w:szCs w:val="21"/>
                    </w:rPr>
                  </w:pPr>
                  <w:r>
                    <w:t>0.9</w:t>
                  </w:r>
                  <w:r>
                    <w:rPr>
                      <w:rFonts w:hint="eastAsia"/>
                    </w:rPr>
                    <w:t>（mg/m</w:t>
                  </w:r>
                  <w:r>
                    <w:rPr>
                      <w:rFonts w:hint="eastAsia"/>
                      <w:vertAlign w:val="superscript"/>
                    </w:rPr>
                    <w:t>3</w:t>
                  </w:r>
                  <w:r>
                    <w:rPr>
                      <w:rFonts w:hint="eastAsia"/>
                    </w:rPr>
                    <w:t>）</w:t>
                  </w:r>
                </w:p>
              </w:tc>
              <w:tc>
                <w:tcPr>
                  <w:tcW w:w="812" w:type="pct"/>
                  <w:vAlign w:val="center"/>
                </w:tcPr>
                <w:p>
                  <w:pPr>
                    <w:pStyle w:val="61"/>
                    <w:rPr>
                      <w:szCs w:val="21"/>
                    </w:rPr>
                  </w:pPr>
                  <w:r>
                    <w:rPr>
                      <w:rFonts w:hint="eastAsia"/>
                    </w:rPr>
                    <w:t>4（mg/m</w:t>
                  </w:r>
                  <w:r>
                    <w:rPr>
                      <w:rFonts w:hint="eastAsia"/>
                      <w:vertAlign w:val="superscript"/>
                    </w:rPr>
                    <w:t>3</w:t>
                  </w:r>
                  <w:r>
                    <w:rPr>
                      <w:rFonts w:hint="eastAsia"/>
                    </w:rPr>
                    <w:t>）</w:t>
                  </w:r>
                </w:p>
              </w:tc>
              <w:tc>
                <w:tcPr>
                  <w:tcW w:w="722" w:type="pct"/>
                  <w:vAlign w:val="center"/>
                </w:tcPr>
                <w:p>
                  <w:pPr>
                    <w:pStyle w:val="61"/>
                    <w:rPr>
                      <w:szCs w:val="21"/>
                    </w:rPr>
                  </w:pPr>
                  <w:r>
                    <w:rPr>
                      <w:rFonts w:hint="eastAsia"/>
                      <w:szCs w:val="21"/>
                    </w:rPr>
                    <w:t>2</w:t>
                  </w:r>
                  <w:r>
                    <w:rPr>
                      <w:szCs w:val="21"/>
                    </w:rPr>
                    <w:t>2.5</w:t>
                  </w:r>
                </w:p>
              </w:tc>
              <w:tc>
                <w:tcPr>
                  <w:tcW w:w="741" w:type="pct"/>
                  <w:vAlign w:val="center"/>
                </w:tcPr>
                <w:p>
                  <w:pPr>
                    <w:pStyle w:val="61"/>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608" w:type="pct"/>
                  <w:vAlign w:val="center"/>
                </w:tcPr>
                <w:p>
                  <w:pPr>
                    <w:pStyle w:val="61"/>
                    <w:rPr>
                      <w:szCs w:val="21"/>
                    </w:rPr>
                  </w:pPr>
                  <w:r>
                    <w:rPr>
                      <w:rFonts w:hint="eastAsia"/>
                      <w:szCs w:val="21"/>
                    </w:rPr>
                    <w:t>O</w:t>
                  </w:r>
                  <w:r>
                    <w:rPr>
                      <w:rFonts w:hint="eastAsia"/>
                      <w:szCs w:val="21"/>
                      <w:vertAlign w:val="subscript"/>
                    </w:rPr>
                    <w:t>3</w:t>
                  </w:r>
                </w:p>
              </w:tc>
              <w:tc>
                <w:tcPr>
                  <w:tcW w:w="1306" w:type="pct"/>
                  <w:vAlign w:val="center"/>
                </w:tcPr>
                <w:p>
                  <w:pPr>
                    <w:pStyle w:val="61"/>
                    <w:rPr>
                      <w:szCs w:val="21"/>
                    </w:rPr>
                  </w:pPr>
                  <w:r>
                    <w:rPr>
                      <w:rFonts w:hint="eastAsia"/>
                      <w:szCs w:val="21"/>
                    </w:rPr>
                    <w:t>最大8小时平均第90百分位数</w:t>
                  </w:r>
                </w:p>
              </w:tc>
              <w:tc>
                <w:tcPr>
                  <w:tcW w:w="811" w:type="pct"/>
                  <w:vAlign w:val="center"/>
                </w:tcPr>
                <w:p>
                  <w:pPr>
                    <w:pStyle w:val="61"/>
                    <w:rPr>
                      <w:szCs w:val="21"/>
                    </w:rPr>
                  </w:pPr>
                  <w:r>
                    <w:rPr>
                      <w:szCs w:val="21"/>
                    </w:rPr>
                    <w:t>79</w:t>
                  </w:r>
                </w:p>
              </w:tc>
              <w:tc>
                <w:tcPr>
                  <w:tcW w:w="812" w:type="pct"/>
                  <w:vAlign w:val="center"/>
                </w:tcPr>
                <w:p>
                  <w:pPr>
                    <w:pStyle w:val="61"/>
                    <w:rPr>
                      <w:szCs w:val="21"/>
                    </w:rPr>
                  </w:pPr>
                  <w:r>
                    <w:rPr>
                      <w:rFonts w:hint="eastAsia"/>
                    </w:rPr>
                    <w:t>160</w:t>
                  </w:r>
                </w:p>
              </w:tc>
              <w:tc>
                <w:tcPr>
                  <w:tcW w:w="722" w:type="pct"/>
                  <w:vAlign w:val="center"/>
                </w:tcPr>
                <w:p>
                  <w:pPr>
                    <w:pStyle w:val="61"/>
                    <w:rPr>
                      <w:szCs w:val="21"/>
                    </w:rPr>
                  </w:pPr>
                  <w:r>
                    <w:rPr>
                      <w:rFonts w:hint="eastAsia"/>
                      <w:szCs w:val="21"/>
                    </w:rPr>
                    <w:t>7</w:t>
                  </w:r>
                  <w:r>
                    <w:rPr>
                      <w:szCs w:val="21"/>
                    </w:rPr>
                    <w:t>9</w:t>
                  </w:r>
                </w:p>
              </w:tc>
              <w:tc>
                <w:tcPr>
                  <w:tcW w:w="741" w:type="pct"/>
                  <w:vAlign w:val="center"/>
                </w:tcPr>
                <w:p>
                  <w:pPr>
                    <w:pStyle w:val="61"/>
                    <w:rPr>
                      <w:szCs w:val="21"/>
                    </w:rPr>
                  </w:pPr>
                  <w:r>
                    <w:rPr>
                      <w:rFonts w:hint="eastAsia"/>
                      <w:szCs w:val="21"/>
                    </w:rPr>
                    <w:t>达标</w:t>
                  </w:r>
                </w:p>
              </w:tc>
            </w:tr>
          </w:tbl>
          <w:p>
            <w:pPr>
              <w:pStyle w:val="53"/>
              <w:adjustRightInd w:val="0"/>
              <w:snapToGrid w:val="0"/>
              <w:ind w:firstLine="0" w:firstLineChars="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696" w:type="dxa"/>
            <w:vAlign w:val="center"/>
          </w:tcPr>
          <w:p>
            <w:pPr>
              <w:adjustRightInd w:val="0"/>
              <w:snapToGrid w:val="0"/>
              <w:spacing w:line="260" w:lineRule="exact"/>
              <w:jc w:val="center"/>
              <w:rPr>
                <w:rFonts w:ascii="宋体" w:hAnsi="宋体" w:cs="宋体"/>
                <w:kern w:val="0"/>
                <w:sz w:val="24"/>
              </w:rPr>
            </w:pPr>
            <w:r>
              <w:rPr>
                <w:rFonts w:hint="eastAsia" w:ascii="宋体" w:hAnsi="宋体"/>
                <w:bCs/>
                <w:sz w:val="24"/>
              </w:rPr>
              <w:t>与项目有关的原有环境污染和生态破坏问题</w:t>
            </w:r>
          </w:p>
        </w:tc>
        <w:tc>
          <w:tcPr>
            <w:tcW w:w="8083" w:type="dxa"/>
            <w:gridSpan w:val="8"/>
            <w:vAlign w:val="center"/>
          </w:tcPr>
          <w:p>
            <w:pPr>
              <w:pStyle w:val="46"/>
              <w:ind w:firstLine="480"/>
            </w:pPr>
            <w:r>
              <w:rPr>
                <w:rFonts w:hint="eastAsia"/>
              </w:rPr>
              <w:t>本项目为新建项目，不存在</w:t>
            </w:r>
            <w:r>
              <w:rPr>
                <w:rFonts w:hint="eastAsia"/>
                <w:bCs/>
              </w:rPr>
              <w:t>原有环境污染和生态破坏问题</w:t>
            </w:r>
            <w:r>
              <w:rPr>
                <w:rFonts w:hint="eastAsia"/>
              </w:rPr>
              <w:t>。</w:t>
            </w:r>
          </w:p>
          <w:p>
            <w:pPr>
              <w:pStyle w:val="46"/>
              <w:ind w:firstLine="4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 w:hRule="atLeast"/>
          <w:jc w:val="center"/>
        </w:trPr>
        <w:tc>
          <w:tcPr>
            <w:tcW w:w="696" w:type="dxa"/>
            <w:vMerge w:val="restart"/>
            <w:vAlign w:val="center"/>
          </w:tcPr>
          <w:p>
            <w:pPr>
              <w:adjustRightInd w:val="0"/>
              <w:snapToGrid w:val="0"/>
              <w:jc w:val="center"/>
              <w:rPr>
                <w:rFonts w:ascii="宋体" w:hAnsi="宋体" w:cs="宋体"/>
                <w:kern w:val="0"/>
                <w:sz w:val="24"/>
              </w:rPr>
            </w:pPr>
            <w:r>
              <w:rPr>
                <w:rFonts w:hint="eastAsia" w:ascii="宋体" w:hAnsi="宋体" w:cs="宋体"/>
                <w:kern w:val="0"/>
                <w:sz w:val="24"/>
              </w:rPr>
              <w:t>生态环境保护目标</w:t>
            </w:r>
          </w:p>
        </w:tc>
        <w:tc>
          <w:tcPr>
            <w:tcW w:w="706" w:type="dxa"/>
            <w:vMerge w:val="restart"/>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评价等级</w:t>
            </w: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环境要素</w:t>
            </w:r>
          </w:p>
        </w:tc>
        <w:tc>
          <w:tcPr>
            <w:tcW w:w="311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判定依据</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评价等级</w:t>
            </w:r>
          </w:p>
        </w:tc>
        <w:tc>
          <w:tcPr>
            <w:tcW w:w="170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评价范围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生态</w:t>
            </w:r>
          </w:p>
        </w:tc>
        <w:tc>
          <w:tcPr>
            <w:tcW w:w="3118" w:type="dxa"/>
            <w:gridSpan w:val="2"/>
            <w:vAlign w:val="center"/>
          </w:tcPr>
          <w:p>
            <w:pPr>
              <w:adjustRightInd w:val="0"/>
              <w:snapToGrid w:val="0"/>
              <w:spacing w:line="240" w:lineRule="exact"/>
              <w:rPr>
                <w:rFonts w:ascii="宋体" w:hAnsi="宋体" w:cs="宋体"/>
                <w:szCs w:val="21"/>
              </w:rPr>
            </w:pPr>
            <w:r>
              <w:rPr>
                <w:rFonts w:hint="eastAsia" w:ascii="宋体" w:hAnsi="宋体" w:cs="宋体"/>
                <w:szCs w:val="21"/>
              </w:rPr>
              <w:t>占地面积</w:t>
            </w:r>
            <w:r>
              <w:rPr>
                <w:rFonts w:ascii="宋体" w:hAnsi="宋体"/>
              </w:rPr>
              <w:t>12877</w:t>
            </w:r>
            <w:r>
              <w:rPr>
                <w:rFonts w:hint="eastAsia" w:ascii="宋体" w:hAnsi="宋体" w:cs="宋体"/>
                <w:szCs w:val="21"/>
              </w:rPr>
              <w:t>m</w:t>
            </w:r>
            <w:r>
              <w:rPr>
                <w:rFonts w:hint="eastAsia" w:ascii="宋体" w:hAnsi="宋体" w:cs="宋体"/>
                <w:szCs w:val="21"/>
                <w:vertAlign w:val="superscript"/>
              </w:rPr>
              <w:t>2</w:t>
            </w:r>
            <w:r>
              <w:rPr>
                <w:rFonts w:hint="eastAsia" w:ascii="宋体" w:hAnsi="宋体" w:cs="宋体"/>
                <w:szCs w:val="21"/>
              </w:rPr>
              <w:t>，小于2</w:t>
            </w:r>
            <w:r>
              <w:rPr>
                <w:rFonts w:ascii="宋体" w:hAnsi="宋体" w:cs="宋体"/>
                <w:szCs w:val="21"/>
              </w:rPr>
              <w:t>0</w:t>
            </w:r>
            <w:r>
              <w:rPr>
                <w:rFonts w:hint="eastAsia" w:ascii="宋体" w:hAnsi="宋体" w:cs="宋体"/>
                <w:szCs w:val="21"/>
              </w:rPr>
              <w:t>km</w:t>
            </w:r>
            <w:r>
              <w:rPr>
                <w:rFonts w:ascii="宋体" w:hAnsi="宋体" w:cs="宋体"/>
                <w:szCs w:val="21"/>
                <w:vertAlign w:val="superscript"/>
              </w:rPr>
              <w:t>2</w:t>
            </w:r>
            <w:r>
              <w:rPr>
                <w:rFonts w:hint="eastAsia" w:ascii="宋体" w:hAnsi="宋体" w:cs="宋体"/>
                <w:szCs w:val="21"/>
              </w:rPr>
              <w:t>，占地范围内不涉及国家公园、自然保护区、世界自然遗产、重要生境，也不涉及自然公园和生态保护红线。生态影响主要是因项目占地造成的植被损失和土壤结构破坏，影响范围主要集中在占地范围内</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三级</w:t>
            </w:r>
          </w:p>
        </w:tc>
        <w:tc>
          <w:tcPr>
            <w:tcW w:w="170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项目占地范围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92"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大气</w:t>
            </w:r>
          </w:p>
        </w:tc>
        <w:tc>
          <w:tcPr>
            <w:tcW w:w="3118" w:type="dxa"/>
            <w:gridSpan w:val="2"/>
            <w:vAlign w:val="center"/>
          </w:tcPr>
          <w:p>
            <w:pPr>
              <w:adjustRightInd w:val="0"/>
              <w:snapToGrid w:val="0"/>
              <w:spacing w:line="240" w:lineRule="exact"/>
              <w:rPr>
                <w:rFonts w:ascii="宋体" w:hAnsi="宋体" w:cs="宋体"/>
                <w:szCs w:val="21"/>
              </w:rPr>
            </w:pPr>
            <w:r>
              <w:rPr>
                <w:rFonts w:hint="eastAsia" w:ascii="宋体" w:hAnsi="宋体" w:cs="宋体"/>
                <w:szCs w:val="21"/>
              </w:rPr>
              <w:t>施工期短暂且无运营期，试油结束后大气环境影响随即消失</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三级</w:t>
            </w:r>
          </w:p>
        </w:tc>
        <w:tc>
          <w:tcPr>
            <w:tcW w:w="170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不设置评价范围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19"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地表水</w:t>
            </w:r>
          </w:p>
        </w:tc>
        <w:tc>
          <w:tcPr>
            <w:tcW w:w="3118" w:type="dxa"/>
            <w:gridSpan w:val="2"/>
            <w:vAlign w:val="center"/>
          </w:tcPr>
          <w:p>
            <w:pPr>
              <w:adjustRightInd w:val="0"/>
              <w:snapToGrid w:val="0"/>
              <w:spacing w:line="240" w:lineRule="exact"/>
              <w:rPr>
                <w:rFonts w:ascii="宋体" w:hAnsi="宋体" w:cs="宋体"/>
                <w:szCs w:val="21"/>
              </w:rPr>
            </w:pPr>
            <w:r>
              <w:rPr>
                <w:rFonts w:hint="eastAsia" w:ascii="宋体" w:hAnsi="宋体" w:cs="宋体"/>
                <w:szCs w:val="21"/>
              </w:rPr>
              <w:t>废水间接排放</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三级B</w:t>
            </w:r>
          </w:p>
        </w:tc>
        <w:tc>
          <w:tcPr>
            <w:tcW w:w="170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不设置评价范围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9"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地下水</w:t>
            </w:r>
          </w:p>
        </w:tc>
        <w:tc>
          <w:tcPr>
            <w:tcW w:w="3118" w:type="dxa"/>
            <w:gridSpan w:val="2"/>
            <w:vAlign w:val="center"/>
          </w:tcPr>
          <w:p>
            <w:pPr>
              <w:adjustRightInd w:val="0"/>
              <w:snapToGrid w:val="0"/>
              <w:spacing w:line="240" w:lineRule="exact"/>
              <w:rPr>
                <w:rFonts w:ascii="宋体" w:hAnsi="宋体" w:cs="宋体"/>
                <w:szCs w:val="21"/>
              </w:rPr>
            </w:pPr>
            <w:r>
              <w:rPr>
                <w:rFonts w:hint="eastAsia" w:ascii="宋体" w:hAnsi="宋体" w:cs="宋体"/>
                <w:szCs w:val="21"/>
              </w:rPr>
              <w:t>Ⅳ类项目</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70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不设置评价范围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1"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声环境</w:t>
            </w:r>
          </w:p>
        </w:tc>
        <w:tc>
          <w:tcPr>
            <w:tcW w:w="3118" w:type="dxa"/>
            <w:gridSpan w:val="2"/>
            <w:vAlign w:val="center"/>
          </w:tcPr>
          <w:p>
            <w:pPr>
              <w:adjustRightInd w:val="0"/>
              <w:snapToGrid w:val="0"/>
              <w:spacing w:line="240" w:lineRule="exact"/>
              <w:rPr>
                <w:rFonts w:ascii="宋体" w:hAnsi="宋体" w:cs="宋体"/>
                <w:spacing w:val="-8"/>
                <w:szCs w:val="21"/>
              </w:rPr>
            </w:pPr>
            <w:r>
              <w:rPr>
                <w:rFonts w:hint="eastAsia" w:ascii="宋体" w:hAnsi="宋体" w:cs="宋体"/>
                <w:spacing w:val="-8"/>
                <w:szCs w:val="21"/>
              </w:rPr>
              <w:t>位于2类声环境功能区，周边</w:t>
            </w:r>
            <w:r>
              <w:rPr>
                <w:rFonts w:ascii="宋体" w:hAnsi="宋体" w:cs="宋体"/>
                <w:spacing w:val="-8"/>
                <w:szCs w:val="21"/>
              </w:rPr>
              <w:t>200</w:t>
            </w:r>
            <w:r>
              <w:rPr>
                <w:rFonts w:hint="eastAsia" w:ascii="宋体" w:hAnsi="宋体" w:cs="宋体"/>
                <w:spacing w:val="-8"/>
                <w:szCs w:val="21"/>
              </w:rPr>
              <w:t>m范围内无声环境保护目标</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二级</w:t>
            </w:r>
          </w:p>
        </w:tc>
        <w:tc>
          <w:tcPr>
            <w:tcW w:w="170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井场外延200m的</w:t>
            </w:r>
          </w:p>
          <w:p>
            <w:pPr>
              <w:adjustRightInd w:val="0"/>
              <w:snapToGrid w:val="0"/>
              <w:spacing w:line="240" w:lineRule="exact"/>
              <w:jc w:val="center"/>
              <w:rPr>
                <w:rFonts w:ascii="宋体" w:hAnsi="宋体" w:cs="宋体"/>
                <w:szCs w:val="21"/>
              </w:rPr>
            </w:pPr>
            <w:r>
              <w:rPr>
                <w:rFonts w:hint="eastAsia" w:ascii="宋体" w:hAnsi="宋体" w:cs="宋体"/>
                <w:szCs w:val="21"/>
              </w:rPr>
              <w:t>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土壤环境</w:t>
            </w:r>
          </w:p>
        </w:tc>
        <w:tc>
          <w:tcPr>
            <w:tcW w:w="3118" w:type="dxa"/>
            <w:gridSpan w:val="2"/>
            <w:vAlign w:val="center"/>
          </w:tcPr>
          <w:p>
            <w:pPr>
              <w:adjustRightInd w:val="0"/>
              <w:snapToGrid w:val="0"/>
              <w:spacing w:line="240" w:lineRule="exact"/>
              <w:rPr>
                <w:rFonts w:ascii="宋体" w:hAnsi="宋体" w:cs="宋体"/>
                <w:szCs w:val="21"/>
              </w:rPr>
            </w:pPr>
            <w:r>
              <w:rPr>
                <w:rFonts w:hint="eastAsia" w:ascii="宋体" w:hAnsi="宋体" w:cs="宋体"/>
                <w:szCs w:val="21"/>
              </w:rPr>
              <w:t>Ⅳ类建设项目</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70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不设置评价范围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43"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环境风险</w:t>
            </w:r>
          </w:p>
        </w:tc>
        <w:tc>
          <w:tcPr>
            <w:tcW w:w="3118" w:type="dxa"/>
            <w:gridSpan w:val="2"/>
            <w:vAlign w:val="center"/>
          </w:tcPr>
          <w:p>
            <w:pPr>
              <w:adjustRightInd w:val="0"/>
              <w:snapToGrid w:val="0"/>
              <w:spacing w:line="240" w:lineRule="exact"/>
              <w:rPr>
                <w:rFonts w:ascii="宋体" w:hAnsi="宋体" w:cs="宋体"/>
                <w:spacing w:val="-8"/>
                <w:szCs w:val="21"/>
              </w:rPr>
            </w:pPr>
            <w:r>
              <w:rPr>
                <w:rFonts w:hint="eastAsia" w:ascii="宋体" w:hAnsi="宋体" w:cs="宋体"/>
                <w:spacing w:val="-8"/>
                <w:szCs w:val="21"/>
              </w:rPr>
              <w:t>井场危险物质为原油、柴油和伴生气；井场采出液方罐原油的最大量约为</w:t>
            </w:r>
            <w:r>
              <w:rPr>
                <w:rFonts w:ascii="宋体" w:hAnsi="宋体" w:cs="宋体"/>
                <w:spacing w:val="-8"/>
                <w:szCs w:val="21"/>
              </w:rPr>
              <w:t>60</w:t>
            </w:r>
            <w:r>
              <w:rPr>
                <w:rFonts w:hint="eastAsia" w:ascii="宋体" w:hAnsi="宋体" w:cs="宋体"/>
                <w:spacing w:val="-8"/>
                <w:szCs w:val="21"/>
              </w:rPr>
              <w:t>m³（</w:t>
            </w:r>
            <w:r>
              <w:rPr>
                <w:rFonts w:ascii="宋体" w:hAnsi="宋体" w:cs="宋体"/>
                <w:spacing w:val="-8"/>
                <w:szCs w:val="21"/>
              </w:rPr>
              <w:t>45</w:t>
            </w:r>
            <w:r>
              <w:rPr>
                <w:rFonts w:hint="eastAsia" w:ascii="宋体" w:hAnsi="宋体" w:cs="宋体"/>
                <w:spacing w:val="-8"/>
                <w:szCs w:val="21"/>
              </w:rPr>
              <w:t>t），柴油储罐最大容量约</w:t>
            </w:r>
            <w:r>
              <w:rPr>
                <w:rFonts w:ascii="宋体" w:hAnsi="宋体" w:cs="宋体"/>
                <w:spacing w:val="-8"/>
                <w:szCs w:val="21"/>
              </w:rPr>
              <w:t>60</w:t>
            </w:r>
            <w:r>
              <w:rPr>
                <w:rFonts w:hint="eastAsia" w:ascii="宋体" w:hAnsi="宋体" w:cs="宋体"/>
                <w:spacing w:val="-8"/>
                <w:szCs w:val="21"/>
              </w:rPr>
              <w:t>t，试油期井场油类物质的最大量为</w:t>
            </w:r>
            <w:r>
              <w:rPr>
                <w:rFonts w:ascii="宋体" w:hAnsi="宋体" w:cs="宋体"/>
                <w:spacing w:val="-8"/>
                <w:szCs w:val="21"/>
              </w:rPr>
              <w:t>105</w:t>
            </w:r>
            <w:r>
              <w:rPr>
                <w:rFonts w:hint="eastAsia" w:ascii="宋体" w:hAnsi="宋体" w:cs="宋体"/>
                <w:spacing w:val="-8"/>
                <w:szCs w:val="21"/>
              </w:rPr>
              <w:t>t。伴生气主要成分为天然气，按照排气管线中最大容量计算，最大在线量约0</w:t>
            </w:r>
            <w:r>
              <w:rPr>
                <w:rFonts w:ascii="宋体" w:hAnsi="宋体" w:cs="宋体"/>
                <w:spacing w:val="-8"/>
                <w:szCs w:val="21"/>
              </w:rPr>
              <w:t>.001</w:t>
            </w:r>
            <w:r>
              <w:rPr>
                <w:rFonts w:hint="eastAsia" w:ascii="宋体" w:hAnsi="宋体" w:cs="宋体"/>
                <w:spacing w:val="-8"/>
                <w:szCs w:val="21"/>
              </w:rPr>
              <w:t>t。则单井场危险物质最大储存量与临界量比值Q=</w:t>
            </w:r>
            <w:r>
              <w:rPr>
                <w:rFonts w:ascii="宋体" w:hAnsi="宋体" w:cs="宋体"/>
                <w:spacing w:val="-8"/>
                <w:szCs w:val="21"/>
              </w:rPr>
              <w:t>0.0421</w:t>
            </w:r>
            <w:r>
              <w:rPr>
                <w:rFonts w:hint="eastAsia" w:ascii="宋体" w:hAnsi="宋体" w:cs="宋体"/>
                <w:spacing w:val="-8"/>
                <w:szCs w:val="21"/>
              </w:rPr>
              <w:t>。因Q＜1，风险潜势为Ⅰ</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简单分析</w:t>
            </w:r>
          </w:p>
        </w:tc>
        <w:tc>
          <w:tcPr>
            <w:tcW w:w="170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不设置评价范围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696" w:type="dxa"/>
            <w:vMerge w:val="continue"/>
            <w:vAlign w:val="center"/>
          </w:tcPr>
          <w:p>
            <w:pPr>
              <w:adjustRightInd w:val="0"/>
              <w:snapToGrid w:val="0"/>
              <w:jc w:val="center"/>
              <w:rPr>
                <w:rFonts w:ascii="宋体" w:hAnsi="宋体" w:cs="宋体"/>
                <w:kern w:val="0"/>
                <w:sz w:val="24"/>
              </w:rPr>
            </w:pPr>
            <w:bookmarkStart w:id="20" w:name="_Hlk117989650"/>
          </w:p>
        </w:tc>
        <w:tc>
          <w:tcPr>
            <w:tcW w:w="706" w:type="dxa"/>
            <w:vMerge w:val="restart"/>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保护目标</w:t>
            </w: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保护要素</w:t>
            </w:r>
          </w:p>
        </w:tc>
        <w:tc>
          <w:tcPr>
            <w:tcW w:w="1277"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保护对象</w:t>
            </w:r>
          </w:p>
        </w:tc>
        <w:tc>
          <w:tcPr>
            <w:tcW w:w="184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数量规模</w:t>
            </w:r>
          </w:p>
        </w:tc>
        <w:tc>
          <w:tcPr>
            <w:tcW w:w="71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距离</w:t>
            </w:r>
          </w:p>
        </w:tc>
        <w:tc>
          <w:tcPr>
            <w:tcW w:w="709" w:type="dxa"/>
            <w:tcBorders>
              <w:bottom w:val="single" w:color="auto" w:sz="4"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方位</w:t>
            </w:r>
          </w:p>
        </w:tc>
        <w:tc>
          <w:tcPr>
            <w:tcW w:w="1701" w:type="dxa"/>
            <w:tcBorders>
              <w:bottom w:val="single" w:color="auto" w:sz="4"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保护级别/保护</w:t>
            </w:r>
          </w:p>
          <w:p>
            <w:pPr>
              <w:adjustRightInd w:val="0"/>
              <w:snapToGrid w:val="0"/>
              <w:spacing w:line="240" w:lineRule="exact"/>
              <w:jc w:val="center"/>
              <w:rPr>
                <w:rFonts w:ascii="宋体" w:hAnsi="宋体" w:cs="宋体"/>
                <w:szCs w:val="21"/>
              </w:rPr>
            </w:pPr>
            <w:r>
              <w:rPr>
                <w:rFonts w:hint="eastAsia" w:ascii="宋体" w:hAnsi="宋体" w:cs="宋体"/>
                <w:szCs w:val="21"/>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Merge w:val="restar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生态环境</w:t>
            </w:r>
          </w:p>
        </w:tc>
        <w:tc>
          <w:tcPr>
            <w:tcW w:w="1277"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野生动物</w:t>
            </w:r>
          </w:p>
        </w:tc>
        <w:tc>
          <w:tcPr>
            <w:tcW w:w="184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占地范围内</w:t>
            </w:r>
          </w:p>
        </w:tc>
        <w:tc>
          <w:tcPr>
            <w:tcW w:w="1701" w:type="dxa"/>
            <w:vAlign w:val="center"/>
          </w:tcPr>
          <w:p>
            <w:pPr>
              <w:adjustRightInd w:val="0"/>
              <w:snapToGrid w:val="0"/>
              <w:spacing w:line="240" w:lineRule="exact"/>
              <w:jc w:val="center"/>
              <w:rPr>
                <w:rFonts w:ascii="宋体" w:hAnsi="宋体" w:cs="宋体"/>
                <w:szCs w:val="21"/>
              </w:rPr>
            </w:pPr>
            <w:r>
              <w:rPr>
                <w:rFonts w:hint="eastAsia" w:ascii="宋体" w:hAnsi="宋体"/>
                <w:spacing w:val="-14"/>
                <w:szCs w:val="21"/>
              </w:rPr>
              <w:t>禁止捕杀野生动物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Merge w:val="continue"/>
            <w:vAlign w:val="center"/>
          </w:tcPr>
          <w:p>
            <w:pPr>
              <w:adjustRightInd w:val="0"/>
              <w:snapToGrid w:val="0"/>
              <w:spacing w:line="240" w:lineRule="exact"/>
              <w:jc w:val="center"/>
              <w:rPr>
                <w:rFonts w:ascii="宋体" w:hAnsi="宋体" w:cs="宋体"/>
                <w:szCs w:val="21"/>
              </w:rPr>
            </w:pPr>
          </w:p>
        </w:tc>
        <w:tc>
          <w:tcPr>
            <w:tcW w:w="1277"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野生植物</w:t>
            </w:r>
          </w:p>
        </w:tc>
        <w:tc>
          <w:tcPr>
            <w:tcW w:w="184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盖度3</w:t>
            </w:r>
            <w:r>
              <w:rPr>
                <w:rFonts w:ascii="宋体" w:hAnsi="宋体" w:cs="宋体"/>
                <w:szCs w:val="21"/>
              </w:rPr>
              <w:t>0</w:t>
            </w:r>
            <w:r>
              <w:rPr>
                <w:rFonts w:hint="eastAsia" w:ascii="宋体" w:hAnsi="宋体" w:cs="宋体"/>
                <w:szCs w:val="21"/>
              </w:rPr>
              <w:t>～</w:t>
            </w:r>
            <w:r>
              <w:rPr>
                <w:rFonts w:ascii="宋体" w:hAnsi="宋体" w:cs="宋体"/>
                <w:szCs w:val="21"/>
              </w:rPr>
              <w:t>50</w:t>
            </w:r>
            <w:r>
              <w:rPr>
                <w:rFonts w:hint="eastAsia" w:ascii="宋体" w:hAnsi="宋体" w:cs="宋体"/>
                <w:szCs w:val="21"/>
              </w:rPr>
              <w:t>%</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占地范围内</w:t>
            </w:r>
          </w:p>
        </w:tc>
        <w:tc>
          <w:tcPr>
            <w:tcW w:w="1701" w:type="dxa"/>
            <w:vAlign w:val="center"/>
          </w:tcPr>
          <w:p>
            <w:pPr>
              <w:adjustRightInd w:val="0"/>
              <w:snapToGrid w:val="0"/>
              <w:spacing w:line="240" w:lineRule="exact"/>
              <w:jc w:val="center"/>
              <w:rPr>
                <w:rFonts w:ascii="宋体" w:hAnsi="宋体"/>
                <w:spacing w:val="-14"/>
                <w:szCs w:val="21"/>
              </w:rPr>
            </w:pPr>
            <w:r>
              <w:rPr>
                <w:rFonts w:hint="eastAsia" w:ascii="宋体" w:hAnsi="宋体"/>
                <w:spacing w:val="-14"/>
                <w:szCs w:val="21"/>
              </w:rPr>
              <w:t>禁止踩踏、碾压、砍伐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Merge w:val="continue"/>
            <w:vAlign w:val="center"/>
          </w:tcPr>
          <w:p>
            <w:pPr>
              <w:adjustRightInd w:val="0"/>
              <w:snapToGrid w:val="0"/>
              <w:spacing w:line="240" w:lineRule="exact"/>
              <w:jc w:val="center"/>
              <w:rPr>
                <w:rFonts w:ascii="宋体" w:hAnsi="宋体" w:cs="宋体"/>
                <w:szCs w:val="21"/>
              </w:rPr>
            </w:pPr>
          </w:p>
        </w:tc>
        <w:tc>
          <w:tcPr>
            <w:tcW w:w="1277"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受保护的野生植物</w:t>
            </w:r>
          </w:p>
          <w:p>
            <w:pPr>
              <w:adjustRightInd w:val="0"/>
              <w:snapToGrid w:val="0"/>
              <w:spacing w:line="240" w:lineRule="exact"/>
              <w:jc w:val="center"/>
              <w:rPr>
                <w:rFonts w:ascii="宋体" w:hAnsi="宋体" w:cs="宋体"/>
                <w:szCs w:val="21"/>
              </w:rPr>
            </w:pPr>
            <w:r>
              <w:rPr>
                <w:rFonts w:hint="eastAsia" w:ascii="宋体" w:hAnsi="宋体" w:cs="宋体"/>
                <w:szCs w:val="21"/>
              </w:rPr>
              <w:t>（梭梭）</w:t>
            </w:r>
          </w:p>
        </w:tc>
        <w:tc>
          <w:tcPr>
            <w:tcW w:w="184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零星分布</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占地范围内</w:t>
            </w:r>
          </w:p>
        </w:tc>
        <w:tc>
          <w:tcPr>
            <w:tcW w:w="1701" w:type="dxa"/>
            <w:vAlign w:val="center"/>
          </w:tcPr>
          <w:p>
            <w:pPr>
              <w:adjustRightInd w:val="0"/>
              <w:snapToGrid w:val="0"/>
              <w:spacing w:line="240" w:lineRule="exact"/>
              <w:jc w:val="center"/>
              <w:rPr>
                <w:rFonts w:ascii="宋体" w:hAnsi="宋体" w:cs="宋体"/>
                <w:szCs w:val="21"/>
              </w:rPr>
            </w:pPr>
            <w:r>
              <w:rPr>
                <w:rFonts w:hint="eastAsia" w:ascii="宋体" w:hAnsi="宋体"/>
                <w:spacing w:val="-14"/>
                <w:szCs w:val="21"/>
              </w:rPr>
              <w:t>自治区Ⅰ级保植物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大气环境</w:t>
            </w:r>
          </w:p>
        </w:tc>
        <w:tc>
          <w:tcPr>
            <w:tcW w:w="1277"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84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项目区</w:t>
            </w:r>
          </w:p>
        </w:tc>
        <w:tc>
          <w:tcPr>
            <w:tcW w:w="1701" w:type="dxa"/>
            <w:vAlign w:val="center"/>
          </w:tcPr>
          <w:p>
            <w:pPr>
              <w:adjustRightInd w:val="0"/>
              <w:snapToGrid w:val="0"/>
              <w:spacing w:line="240" w:lineRule="exact"/>
              <w:jc w:val="center"/>
              <w:rPr>
                <w:rFonts w:ascii="宋体" w:hAnsi="宋体"/>
                <w:spacing w:val="-14"/>
                <w:szCs w:val="21"/>
              </w:rPr>
            </w:pPr>
            <w:r>
              <w:rPr>
                <w:rFonts w:hint="eastAsia" w:ascii="宋体" w:hAnsi="宋体"/>
                <w:spacing w:val="-14"/>
                <w:szCs w:val="21"/>
              </w:rPr>
              <w:t>《环境空气质量标准》（GB3095-2012）中二级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声环境</w:t>
            </w:r>
          </w:p>
        </w:tc>
        <w:tc>
          <w:tcPr>
            <w:tcW w:w="1277"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84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项目区</w:t>
            </w:r>
          </w:p>
        </w:tc>
        <w:tc>
          <w:tcPr>
            <w:tcW w:w="1701" w:type="dxa"/>
            <w:vAlign w:val="center"/>
          </w:tcPr>
          <w:p>
            <w:pPr>
              <w:adjustRightInd w:val="0"/>
              <w:snapToGrid w:val="0"/>
              <w:spacing w:line="240" w:lineRule="exact"/>
              <w:jc w:val="center"/>
              <w:rPr>
                <w:rFonts w:ascii="宋体" w:hAnsi="宋体"/>
                <w:spacing w:val="-14"/>
                <w:szCs w:val="21"/>
              </w:rPr>
            </w:pPr>
            <w:r>
              <w:rPr>
                <w:rFonts w:hint="eastAsia" w:ascii="宋体" w:hAnsi="宋体"/>
                <w:spacing w:val="-14"/>
                <w:szCs w:val="21"/>
              </w:rPr>
              <w:t>《声环境质量标准》（GB 3096-2008）2类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地下水环境</w:t>
            </w:r>
          </w:p>
        </w:tc>
        <w:tc>
          <w:tcPr>
            <w:tcW w:w="1277"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84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项目区</w:t>
            </w:r>
          </w:p>
        </w:tc>
        <w:tc>
          <w:tcPr>
            <w:tcW w:w="1701" w:type="dxa"/>
            <w:vAlign w:val="center"/>
          </w:tcPr>
          <w:p>
            <w:pPr>
              <w:adjustRightInd w:val="0"/>
              <w:snapToGrid w:val="0"/>
              <w:spacing w:line="240" w:lineRule="exact"/>
              <w:jc w:val="center"/>
              <w:rPr>
                <w:rFonts w:ascii="宋体" w:hAnsi="宋体"/>
                <w:spacing w:val="-14"/>
                <w:szCs w:val="21"/>
              </w:rPr>
            </w:pPr>
            <w:r>
              <w:rPr>
                <w:rFonts w:hint="eastAsia" w:ascii="宋体" w:hAnsi="宋体"/>
                <w:spacing w:val="-14"/>
                <w:szCs w:val="21"/>
              </w:rPr>
              <w:t>项目区地下水环境质量不因本项目实施而恶化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706" w:type="dxa"/>
            <w:vMerge w:val="continue"/>
            <w:vAlign w:val="center"/>
          </w:tcPr>
          <w:p>
            <w:pPr>
              <w:adjustRightInd w:val="0"/>
              <w:snapToGrid w:val="0"/>
              <w:spacing w:line="320" w:lineRule="exact"/>
              <w:jc w:val="center"/>
              <w:rPr>
                <w:rFonts w:ascii="宋体" w:hAnsi="宋体" w:cs="宋体"/>
                <w:szCs w:val="21"/>
              </w:rPr>
            </w:pPr>
          </w:p>
        </w:tc>
        <w:tc>
          <w:tcPr>
            <w:tcW w:w="1138"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土壤环境</w:t>
            </w:r>
          </w:p>
        </w:tc>
        <w:tc>
          <w:tcPr>
            <w:tcW w:w="1277"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841" w:type="dxa"/>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420" w:type="dxa"/>
            <w:gridSpan w:val="2"/>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占地范围内</w:t>
            </w:r>
          </w:p>
        </w:tc>
        <w:tc>
          <w:tcPr>
            <w:tcW w:w="1701" w:type="dxa"/>
            <w:vAlign w:val="center"/>
          </w:tcPr>
          <w:p>
            <w:pPr>
              <w:adjustRightInd w:val="0"/>
              <w:snapToGrid w:val="0"/>
              <w:spacing w:line="240" w:lineRule="exact"/>
              <w:jc w:val="center"/>
              <w:rPr>
                <w:rFonts w:ascii="宋体" w:hAnsi="宋体"/>
                <w:spacing w:val="-14"/>
                <w:szCs w:val="21"/>
              </w:rPr>
            </w:pPr>
            <w:r>
              <w:rPr>
                <w:rFonts w:hint="eastAsia" w:ascii="宋体" w:hAnsi="宋体"/>
                <w:spacing w:val="-14"/>
                <w:szCs w:val="21"/>
              </w:rPr>
              <w:t>项目区土壤环境质量不因本项目建设而变差</w:t>
            </w:r>
          </w:p>
        </w:tc>
      </w:tr>
      <w:bookmarkEnd w:id="2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96" w:type="dxa"/>
            <w:vMerge w:val="restart"/>
            <w:vAlign w:val="center"/>
          </w:tcPr>
          <w:p>
            <w:pPr>
              <w:adjustRightInd w:val="0"/>
              <w:snapToGrid w:val="0"/>
              <w:jc w:val="center"/>
              <w:rPr>
                <w:rFonts w:ascii="宋体" w:hAnsi="宋体" w:cs="宋体"/>
                <w:kern w:val="0"/>
                <w:sz w:val="24"/>
              </w:rPr>
            </w:pPr>
            <w:r>
              <w:rPr>
                <w:rFonts w:hint="eastAsia" w:ascii="宋体" w:hAnsi="宋体" w:cs="宋体"/>
                <w:kern w:val="0"/>
                <w:sz w:val="24"/>
              </w:rPr>
              <w:t>评价</w:t>
            </w:r>
          </w:p>
          <w:p>
            <w:pPr>
              <w:adjustRightInd w:val="0"/>
              <w:snapToGrid w:val="0"/>
              <w:jc w:val="center"/>
              <w:rPr>
                <w:rFonts w:ascii="宋体" w:hAnsi="宋体" w:cs="宋体"/>
                <w:kern w:val="0"/>
                <w:szCs w:val="21"/>
              </w:rPr>
            </w:pPr>
            <w:r>
              <w:rPr>
                <w:rFonts w:hint="eastAsia" w:ascii="宋体" w:hAnsi="宋体" w:cs="宋体"/>
                <w:kern w:val="0"/>
                <w:sz w:val="24"/>
              </w:rPr>
              <w:t>标准</w:t>
            </w:r>
          </w:p>
        </w:tc>
        <w:tc>
          <w:tcPr>
            <w:tcW w:w="3121" w:type="dxa"/>
            <w:gridSpan w:val="4"/>
            <w:vAlign w:val="center"/>
          </w:tcPr>
          <w:p>
            <w:pPr>
              <w:spacing w:line="240" w:lineRule="exact"/>
              <w:jc w:val="center"/>
              <w:rPr>
                <w:rFonts w:ascii="宋体" w:hAnsi="宋体" w:cs="宋体"/>
                <w:szCs w:val="21"/>
              </w:rPr>
            </w:pPr>
            <w:r>
              <w:rPr>
                <w:rFonts w:hint="eastAsia" w:ascii="宋体" w:hAnsi="宋体" w:cs="宋体"/>
                <w:szCs w:val="21"/>
              </w:rPr>
              <w:t>环境要素</w:t>
            </w:r>
          </w:p>
        </w:tc>
        <w:tc>
          <w:tcPr>
            <w:tcW w:w="4962" w:type="dxa"/>
            <w:gridSpan w:val="4"/>
            <w:vAlign w:val="center"/>
          </w:tcPr>
          <w:p>
            <w:pPr>
              <w:spacing w:line="240" w:lineRule="exact"/>
              <w:jc w:val="center"/>
              <w:rPr>
                <w:rFonts w:ascii="宋体" w:hAnsi="宋体" w:cs="宋体"/>
                <w:szCs w:val="21"/>
              </w:rPr>
            </w:pPr>
            <w:r>
              <w:rPr>
                <w:rFonts w:hint="eastAsia" w:ascii="宋体" w:hAnsi="宋体"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848" w:type="dxa"/>
            <w:gridSpan w:val="2"/>
            <w:vMerge w:val="restart"/>
            <w:vAlign w:val="center"/>
          </w:tcPr>
          <w:p>
            <w:pPr>
              <w:spacing w:line="240" w:lineRule="exact"/>
              <w:jc w:val="center"/>
              <w:rPr>
                <w:rFonts w:ascii="宋体" w:hAnsi="宋体" w:cs="宋体"/>
                <w:szCs w:val="21"/>
              </w:rPr>
            </w:pPr>
            <w:r>
              <w:rPr>
                <w:rFonts w:hint="eastAsia" w:ascii="宋体" w:hAnsi="宋体" w:cs="宋体"/>
                <w:szCs w:val="21"/>
              </w:rPr>
              <w:t>环境质量标准</w:t>
            </w:r>
          </w:p>
        </w:tc>
        <w:tc>
          <w:tcPr>
            <w:tcW w:w="996" w:type="dxa"/>
            <w:vAlign w:val="center"/>
          </w:tcPr>
          <w:p>
            <w:pPr>
              <w:spacing w:line="240" w:lineRule="exact"/>
              <w:jc w:val="center"/>
              <w:rPr>
                <w:rFonts w:ascii="宋体" w:hAnsi="宋体" w:cs="宋体"/>
                <w:szCs w:val="21"/>
              </w:rPr>
            </w:pPr>
            <w:r>
              <w:rPr>
                <w:rFonts w:hint="eastAsia" w:ascii="宋体" w:hAnsi="宋体" w:cs="宋体"/>
                <w:szCs w:val="21"/>
              </w:rPr>
              <w:t>环境空气</w:t>
            </w:r>
          </w:p>
        </w:tc>
        <w:tc>
          <w:tcPr>
            <w:tcW w:w="1277" w:type="dxa"/>
            <w:vAlign w:val="center"/>
          </w:tcPr>
          <w:p>
            <w:pPr>
              <w:spacing w:line="240" w:lineRule="exact"/>
              <w:jc w:val="center"/>
              <w:rPr>
                <w:rFonts w:ascii="宋体" w:hAnsi="宋体" w:cs="宋体"/>
                <w:szCs w:val="21"/>
              </w:rPr>
            </w:pPr>
            <w:r>
              <w:rPr>
                <w:rFonts w:hint="eastAsia" w:ascii="宋体" w:hAnsi="宋体" w:cs="宋体"/>
                <w:szCs w:val="21"/>
              </w:rPr>
              <w:t>基本污染物</w:t>
            </w:r>
          </w:p>
        </w:tc>
        <w:tc>
          <w:tcPr>
            <w:tcW w:w="4962" w:type="dxa"/>
            <w:gridSpan w:val="4"/>
            <w:vAlign w:val="center"/>
          </w:tcPr>
          <w:p>
            <w:pPr>
              <w:spacing w:line="240" w:lineRule="exact"/>
              <w:jc w:val="center"/>
              <w:rPr>
                <w:rFonts w:ascii="宋体" w:hAnsi="宋体" w:cs="宋体"/>
                <w:szCs w:val="21"/>
              </w:rPr>
            </w:pPr>
            <w:r>
              <w:rPr>
                <w:rFonts w:hint="eastAsia" w:ascii="宋体" w:hAnsi="宋体" w:cs="宋体"/>
                <w:szCs w:val="21"/>
              </w:rPr>
              <w:t>《环境空气质量标准》（</w:t>
            </w:r>
            <w:r>
              <w:rPr>
                <w:rFonts w:ascii="宋体" w:hAnsi="宋体" w:cs="宋体"/>
                <w:szCs w:val="21"/>
              </w:rPr>
              <w:t>GB3095-2012）</w:t>
            </w:r>
            <w:r>
              <w:rPr>
                <w:rFonts w:hint="eastAsia" w:ascii="宋体" w:hAnsi="宋体" w:cs="宋体"/>
                <w:szCs w:val="21"/>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848" w:type="dxa"/>
            <w:gridSpan w:val="2"/>
            <w:vMerge w:val="continue"/>
            <w:vAlign w:val="center"/>
          </w:tcPr>
          <w:p>
            <w:pPr>
              <w:spacing w:line="240" w:lineRule="exact"/>
              <w:jc w:val="center"/>
              <w:rPr>
                <w:rFonts w:ascii="宋体" w:hAnsi="宋体" w:cs="宋体"/>
                <w:szCs w:val="21"/>
              </w:rPr>
            </w:pPr>
          </w:p>
        </w:tc>
        <w:tc>
          <w:tcPr>
            <w:tcW w:w="996" w:type="dxa"/>
            <w:vAlign w:val="center"/>
          </w:tcPr>
          <w:p>
            <w:pPr>
              <w:spacing w:line="240" w:lineRule="exact"/>
              <w:jc w:val="center"/>
              <w:rPr>
                <w:rFonts w:ascii="宋体" w:hAnsi="宋体" w:cs="宋体"/>
                <w:szCs w:val="21"/>
              </w:rPr>
            </w:pPr>
            <w:r>
              <w:rPr>
                <w:rFonts w:hint="eastAsia" w:ascii="宋体" w:hAnsi="宋体" w:cs="宋体"/>
                <w:szCs w:val="21"/>
              </w:rPr>
              <w:t>声环境</w:t>
            </w:r>
          </w:p>
        </w:tc>
        <w:tc>
          <w:tcPr>
            <w:tcW w:w="1277" w:type="dxa"/>
            <w:vAlign w:val="center"/>
          </w:tcPr>
          <w:p>
            <w:pPr>
              <w:spacing w:line="240" w:lineRule="exact"/>
              <w:jc w:val="center"/>
              <w:rPr>
                <w:rFonts w:ascii="宋体" w:hAnsi="宋体" w:cs="宋体"/>
                <w:szCs w:val="21"/>
              </w:rPr>
            </w:pPr>
            <w:r>
              <w:rPr>
                <w:rFonts w:hint="eastAsia" w:ascii="宋体" w:hAnsi="宋体" w:cs="宋体"/>
              </w:rPr>
              <w:t>噪声</w:t>
            </w:r>
          </w:p>
        </w:tc>
        <w:tc>
          <w:tcPr>
            <w:tcW w:w="4962" w:type="dxa"/>
            <w:gridSpan w:val="4"/>
            <w:vAlign w:val="center"/>
          </w:tcPr>
          <w:p>
            <w:pPr>
              <w:spacing w:line="240" w:lineRule="exact"/>
              <w:jc w:val="center"/>
              <w:rPr>
                <w:rFonts w:ascii="宋体" w:hAnsi="宋体" w:cs="宋体"/>
                <w:szCs w:val="21"/>
              </w:rPr>
            </w:pPr>
            <w:r>
              <w:rPr>
                <w:rFonts w:hint="eastAsia" w:ascii="宋体" w:hAnsi="宋体" w:cs="宋体"/>
              </w:rPr>
              <w:t>《声环境质量标准》（GB 3096-2008）2类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848" w:type="dxa"/>
            <w:gridSpan w:val="2"/>
            <w:vMerge w:val="restart"/>
            <w:vAlign w:val="center"/>
          </w:tcPr>
          <w:p>
            <w:pPr>
              <w:spacing w:line="240" w:lineRule="exact"/>
              <w:jc w:val="center"/>
              <w:rPr>
                <w:rFonts w:ascii="宋体" w:hAnsi="宋体" w:cs="宋体"/>
                <w:szCs w:val="21"/>
              </w:rPr>
            </w:pPr>
            <w:r>
              <w:rPr>
                <w:rFonts w:hint="eastAsia" w:ascii="宋体" w:hAnsi="宋体" w:cs="宋体"/>
                <w:szCs w:val="21"/>
              </w:rPr>
              <w:t>污染排放标准</w:t>
            </w:r>
          </w:p>
        </w:tc>
        <w:tc>
          <w:tcPr>
            <w:tcW w:w="996" w:type="dxa"/>
            <w:vMerge w:val="restart"/>
            <w:vAlign w:val="center"/>
          </w:tcPr>
          <w:p>
            <w:pPr>
              <w:spacing w:line="240" w:lineRule="exact"/>
              <w:jc w:val="center"/>
              <w:rPr>
                <w:rFonts w:ascii="宋体" w:hAnsi="宋体" w:cs="宋体"/>
                <w:szCs w:val="21"/>
              </w:rPr>
            </w:pPr>
            <w:r>
              <w:rPr>
                <w:rFonts w:hint="eastAsia" w:ascii="宋体" w:hAnsi="宋体" w:cs="宋体"/>
                <w:szCs w:val="21"/>
              </w:rPr>
              <w:t>废气</w:t>
            </w:r>
          </w:p>
        </w:tc>
        <w:tc>
          <w:tcPr>
            <w:tcW w:w="1277" w:type="dxa"/>
            <w:vAlign w:val="center"/>
          </w:tcPr>
          <w:p>
            <w:pPr>
              <w:spacing w:line="240" w:lineRule="exact"/>
              <w:jc w:val="center"/>
              <w:rPr>
                <w:rFonts w:ascii="宋体" w:hAnsi="宋体" w:cs="宋体"/>
                <w:szCs w:val="21"/>
              </w:rPr>
            </w:pPr>
            <w:r>
              <w:rPr>
                <w:rFonts w:hint="eastAsia" w:ascii="宋体" w:hAnsi="宋体"/>
                <w:szCs w:val="21"/>
              </w:rPr>
              <w:t>施工期发电机废气</w:t>
            </w:r>
          </w:p>
        </w:tc>
        <w:tc>
          <w:tcPr>
            <w:tcW w:w="4962" w:type="dxa"/>
            <w:gridSpan w:val="4"/>
            <w:vAlign w:val="center"/>
          </w:tcPr>
          <w:p>
            <w:pPr>
              <w:spacing w:line="240" w:lineRule="exact"/>
              <w:jc w:val="center"/>
              <w:rPr>
                <w:rFonts w:ascii="宋体" w:hAnsi="宋体" w:cs="宋体"/>
                <w:szCs w:val="21"/>
              </w:rPr>
            </w:pPr>
            <w:r>
              <w:rPr>
                <w:rFonts w:hint="eastAsia" w:ascii="宋体" w:hAnsi="宋体" w:cs="宋体"/>
                <w:szCs w:val="21"/>
              </w:rPr>
              <w:t>《大气污染物综合排放标准》（GB</w:t>
            </w:r>
            <w:r>
              <w:rPr>
                <w:rFonts w:ascii="宋体" w:hAnsi="宋体" w:cs="宋体"/>
                <w:szCs w:val="21"/>
              </w:rPr>
              <w:t xml:space="preserve"> </w:t>
            </w:r>
            <w:r>
              <w:rPr>
                <w:rFonts w:hint="eastAsia" w:ascii="宋体" w:hAnsi="宋体" w:cs="宋体"/>
                <w:szCs w:val="21"/>
              </w:rPr>
              <w:t>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848" w:type="dxa"/>
            <w:gridSpan w:val="2"/>
            <w:vMerge w:val="continue"/>
            <w:vAlign w:val="center"/>
          </w:tcPr>
          <w:p>
            <w:pPr>
              <w:spacing w:line="240" w:lineRule="exact"/>
              <w:jc w:val="center"/>
              <w:rPr>
                <w:rFonts w:ascii="宋体" w:hAnsi="宋体" w:cs="宋体"/>
                <w:szCs w:val="21"/>
              </w:rPr>
            </w:pPr>
          </w:p>
        </w:tc>
        <w:tc>
          <w:tcPr>
            <w:tcW w:w="996" w:type="dxa"/>
            <w:vMerge w:val="continue"/>
            <w:vAlign w:val="center"/>
          </w:tcPr>
          <w:p>
            <w:pPr>
              <w:spacing w:line="240" w:lineRule="exact"/>
              <w:jc w:val="center"/>
              <w:rPr>
                <w:rFonts w:ascii="宋体" w:hAnsi="宋体" w:cs="宋体"/>
                <w:szCs w:val="21"/>
              </w:rPr>
            </w:pPr>
          </w:p>
        </w:tc>
        <w:tc>
          <w:tcPr>
            <w:tcW w:w="1277" w:type="dxa"/>
            <w:vAlign w:val="center"/>
          </w:tcPr>
          <w:p>
            <w:pPr>
              <w:spacing w:line="240" w:lineRule="exact"/>
              <w:jc w:val="center"/>
              <w:rPr>
                <w:rFonts w:ascii="宋体" w:hAnsi="宋体" w:cs="宋体"/>
                <w:szCs w:val="21"/>
              </w:rPr>
            </w:pPr>
            <w:r>
              <w:rPr>
                <w:rFonts w:hint="eastAsia" w:ascii="宋体" w:hAnsi="宋体" w:cs="宋体"/>
                <w:szCs w:val="21"/>
              </w:rPr>
              <w:t>非甲烷总烃</w:t>
            </w:r>
          </w:p>
        </w:tc>
        <w:tc>
          <w:tcPr>
            <w:tcW w:w="4962" w:type="dxa"/>
            <w:gridSpan w:val="4"/>
            <w:vAlign w:val="center"/>
          </w:tcPr>
          <w:p>
            <w:pPr>
              <w:spacing w:line="240" w:lineRule="exact"/>
              <w:jc w:val="center"/>
              <w:rPr>
                <w:rFonts w:ascii="宋体" w:hAnsi="宋体" w:cs="宋体"/>
                <w:szCs w:val="21"/>
              </w:rPr>
            </w:pPr>
            <w:bookmarkStart w:id="21" w:name="_Hlk118029396"/>
            <w:r>
              <w:rPr>
                <w:rFonts w:hint="eastAsia" w:ascii="宋体" w:hAnsi="宋体" w:cs="宋体"/>
                <w:szCs w:val="21"/>
              </w:rPr>
              <w:t>参照执行《陆上石油天然气开采工业大气污染物排放标准》（GB39728-2020）</w:t>
            </w:r>
            <w:bookmarkEnd w:id="2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848" w:type="dxa"/>
            <w:gridSpan w:val="2"/>
            <w:vMerge w:val="continue"/>
            <w:vAlign w:val="center"/>
          </w:tcPr>
          <w:p>
            <w:pPr>
              <w:spacing w:line="240" w:lineRule="exact"/>
              <w:jc w:val="center"/>
              <w:rPr>
                <w:rFonts w:ascii="宋体" w:hAnsi="宋体" w:cs="宋体"/>
                <w:szCs w:val="21"/>
              </w:rPr>
            </w:pPr>
          </w:p>
        </w:tc>
        <w:tc>
          <w:tcPr>
            <w:tcW w:w="996" w:type="dxa"/>
            <w:vAlign w:val="center"/>
          </w:tcPr>
          <w:p>
            <w:pPr>
              <w:spacing w:line="240" w:lineRule="exact"/>
              <w:jc w:val="center"/>
              <w:rPr>
                <w:rFonts w:ascii="宋体" w:hAnsi="宋体" w:cs="宋体"/>
                <w:szCs w:val="21"/>
              </w:rPr>
            </w:pPr>
            <w:r>
              <w:rPr>
                <w:rFonts w:hint="eastAsia" w:ascii="宋体" w:hAnsi="宋体" w:cs="宋体"/>
                <w:szCs w:val="21"/>
              </w:rPr>
              <w:t>噪声</w:t>
            </w:r>
          </w:p>
        </w:tc>
        <w:tc>
          <w:tcPr>
            <w:tcW w:w="1277" w:type="dxa"/>
            <w:vAlign w:val="center"/>
          </w:tcPr>
          <w:p>
            <w:pPr>
              <w:spacing w:line="240" w:lineRule="exact"/>
              <w:jc w:val="center"/>
              <w:rPr>
                <w:rFonts w:ascii="宋体" w:hAnsi="宋体" w:cs="宋体"/>
                <w:szCs w:val="21"/>
              </w:rPr>
            </w:pPr>
            <w:r>
              <w:rPr>
                <w:rFonts w:hint="eastAsia" w:ascii="宋体" w:hAnsi="宋体" w:cs="宋体"/>
                <w:szCs w:val="21"/>
              </w:rPr>
              <w:t>施工期井场噪声</w:t>
            </w:r>
          </w:p>
        </w:tc>
        <w:tc>
          <w:tcPr>
            <w:tcW w:w="4962" w:type="dxa"/>
            <w:gridSpan w:val="4"/>
            <w:vAlign w:val="center"/>
          </w:tcPr>
          <w:p>
            <w:pPr>
              <w:spacing w:line="240" w:lineRule="exact"/>
              <w:jc w:val="center"/>
              <w:rPr>
                <w:rFonts w:ascii="宋体" w:hAnsi="宋体" w:cs="宋体"/>
                <w:szCs w:val="21"/>
              </w:rPr>
            </w:pPr>
            <w:r>
              <w:rPr>
                <w:rFonts w:hint="eastAsia" w:ascii="宋体" w:hAnsi="宋体" w:cs="宋体"/>
                <w:szCs w:val="21"/>
              </w:rPr>
              <w:t>《建筑施工场界环境噪声排放标准》（</w:t>
            </w:r>
            <w:r>
              <w:rPr>
                <w:rFonts w:ascii="宋体" w:hAnsi="宋体" w:cs="宋体"/>
                <w:szCs w:val="21"/>
              </w:rPr>
              <w:t>GB12523-2011）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848" w:type="dxa"/>
            <w:gridSpan w:val="2"/>
            <w:vMerge w:val="restart"/>
            <w:vAlign w:val="center"/>
          </w:tcPr>
          <w:p>
            <w:pPr>
              <w:spacing w:line="240" w:lineRule="exact"/>
              <w:jc w:val="center"/>
              <w:rPr>
                <w:rFonts w:ascii="宋体" w:hAnsi="宋体" w:cs="宋体"/>
                <w:szCs w:val="21"/>
              </w:rPr>
            </w:pPr>
            <w:r>
              <w:rPr>
                <w:rFonts w:hint="eastAsia" w:ascii="宋体" w:hAnsi="宋体" w:cs="宋体"/>
                <w:szCs w:val="21"/>
              </w:rPr>
              <w:t>控制</w:t>
            </w:r>
          </w:p>
          <w:p>
            <w:pPr>
              <w:spacing w:line="240" w:lineRule="exact"/>
              <w:jc w:val="center"/>
              <w:rPr>
                <w:rFonts w:ascii="宋体" w:hAnsi="宋体" w:cs="宋体"/>
                <w:szCs w:val="21"/>
              </w:rPr>
            </w:pPr>
            <w:r>
              <w:rPr>
                <w:rFonts w:hint="eastAsia" w:ascii="宋体" w:hAnsi="宋体" w:cs="宋体"/>
                <w:szCs w:val="21"/>
              </w:rPr>
              <w:t>标准</w:t>
            </w:r>
          </w:p>
        </w:tc>
        <w:tc>
          <w:tcPr>
            <w:tcW w:w="996" w:type="dxa"/>
            <w:vAlign w:val="center"/>
          </w:tcPr>
          <w:p>
            <w:pPr>
              <w:spacing w:line="240" w:lineRule="exact"/>
              <w:jc w:val="center"/>
              <w:rPr>
                <w:rFonts w:ascii="宋体" w:hAnsi="宋体" w:cs="宋体"/>
                <w:szCs w:val="21"/>
              </w:rPr>
            </w:pPr>
            <w:r>
              <w:rPr>
                <w:rFonts w:hint="eastAsia" w:ascii="宋体" w:hAnsi="宋体" w:cs="宋体"/>
                <w:szCs w:val="21"/>
              </w:rPr>
              <w:t>一般固废</w:t>
            </w:r>
          </w:p>
        </w:tc>
        <w:tc>
          <w:tcPr>
            <w:tcW w:w="1277" w:type="dxa"/>
            <w:vAlign w:val="center"/>
          </w:tcPr>
          <w:p>
            <w:pPr>
              <w:spacing w:line="240" w:lineRule="exact"/>
              <w:jc w:val="center"/>
              <w:rPr>
                <w:rFonts w:ascii="宋体" w:hAnsi="宋体" w:cs="宋体"/>
                <w:szCs w:val="21"/>
              </w:rPr>
            </w:pPr>
            <w:r>
              <w:rPr>
                <w:rFonts w:hint="eastAsia" w:ascii="宋体" w:hAnsi="宋体" w:cs="宋体"/>
                <w:szCs w:val="21"/>
              </w:rPr>
              <w:t>水基钻井</w:t>
            </w:r>
          </w:p>
          <w:p>
            <w:pPr>
              <w:spacing w:line="240" w:lineRule="exact"/>
              <w:jc w:val="center"/>
              <w:rPr>
                <w:rFonts w:ascii="宋体" w:hAnsi="宋体" w:cs="宋体"/>
                <w:szCs w:val="21"/>
              </w:rPr>
            </w:pPr>
            <w:r>
              <w:rPr>
                <w:rFonts w:hint="eastAsia" w:ascii="宋体" w:hAnsi="宋体" w:cs="宋体"/>
                <w:szCs w:val="21"/>
              </w:rPr>
              <w:t>岩屑</w:t>
            </w:r>
          </w:p>
        </w:tc>
        <w:tc>
          <w:tcPr>
            <w:tcW w:w="4962" w:type="dxa"/>
            <w:gridSpan w:val="4"/>
            <w:vAlign w:val="center"/>
          </w:tcPr>
          <w:p>
            <w:pPr>
              <w:spacing w:line="240" w:lineRule="exact"/>
              <w:jc w:val="center"/>
              <w:rPr>
                <w:rFonts w:ascii="宋体" w:hAnsi="宋体" w:cs="宋体"/>
                <w:szCs w:val="21"/>
              </w:rPr>
            </w:pPr>
            <w:r>
              <w:rPr>
                <w:rFonts w:hint="eastAsia" w:ascii="宋体" w:hAnsi="宋体" w:cs="宋体"/>
                <w:szCs w:val="21"/>
              </w:rPr>
              <w:t>《一般工业固体废物贮存和填埋污染控制标准》（GB1859</w:t>
            </w:r>
            <w:r>
              <w:rPr>
                <w:rFonts w:ascii="宋体" w:hAnsi="宋体" w:cs="宋体"/>
                <w:szCs w:val="21"/>
              </w:rPr>
              <w:t>9</w:t>
            </w:r>
            <w:r>
              <w:rPr>
                <w:rFonts w:hint="eastAsia" w:ascii="宋体" w:hAnsi="宋体" w:cs="宋体"/>
                <w:szCs w:val="21"/>
              </w:rPr>
              <w:t>-20</w:t>
            </w:r>
            <w:r>
              <w:rPr>
                <w:rFonts w:ascii="宋体" w:hAnsi="宋体" w:cs="宋体"/>
                <w:szCs w:val="21"/>
              </w:rPr>
              <w:t>20</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96" w:type="dxa"/>
            <w:vMerge w:val="continue"/>
            <w:vAlign w:val="center"/>
          </w:tcPr>
          <w:p>
            <w:pPr>
              <w:adjustRightInd w:val="0"/>
              <w:snapToGrid w:val="0"/>
              <w:jc w:val="center"/>
              <w:rPr>
                <w:rFonts w:ascii="宋体" w:hAnsi="宋体" w:cs="宋体"/>
                <w:kern w:val="0"/>
                <w:sz w:val="24"/>
              </w:rPr>
            </w:pPr>
          </w:p>
        </w:tc>
        <w:tc>
          <w:tcPr>
            <w:tcW w:w="848" w:type="dxa"/>
            <w:gridSpan w:val="2"/>
            <w:vMerge w:val="continue"/>
            <w:vAlign w:val="center"/>
          </w:tcPr>
          <w:p>
            <w:pPr>
              <w:spacing w:line="240" w:lineRule="exact"/>
              <w:jc w:val="center"/>
              <w:rPr>
                <w:rFonts w:ascii="宋体" w:hAnsi="宋体" w:cs="宋体"/>
                <w:szCs w:val="21"/>
              </w:rPr>
            </w:pPr>
          </w:p>
        </w:tc>
        <w:tc>
          <w:tcPr>
            <w:tcW w:w="996" w:type="dxa"/>
            <w:vAlign w:val="center"/>
          </w:tcPr>
          <w:p>
            <w:pPr>
              <w:spacing w:line="240" w:lineRule="exact"/>
              <w:jc w:val="center"/>
              <w:rPr>
                <w:rFonts w:ascii="宋体" w:hAnsi="宋体" w:cs="宋体"/>
                <w:szCs w:val="21"/>
              </w:rPr>
            </w:pPr>
            <w:r>
              <w:rPr>
                <w:rFonts w:hint="eastAsia" w:ascii="宋体" w:hAnsi="宋体" w:cs="宋体"/>
                <w:szCs w:val="21"/>
              </w:rPr>
              <w:t>危险废物</w:t>
            </w:r>
          </w:p>
        </w:tc>
        <w:tc>
          <w:tcPr>
            <w:tcW w:w="1277" w:type="dxa"/>
            <w:vAlign w:val="center"/>
          </w:tcPr>
          <w:p>
            <w:pPr>
              <w:spacing w:line="240" w:lineRule="exact"/>
              <w:jc w:val="center"/>
              <w:rPr>
                <w:rFonts w:ascii="宋体" w:hAnsi="宋体" w:cs="宋体"/>
                <w:szCs w:val="21"/>
              </w:rPr>
            </w:pPr>
            <w:r>
              <w:rPr>
                <w:rFonts w:hint="eastAsia" w:ascii="宋体" w:hAnsi="宋体" w:cs="宋体"/>
                <w:szCs w:val="21"/>
              </w:rPr>
              <w:t>废防渗材料、油基钻井岩屑</w:t>
            </w:r>
          </w:p>
        </w:tc>
        <w:tc>
          <w:tcPr>
            <w:tcW w:w="4962" w:type="dxa"/>
            <w:gridSpan w:val="4"/>
            <w:vAlign w:val="center"/>
          </w:tcPr>
          <w:p>
            <w:pPr>
              <w:spacing w:line="240" w:lineRule="exact"/>
              <w:jc w:val="center"/>
              <w:rPr>
                <w:rFonts w:ascii="宋体" w:hAnsi="宋体" w:cs="宋体"/>
                <w:szCs w:val="21"/>
              </w:rPr>
            </w:pPr>
            <w:r>
              <w:rPr>
                <w:rFonts w:hint="eastAsia" w:ascii="宋体" w:hAnsi="宋体" w:cs="宋体"/>
                <w:szCs w:val="21"/>
              </w:rPr>
              <w:t>《危险废物贮存污染控制标准》（GB18597-2001）</w:t>
            </w:r>
          </w:p>
          <w:p>
            <w:pPr>
              <w:spacing w:line="240" w:lineRule="exact"/>
              <w:jc w:val="center"/>
              <w:rPr>
                <w:rFonts w:ascii="宋体" w:hAnsi="宋体" w:cs="宋体"/>
                <w:szCs w:val="21"/>
              </w:rPr>
            </w:pPr>
            <w:r>
              <w:rPr>
                <w:rFonts w:ascii="宋体" w:hAnsi="宋体" w:cs="宋体"/>
                <w:szCs w:val="21"/>
              </w:rPr>
              <w:t>《危险废物收集贮存运输技术规范》（HJ2025-2012）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550" w:hRule="atLeast"/>
          <w:jc w:val="center"/>
        </w:trPr>
        <w:tc>
          <w:tcPr>
            <w:tcW w:w="696" w:type="dxa"/>
            <w:vAlign w:val="center"/>
          </w:tcPr>
          <w:p>
            <w:pPr>
              <w:adjustRightInd w:val="0"/>
              <w:snapToGrid w:val="0"/>
              <w:jc w:val="center"/>
              <w:rPr>
                <w:rFonts w:ascii="宋体" w:hAnsi="宋体" w:cs="宋体"/>
                <w:kern w:val="0"/>
                <w:szCs w:val="21"/>
              </w:rPr>
            </w:pPr>
            <w:r>
              <w:rPr>
                <w:rFonts w:hint="eastAsia" w:ascii="宋体" w:hAnsi="宋体" w:cs="宋体"/>
                <w:kern w:val="0"/>
                <w:sz w:val="24"/>
              </w:rPr>
              <w:t>其他</w:t>
            </w:r>
          </w:p>
        </w:tc>
        <w:tc>
          <w:tcPr>
            <w:tcW w:w="8083" w:type="dxa"/>
            <w:gridSpan w:val="8"/>
            <w:vAlign w:val="center"/>
          </w:tcPr>
          <w:p>
            <w:pPr>
              <w:pStyle w:val="53"/>
              <w:ind w:firstLine="480"/>
              <w:rPr>
                <w:kern w:val="2"/>
                <w:sz w:val="21"/>
                <w:szCs w:val="21"/>
              </w:rPr>
            </w:pPr>
            <w:r>
              <w:rPr>
                <w:rFonts w:hint="eastAsia"/>
              </w:rPr>
              <w:t>本项目钻试周期短，污染物产生量少，钻试期结束后污染物停止排放，故不提出总量控制指标。</w:t>
            </w:r>
          </w:p>
        </w:tc>
      </w:tr>
    </w:tbl>
    <w:p>
      <w:pPr>
        <w:pStyle w:val="2"/>
        <w:rPr>
          <w:snapToGrid w:val="0"/>
          <w:color w:val="auto"/>
        </w:rPr>
      </w:pPr>
      <w:r>
        <w:rPr>
          <w:snapToGrid w:val="0"/>
          <w:color w:val="auto"/>
        </w:rPr>
        <w:br w:type="page"/>
      </w:r>
      <w:bookmarkStart w:id="22" w:name="_Hlk117988776"/>
      <w:r>
        <w:rPr>
          <w:rFonts w:hint="eastAsia"/>
          <w:snapToGrid w:val="0"/>
          <w:color w:val="auto"/>
        </w:rPr>
        <w:t>四、生态环境影响分析</w:t>
      </w:r>
      <w:bookmarkEnd w:id="22"/>
    </w:p>
    <w:tbl>
      <w:tblPr>
        <w:tblStyle w:val="17"/>
        <w:tblW w:w="86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7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772" w:type="dxa"/>
            <w:tcMar>
              <w:left w:w="28" w:type="dxa"/>
              <w:right w:w="28" w:type="dxa"/>
            </w:tcMar>
            <w:vAlign w:val="center"/>
          </w:tcPr>
          <w:p>
            <w:pPr>
              <w:pStyle w:val="14"/>
              <w:adjustRightInd w:val="0"/>
              <w:snapToGrid w:val="0"/>
              <w:spacing w:before="0" w:beforeAutospacing="0" w:after="0" w:afterAutospacing="0"/>
              <w:jc w:val="center"/>
              <w:rPr>
                <w:rFonts w:cs="宋体"/>
                <w:bCs/>
                <w:kern w:val="2"/>
              </w:rPr>
            </w:pPr>
            <w:bookmarkStart w:id="23" w:name="_Hlk49796138"/>
            <w:r>
              <w:rPr>
                <w:rFonts w:hint="eastAsia" w:cs="宋体"/>
                <w:bCs/>
                <w:spacing w:val="10"/>
                <w:kern w:val="2"/>
              </w:rPr>
              <w:t>施工期生态环境影响分析</w:t>
            </w:r>
            <w:bookmarkEnd w:id="23"/>
          </w:p>
        </w:tc>
        <w:tc>
          <w:tcPr>
            <w:tcW w:w="7865" w:type="dxa"/>
            <w:vAlign w:val="center"/>
          </w:tcPr>
          <w:p>
            <w:pPr>
              <w:pStyle w:val="55"/>
              <w:ind w:firstLineChars="200"/>
              <w:rPr>
                <w:rFonts w:ascii="宋体" w:cs="宋体"/>
              </w:rPr>
            </w:pPr>
            <w:r>
              <w:rPr>
                <w:rFonts w:hint="eastAsia" w:ascii="宋体" w:cs="宋体"/>
              </w:rPr>
              <w:t>1、生态环境影响分析</w:t>
            </w:r>
          </w:p>
          <w:p>
            <w:pPr>
              <w:pStyle w:val="54"/>
              <w:adjustRightInd w:val="0"/>
              <w:snapToGrid w:val="0"/>
              <w:spacing w:line="500" w:lineRule="exact"/>
              <w:ind w:firstLineChars="200"/>
              <w:rPr>
                <w:rFonts w:ascii="宋体" w:cs="宋体"/>
              </w:rPr>
            </w:pPr>
            <w:r>
              <w:rPr>
                <w:rFonts w:hint="eastAsia" w:ascii="宋体" w:cs="宋体"/>
              </w:rPr>
              <w:t>（1）占地分析</w:t>
            </w:r>
          </w:p>
          <w:p>
            <w:pPr>
              <w:pStyle w:val="53"/>
              <w:ind w:firstLine="480"/>
              <w:rPr>
                <w:rFonts w:cs="Times New Roman"/>
              </w:rPr>
            </w:pPr>
            <w:r>
              <w:rPr>
                <w:rFonts w:hint="eastAsia"/>
              </w:rPr>
              <w:t>占地主要包括探临道路、井场、放喷管线、生活营地等，总计</w:t>
            </w:r>
            <w:r>
              <w:t>12877m</w:t>
            </w:r>
            <w:r>
              <w:rPr>
                <w:rFonts w:hint="eastAsia"/>
                <w:vertAlign w:val="superscript"/>
              </w:rPr>
              <w:t>2</w:t>
            </w:r>
            <w:r>
              <w:rPr>
                <w:rFonts w:hint="eastAsia"/>
              </w:rPr>
              <w:t>，均为临时占地。具体</w:t>
            </w:r>
            <w:r>
              <w:rPr>
                <w:rFonts w:hint="eastAsia" w:cs="Times New Roman"/>
              </w:rPr>
              <w:t>见表9</w:t>
            </w:r>
            <w:r>
              <w:rPr>
                <w:rFonts w:cs="Times New Roman"/>
              </w:rPr>
              <w:t>。</w:t>
            </w:r>
          </w:p>
          <w:p>
            <w:pPr>
              <w:pStyle w:val="6"/>
              <w:keepNext/>
            </w:pPr>
            <w:r>
              <w:rPr>
                <w:rFonts w:hint="eastAsia"/>
              </w:rPr>
              <w:t>表9</w:t>
            </w:r>
            <w:r>
              <w:rPr>
                <w:rFonts w:hAnsi="Times New Roman"/>
                <w:szCs w:val="21"/>
              </w:rPr>
              <w:t xml:space="preserve">    </w:t>
            </w:r>
            <w:r>
              <w:rPr>
                <w:rFonts w:hint="eastAsia" w:hAnsi="Times New Roman"/>
                <w:szCs w:val="21"/>
              </w:rPr>
              <w:t>工程占地一览表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1006"/>
              <w:gridCol w:w="1801"/>
              <w:gridCol w:w="856"/>
              <w:gridCol w:w="1239"/>
              <w:gridCol w:w="905"/>
              <w:gridCol w:w="836"/>
              <w:gridCol w:w="100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714" w:type="pct"/>
                  <w:tcMar>
                    <w:left w:w="0" w:type="dxa"/>
                    <w:right w:w="0" w:type="dxa"/>
                  </w:tcMar>
                  <w:vAlign w:val="center"/>
                </w:tcPr>
                <w:p>
                  <w:pPr>
                    <w:pStyle w:val="49"/>
                    <w:spacing w:line="300" w:lineRule="exact"/>
                  </w:pPr>
                  <w:bookmarkStart w:id="24" w:name="_Hlk117811659"/>
                  <w:r>
                    <w:rPr>
                      <w:rFonts w:hint="eastAsia"/>
                    </w:rPr>
                    <w:t>施工井场</w:t>
                  </w:r>
                </w:p>
                <w:p>
                  <w:pPr>
                    <w:pStyle w:val="49"/>
                    <w:spacing w:line="300" w:lineRule="exact"/>
                  </w:pPr>
                  <w:r>
                    <w:rPr>
                      <w:rFonts w:hint="eastAsia"/>
                    </w:rPr>
                    <w:t>（m×m）</w:t>
                  </w:r>
                </w:p>
              </w:tc>
              <w:tc>
                <w:tcPr>
                  <w:tcW w:w="837" w:type="pct"/>
                  <w:tcMar>
                    <w:left w:w="0" w:type="dxa"/>
                    <w:right w:w="0" w:type="dxa"/>
                  </w:tcMar>
                  <w:vAlign w:val="center"/>
                </w:tcPr>
                <w:p>
                  <w:pPr>
                    <w:pStyle w:val="49"/>
                    <w:spacing w:line="300" w:lineRule="exact"/>
                  </w:pPr>
                  <w:r>
                    <w:rPr>
                      <w:rFonts w:hint="eastAsia"/>
                    </w:rPr>
                    <w:t>放喷管线</w:t>
                  </w:r>
                </w:p>
                <w:p>
                  <w:pPr>
                    <w:pStyle w:val="49"/>
                    <w:spacing w:line="300" w:lineRule="exact"/>
                  </w:pPr>
                  <w:r>
                    <w:rPr>
                      <w:rFonts w:hint="eastAsia"/>
                    </w:rPr>
                    <w:t>（m×m）</w:t>
                  </w:r>
                </w:p>
              </w:tc>
              <w:tc>
                <w:tcPr>
                  <w:tcW w:w="593" w:type="pct"/>
                  <w:tcMar>
                    <w:left w:w="0" w:type="dxa"/>
                    <w:right w:w="0" w:type="dxa"/>
                  </w:tcMar>
                  <w:vAlign w:val="center"/>
                </w:tcPr>
                <w:p>
                  <w:pPr>
                    <w:pStyle w:val="49"/>
                    <w:spacing w:line="300" w:lineRule="exact"/>
                  </w:pPr>
                  <w:r>
                    <w:rPr>
                      <w:rFonts w:hint="eastAsia"/>
                    </w:rPr>
                    <w:t>生活营地（m×m）</w:t>
                  </w:r>
                </w:p>
              </w:tc>
              <w:tc>
                <w:tcPr>
                  <w:tcW w:w="890" w:type="pct"/>
                  <w:tcMar>
                    <w:left w:w="0" w:type="dxa"/>
                    <w:right w:w="0" w:type="dxa"/>
                  </w:tcMar>
                  <w:vAlign w:val="center"/>
                </w:tcPr>
                <w:p>
                  <w:pPr>
                    <w:pStyle w:val="49"/>
                    <w:spacing w:line="300" w:lineRule="exact"/>
                  </w:pPr>
                  <w:r>
                    <w:rPr>
                      <w:rFonts w:hint="eastAsia"/>
                    </w:rPr>
                    <w:t>钻井液不落地设备（m×m）</w:t>
                  </w:r>
                </w:p>
              </w:tc>
              <w:tc>
                <w:tcPr>
                  <w:tcW w:w="648" w:type="pct"/>
                  <w:tcMar>
                    <w:left w:w="0" w:type="dxa"/>
                    <w:right w:w="0" w:type="dxa"/>
                  </w:tcMar>
                  <w:vAlign w:val="center"/>
                </w:tcPr>
                <w:p>
                  <w:pPr>
                    <w:pStyle w:val="49"/>
                    <w:spacing w:line="300" w:lineRule="exact"/>
                  </w:pPr>
                  <w:r>
                    <w:rPr>
                      <w:rFonts w:hint="eastAsia"/>
                    </w:rPr>
                    <w:t>探临道路</w:t>
                  </w:r>
                </w:p>
                <w:p>
                  <w:pPr>
                    <w:pStyle w:val="49"/>
                    <w:spacing w:line="300" w:lineRule="exact"/>
                  </w:pPr>
                  <w:r>
                    <w:rPr>
                      <w:rFonts w:hint="eastAsia"/>
                    </w:rPr>
                    <w:t>（m×m）</w:t>
                  </w:r>
                </w:p>
              </w:tc>
              <w:tc>
                <w:tcPr>
                  <w:tcW w:w="603" w:type="pct"/>
                  <w:tcMar>
                    <w:left w:w="0" w:type="dxa"/>
                    <w:right w:w="0" w:type="dxa"/>
                  </w:tcMar>
                  <w:vAlign w:val="center"/>
                </w:tcPr>
                <w:p>
                  <w:pPr>
                    <w:pStyle w:val="49"/>
                    <w:spacing w:line="300" w:lineRule="exact"/>
                  </w:pPr>
                  <w:r>
                    <w:rPr>
                      <w:rFonts w:hint="eastAsia"/>
                    </w:rPr>
                    <w:t>放喷池</w:t>
                  </w:r>
                </w:p>
                <w:p>
                  <w:pPr>
                    <w:pStyle w:val="49"/>
                    <w:spacing w:line="300" w:lineRule="exact"/>
                  </w:pPr>
                  <w:r>
                    <w:rPr>
                      <w:rFonts w:hint="eastAsia"/>
                    </w:rPr>
                    <w:t>m×m）</w:t>
                  </w:r>
                </w:p>
              </w:tc>
              <w:tc>
                <w:tcPr>
                  <w:tcW w:w="714" w:type="pct"/>
                  <w:tcMar>
                    <w:left w:w="0" w:type="dxa"/>
                    <w:right w:w="0" w:type="dxa"/>
                  </w:tcMar>
                  <w:vAlign w:val="center"/>
                </w:tcPr>
                <w:p>
                  <w:pPr>
                    <w:pStyle w:val="49"/>
                    <w:spacing w:line="300" w:lineRule="exact"/>
                  </w:pPr>
                  <w:r>
                    <w:rPr>
                      <w:rFonts w:hint="eastAsia"/>
                    </w:rPr>
                    <w:t>总占地面积（m</w:t>
                  </w:r>
                  <w:r>
                    <w:rPr>
                      <w:rFonts w:hint="eastAsia"/>
                      <w:vertAlign w:val="superscript"/>
                    </w:rPr>
                    <w:t>2</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13" w:hRule="atLeast"/>
                <w:jc w:val="center"/>
              </w:trPr>
              <w:tc>
                <w:tcPr>
                  <w:tcW w:w="714" w:type="pct"/>
                  <w:tcMar>
                    <w:left w:w="0" w:type="dxa"/>
                    <w:right w:w="0" w:type="dxa"/>
                  </w:tcMar>
                  <w:vAlign w:val="center"/>
                </w:tcPr>
                <w:p>
                  <w:pPr>
                    <w:pStyle w:val="49"/>
                    <w:spacing w:line="300" w:lineRule="exact"/>
                  </w:pPr>
                  <w:r>
                    <w:rPr>
                      <w:kern w:val="0"/>
                    </w:rPr>
                    <w:t>95</w:t>
                  </w:r>
                  <w:r>
                    <w:rPr>
                      <w:rFonts w:hint="eastAsia"/>
                      <w:kern w:val="0"/>
                    </w:rPr>
                    <w:t>×</w:t>
                  </w:r>
                  <w:r>
                    <w:rPr>
                      <w:kern w:val="0"/>
                    </w:rPr>
                    <w:t>85</w:t>
                  </w:r>
                </w:p>
              </w:tc>
              <w:tc>
                <w:tcPr>
                  <w:tcW w:w="837" w:type="pct"/>
                  <w:tcMar>
                    <w:left w:w="0" w:type="dxa"/>
                    <w:right w:w="0" w:type="dxa"/>
                  </w:tcMar>
                  <w:vAlign w:val="center"/>
                </w:tcPr>
                <w:p>
                  <w:pPr>
                    <w:pStyle w:val="49"/>
                    <w:spacing w:line="300" w:lineRule="exact"/>
                  </w:pPr>
                  <w:r>
                    <w:t>30</w:t>
                  </w:r>
                  <w:r>
                    <w:rPr>
                      <w:rFonts w:hint="eastAsia"/>
                    </w:rPr>
                    <w:t>×</w:t>
                  </w:r>
                  <w:r>
                    <w:t>2+25</w:t>
                  </w:r>
                  <w:r>
                    <w:rPr>
                      <w:rFonts w:hint="eastAsia"/>
                    </w:rPr>
                    <w:t>×</w:t>
                  </w:r>
                  <w:r>
                    <w:t>3</w:t>
                  </w:r>
                  <w:r>
                    <w:rPr>
                      <w:rFonts w:hint="eastAsia"/>
                    </w:rPr>
                    <w:t>+</w:t>
                  </w:r>
                  <w:r>
                    <w:t>10</w:t>
                  </w:r>
                  <w:r>
                    <w:rPr>
                      <w:rFonts w:hint="eastAsia"/>
                    </w:rPr>
                    <w:t>×2</w:t>
                  </w:r>
                </w:p>
              </w:tc>
              <w:tc>
                <w:tcPr>
                  <w:tcW w:w="593" w:type="pct"/>
                  <w:tcMar>
                    <w:left w:w="0" w:type="dxa"/>
                    <w:right w:w="0" w:type="dxa"/>
                  </w:tcMar>
                  <w:vAlign w:val="center"/>
                </w:tcPr>
                <w:p>
                  <w:pPr>
                    <w:pStyle w:val="49"/>
                    <w:spacing w:line="300" w:lineRule="exact"/>
                  </w:pPr>
                  <w:r>
                    <w:t>35</w:t>
                  </w:r>
                  <w:r>
                    <w:rPr>
                      <w:rFonts w:hint="eastAsia"/>
                    </w:rPr>
                    <w:t>×</w:t>
                  </w:r>
                  <w:r>
                    <w:t>55</w:t>
                  </w:r>
                </w:p>
              </w:tc>
              <w:tc>
                <w:tcPr>
                  <w:tcW w:w="890" w:type="pct"/>
                  <w:tcMar>
                    <w:left w:w="0" w:type="dxa"/>
                    <w:right w:w="0" w:type="dxa"/>
                  </w:tcMar>
                  <w:vAlign w:val="center"/>
                </w:tcPr>
                <w:p>
                  <w:pPr>
                    <w:pStyle w:val="49"/>
                    <w:spacing w:line="300" w:lineRule="exact"/>
                  </w:pPr>
                  <w:r>
                    <w:t>45</w:t>
                  </w:r>
                  <w:r>
                    <w:rPr>
                      <w:rFonts w:hint="eastAsia"/>
                    </w:rPr>
                    <w:t>×</w:t>
                  </w:r>
                  <w:r>
                    <w:t>10</w:t>
                  </w:r>
                </w:p>
              </w:tc>
              <w:tc>
                <w:tcPr>
                  <w:tcW w:w="648" w:type="pct"/>
                  <w:tcMar>
                    <w:left w:w="0" w:type="dxa"/>
                    <w:right w:w="0" w:type="dxa"/>
                  </w:tcMar>
                  <w:vAlign w:val="center"/>
                </w:tcPr>
                <w:p>
                  <w:pPr>
                    <w:pStyle w:val="49"/>
                    <w:spacing w:line="300" w:lineRule="exact"/>
                  </w:pPr>
                  <w:r>
                    <w:t>259</w:t>
                  </w:r>
                  <w:r>
                    <w:rPr>
                      <w:rFonts w:hint="eastAsia"/>
                    </w:rPr>
                    <w:t>×</w:t>
                  </w:r>
                  <w:r>
                    <w:t>8</w:t>
                  </w:r>
                </w:p>
              </w:tc>
              <w:tc>
                <w:tcPr>
                  <w:tcW w:w="603" w:type="pct"/>
                  <w:noWrap/>
                  <w:tcMar>
                    <w:left w:w="0" w:type="dxa"/>
                    <w:right w:w="0" w:type="dxa"/>
                  </w:tcMar>
                  <w:vAlign w:val="center"/>
                </w:tcPr>
                <w:p>
                  <w:pPr>
                    <w:pStyle w:val="49"/>
                    <w:spacing w:line="300" w:lineRule="exact"/>
                  </w:pPr>
                  <w:r>
                    <w:rPr>
                      <w:rFonts w:hint="eastAsia"/>
                    </w:rPr>
                    <w:t>1</w:t>
                  </w:r>
                  <w:r>
                    <w:t>0</w:t>
                  </w:r>
                  <w:r>
                    <w:rPr>
                      <w:rFonts w:hint="eastAsia"/>
                    </w:rPr>
                    <w:t>×</w:t>
                  </w:r>
                  <w:r>
                    <w:t>20</w:t>
                  </w:r>
                </w:p>
              </w:tc>
              <w:tc>
                <w:tcPr>
                  <w:tcW w:w="714" w:type="pct"/>
                  <w:tcMar>
                    <w:left w:w="0" w:type="dxa"/>
                    <w:right w:w="0" w:type="dxa"/>
                  </w:tcMar>
                  <w:vAlign w:val="center"/>
                </w:tcPr>
                <w:p>
                  <w:pPr>
                    <w:pStyle w:val="49"/>
                    <w:spacing w:line="300" w:lineRule="exact"/>
                  </w:pPr>
                  <w: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26" w:hRule="atLeast"/>
                <w:jc w:val="center"/>
              </w:trPr>
              <w:tc>
                <w:tcPr>
                  <w:tcW w:w="714" w:type="pct"/>
                  <w:tcMar>
                    <w:left w:w="0" w:type="dxa"/>
                    <w:right w:w="0" w:type="dxa"/>
                  </w:tcMar>
                  <w:vAlign w:val="center"/>
                </w:tcPr>
                <w:p>
                  <w:pPr>
                    <w:pStyle w:val="49"/>
                    <w:spacing w:line="300" w:lineRule="exact"/>
                  </w:pPr>
                  <w:r>
                    <w:t>8075</w:t>
                  </w:r>
                </w:p>
              </w:tc>
              <w:tc>
                <w:tcPr>
                  <w:tcW w:w="837" w:type="pct"/>
                  <w:tcMar>
                    <w:left w:w="0" w:type="dxa"/>
                    <w:right w:w="0" w:type="dxa"/>
                  </w:tcMar>
                  <w:vAlign w:val="center"/>
                </w:tcPr>
                <w:p>
                  <w:pPr>
                    <w:pStyle w:val="49"/>
                    <w:spacing w:line="300" w:lineRule="exact"/>
                  </w:pPr>
                  <w:r>
                    <w:t>155</w:t>
                  </w:r>
                </w:p>
              </w:tc>
              <w:tc>
                <w:tcPr>
                  <w:tcW w:w="593" w:type="pct"/>
                  <w:tcMar>
                    <w:left w:w="0" w:type="dxa"/>
                    <w:right w:w="0" w:type="dxa"/>
                  </w:tcMar>
                  <w:vAlign w:val="center"/>
                </w:tcPr>
                <w:p>
                  <w:pPr>
                    <w:pStyle w:val="49"/>
                    <w:spacing w:line="300" w:lineRule="exact"/>
                  </w:pPr>
                  <w:r>
                    <w:t>1925</w:t>
                  </w:r>
                </w:p>
              </w:tc>
              <w:tc>
                <w:tcPr>
                  <w:tcW w:w="890" w:type="pct"/>
                  <w:tcMar>
                    <w:left w:w="0" w:type="dxa"/>
                    <w:right w:w="0" w:type="dxa"/>
                  </w:tcMar>
                  <w:vAlign w:val="center"/>
                </w:tcPr>
                <w:p>
                  <w:pPr>
                    <w:pStyle w:val="49"/>
                    <w:spacing w:line="300" w:lineRule="exact"/>
                  </w:pPr>
                  <w:r>
                    <w:t>450</w:t>
                  </w:r>
                </w:p>
              </w:tc>
              <w:tc>
                <w:tcPr>
                  <w:tcW w:w="648" w:type="pct"/>
                  <w:tcMar>
                    <w:left w:w="0" w:type="dxa"/>
                    <w:right w:w="0" w:type="dxa"/>
                  </w:tcMar>
                  <w:vAlign w:val="center"/>
                </w:tcPr>
                <w:p>
                  <w:pPr>
                    <w:pStyle w:val="49"/>
                    <w:spacing w:line="300" w:lineRule="exact"/>
                  </w:pPr>
                  <w:r>
                    <w:t>2072</w:t>
                  </w:r>
                </w:p>
              </w:tc>
              <w:tc>
                <w:tcPr>
                  <w:tcW w:w="603" w:type="pct"/>
                  <w:noWrap/>
                  <w:tcMar>
                    <w:left w:w="0" w:type="dxa"/>
                    <w:right w:w="0" w:type="dxa"/>
                  </w:tcMar>
                  <w:vAlign w:val="center"/>
                </w:tcPr>
                <w:p>
                  <w:pPr>
                    <w:pStyle w:val="49"/>
                    <w:spacing w:line="300" w:lineRule="exact"/>
                  </w:pPr>
                  <w:r>
                    <w:rPr>
                      <w:rFonts w:hint="eastAsia"/>
                    </w:rPr>
                    <w:t>2</w:t>
                  </w:r>
                  <w:r>
                    <w:t>00</w:t>
                  </w:r>
                </w:p>
              </w:tc>
              <w:tc>
                <w:tcPr>
                  <w:tcW w:w="714" w:type="pct"/>
                  <w:tcMar>
                    <w:left w:w="0" w:type="dxa"/>
                    <w:right w:w="0" w:type="dxa"/>
                  </w:tcMar>
                  <w:vAlign w:val="center"/>
                </w:tcPr>
                <w:p>
                  <w:pPr>
                    <w:pStyle w:val="49"/>
                    <w:spacing w:line="300" w:lineRule="exact"/>
                  </w:pPr>
                  <w:r>
                    <w:rPr>
                      <w:rFonts w:hint="eastAsia"/>
                    </w:rPr>
                    <w:t>1</w:t>
                  </w:r>
                  <w:r>
                    <w:t>2877</w:t>
                  </w:r>
                </w:p>
              </w:tc>
            </w:tr>
            <w:bookmarkEnd w:id="24"/>
          </w:tbl>
          <w:p>
            <w:pPr>
              <w:pStyle w:val="53"/>
              <w:ind w:firstLine="480"/>
            </w:pPr>
            <w:bookmarkStart w:id="25" w:name="_Hlk117989880"/>
            <w:r>
              <w:rPr>
                <w:rFonts w:hint="eastAsia"/>
              </w:rPr>
              <w:t>（2）对植被的影响分析</w:t>
            </w:r>
          </w:p>
          <w:p>
            <w:pPr>
              <w:pStyle w:val="46"/>
              <w:ind w:firstLine="480"/>
            </w:pPr>
            <w:r>
              <w:rPr>
                <w:rFonts w:hint="eastAsia"/>
              </w:rPr>
              <w:t>井场平整、铺垫、钻机基础建设、生活营地和井场探临道路建设、设备进场及各施工阶段的人类活动是造成植被破坏的主要原因，在井场、生活营地和探临道路等选址选线及项目施工过程中应尽量避让植被密集区域避免破坏荒漠植物（尤其是自治区Ⅰ级保护植物—梭梭），严格控制施工占地范围，最大限度避免和减少对野生动物的活动场所和生存环境的破坏，对于无法避让的情况，应及时缴纳生态补偿费。施工活动对植被主要影响形式是对土地的占用以及施工阶段清场过程中对地表植被的清理及施工过程中的辗压。井场和探临道路施工过程中有部分地表土地被各种钻井设备或砾石覆盖钻试活动结束后，临时占地全部释放，重新回到原来的自然状态。在完井后的2～3年，占地范围内的植被初级生产力将逐渐恢复。</w:t>
            </w:r>
          </w:p>
          <w:bookmarkEnd w:id="25"/>
          <w:p>
            <w:pPr>
              <w:pStyle w:val="53"/>
              <w:ind w:firstLine="480"/>
              <w:jc w:val="left"/>
            </w:pPr>
            <w:r>
              <w:rPr>
                <w:rFonts w:hint="eastAsia"/>
              </w:rPr>
              <w:t>（3）对野生动物的影响分析</w:t>
            </w:r>
          </w:p>
          <w:p>
            <w:pPr>
              <w:pStyle w:val="46"/>
              <w:ind w:firstLine="480"/>
            </w:pPr>
            <w:r>
              <w:rPr>
                <w:rFonts w:hint="eastAsia"/>
              </w:rPr>
              <w:t>项目的实施对野生动物的影响主要分为直接影响和间接影响两个方面。直接影响主要表现为建设项目占地，使野生动物的生存环境被破坏或改变；间接影响主要表现为由于植被的减少或污染破坏而引起野生动物食物来源减少。由于评价区域野生动物数量少，且不是野生动物的唯一栖息地，不会对动物产生明显影响。</w:t>
            </w:r>
          </w:p>
          <w:p>
            <w:pPr>
              <w:pStyle w:val="53"/>
              <w:ind w:left="2" w:firstLine="480"/>
            </w:pPr>
            <w:r>
              <w:rPr>
                <w:rFonts w:hint="eastAsia"/>
              </w:rPr>
              <w:t>（</w:t>
            </w:r>
            <w:r>
              <w:t>4</w:t>
            </w:r>
            <w:r>
              <w:rPr>
                <w:rFonts w:hint="eastAsia"/>
              </w:rPr>
              <w:t>）对区域沙化土地的影响分析</w:t>
            </w:r>
          </w:p>
          <w:p>
            <w:pPr>
              <w:pStyle w:val="53"/>
              <w:spacing w:line="480" w:lineRule="exact"/>
              <w:ind w:firstLine="480"/>
            </w:pPr>
            <w:r>
              <w:rPr>
                <w:rFonts w:hint="eastAsia"/>
              </w:rPr>
              <w:t>钻前工程及钻试工程各项施工活动中将会破坏占地范围内的土壤表层稳定结皮和地表荒漠植被，项目所在区域具有多风、降水量偏低等气候特征，地表稳定结皮被破坏后，在大风天气条件下，施工会使占地范围内的土地就地起沙，局部形成沙化土地。</w:t>
            </w:r>
          </w:p>
          <w:p>
            <w:pPr>
              <w:pStyle w:val="53"/>
              <w:ind w:firstLine="480"/>
            </w:pPr>
            <w:r>
              <w:rPr>
                <w:rFonts w:hint="eastAsia"/>
              </w:rPr>
              <w:t>（</w:t>
            </w:r>
            <w:r>
              <w:t>5</w:t>
            </w:r>
            <w:r>
              <w:rPr>
                <w:rFonts w:hint="eastAsia"/>
              </w:rPr>
              <w:t>）土壤环境影响分析</w:t>
            </w:r>
          </w:p>
          <w:p>
            <w:pPr>
              <w:pStyle w:val="53"/>
              <w:ind w:firstLine="480"/>
              <w:rPr>
                <w:rFonts w:cs="Times New Roman"/>
              </w:rPr>
            </w:pPr>
            <w:r>
              <w:rPr>
                <w:rFonts w:hint="eastAsia" w:cs="Times New Roman"/>
              </w:rPr>
              <w:t>钻前工程及钻试工程各项施工活动不可避免的会对土壤造成人为扰动，钻井井场、生活营地、探临道路等占地，以及施工材料堆积、挖掘、辗压、踩踏等均改变原有的土壤结构和理化性质，机械碾压的结果使土壤紧实度增高，地表水入渗减少，土壤团粒结构遭到破坏，不利于野生植被的恢复。施工结束后临时占地得到释放，影响时间短，对原有的土壤结构和理化性质影响不大。</w:t>
            </w:r>
          </w:p>
          <w:p>
            <w:pPr>
              <w:pStyle w:val="53"/>
              <w:ind w:firstLine="482"/>
              <w:rPr>
                <w:b/>
                <w:bCs/>
              </w:rPr>
            </w:pPr>
            <w:r>
              <w:rPr>
                <w:rFonts w:hint="eastAsia"/>
                <w:b/>
                <w:bCs/>
              </w:rPr>
              <w:t>2、水土流失影响分析</w:t>
            </w:r>
          </w:p>
          <w:p>
            <w:pPr>
              <w:pStyle w:val="46"/>
              <w:ind w:firstLine="480"/>
            </w:pPr>
            <w:r>
              <w:rPr>
                <w:rFonts w:hint="eastAsia"/>
              </w:rPr>
              <w:t>施工过程中将破坏地表原有稳定结构，施工作业范围内的土壤表层遭到破坏，下层的粉细物质暴露在地层表面，在风力的作用下，风蚀量会明显加大，这种影响在短时间内不会完全恢复。但随着时间的延长、土壤结构的变化以及地表植被的恢复，风蚀量会随着地表新保护层的逐渐形成而减弱，水土流失的程度会慢慢减轻。</w:t>
            </w:r>
          </w:p>
          <w:p>
            <w:pPr>
              <w:widowControl/>
              <w:snapToGrid w:val="0"/>
              <w:spacing w:line="500" w:lineRule="exact"/>
              <w:ind w:firstLine="482" w:firstLineChars="200"/>
              <w:rPr>
                <w:rFonts w:ascii="宋体" w:hAnsi="宋体" w:cs="宋体"/>
                <w:b/>
                <w:bCs/>
                <w:sz w:val="24"/>
              </w:rPr>
            </w:pPr>
            <w:r>
              <w:rPr>
                <w:rFonts w:ascii="宋体" w:hAnsi="宋体" w:cs="宋体"/>
                <w:b/>
                <w:bCs/>
                <w:sz w:val="24"/>
              </w:rPr>
              <w:t>3</w:t>
            </w:r>
            <w:r>
              <w:rPr>
                <w:rFonts w:hint="eastAsia" w:ascii="宋体" w:hAnsi="宋体" w:cs="宋体"/>
                <w:b/>
                <w:bCs/>
                <w:sz w:val="24"/>
              </w:rPr>
              <w:t>、大气环境影响分析</w:t>
            </w:r>
          </w:p>
          <w:p>
            <w:pPr>
              <w:pStyle w:val="46"/>
              <w:ind w:firstLine="480"/>
            </w:pPr>
            <w:r>
              <w:rPr>
                <w:rFonts w:hint="eastAsia"/>
              </w:rPr>
              <w:t>废气主要为柴油机、发电机及各类施工机械燃料燃烧烟气、伴生气放空产生的燃烧烟气以及施工扬尘。</w:t>
            </w:r>
          </w:p>
          <w:p>
            <w:pPr>
              <w:pStyle w:val="46"/>
              <w:ind w:firstLine="480"/>
            </w:pPr>
            <w:r>
              <w:t>根据</w:t>
            </w:r>
            <w:r>
              <w:rPr>
                <w:rFonts w:hint="eastAsia"/>
              </w:rPr>
              <w:t>国家环境工程评估中心编制的</w:t>
            </w:r>
            <w:r>
              <w:t>《社会区域类环境影响评价》一书中</w:t>
            </w:r>
            <w:r>
              <w:rPr>
                <w:rFonts w:hint="eastAsia"/>
              </w:rPr>
              <w:t>提供的资料</w:t>
            </w:r>
            <w:r>
              <w:t>，柴油</w:t>
            </w:r>
            <w:r>
              <w:rPr>
                <w:rFonts w:hint="eastAsia"/>
              </w:rPr>
              <w:t>燃烧</w:t>
            </w:r>
            <w:r>
              <w:t>产污系数为</w:t>
            </w:r>
            <w:r>
              <w:rPr>
                <w:rFonts w:hint="eastAsia"/>
              </w:rPr>
              <w:t>；</w:t>
            </w:r>
            <w:r>
              <w:t>SO</w:t>
            </w:r>
            <w:r>
              <w:rPr>
                <w:vertAlign w:val="subscript"/>
              </w:rPr>
              <w:t>2</w:t>
            </w:r>
            <w:r>
              <w:rPr>
                <w:rFonts w:hint="eastAsia"/>
              </w:rPr>
              <w:t>：</w:t>
            </w:r>
            <w:r>
              <w:t>2.24kg/t，NO</w:t>
            </w:r>
            <w:r>
              <w:rPr>
                <w:vertAlign w:val="subscript"/>
              </w:rPr>
              <w:t>x</w:t>
            </w:r>
            <w:r>
              <w:rPr>
                <w:rFonts w:hint="eastAsia"/>
              </w:rPr>
              <w:t>：</w:t>
            </w:r>
            <w:r>
              <w:t>2.92kg/t，总烃</w:t>
            </w:r>
            <w:r>
              <w:rPr>
                <w:rFonts w:hint="eastAsia"/>
              </w:rPr>
              <w:t>：</w:t>
            </w:r>
            <w:r>
              <w:t>2.13kg/t</w:t>
            </w:r>
            <w:r>
              <w:rPr>
                <w:rFonts w:hint="eastAsia"/>
              </w:rPr>
              <w:t>，本次柴油消耗量约</w:t>
            </w:r>
            <w:r>
              <w:t>203</w:t>
            </w:r>
            <w:r>
              <w:rPr>
                <w:rFonts w:hint="eastAsia"/>
              </w:rPr>
              <w:t>t，</w:t>
            </w:r>
            <w:bookmarkStart w:id="26" w:name="_Hlk15402090"/>
            <w:r>
              <w:rPr>
                <w:rFonts w:hint="eastAsia"/>
              </w:rPr>
              <w:t>钻试期污染物排放总量约为</w:t>
            </w:r>
            <w:bookmarkEnd w:id="26"/>
            <w:r>
              <w:rPr>
                <w:rFonts w:hint="eastAsia"/>
              </w:rPr>
              <w:t>SO</w:t>
            </w:r>
            <w:r>
              <w:rPr>
                <w:vertAlign w:val="subscript"/>
              </w:rPr>
              <w:t>2</w:t>
            </w:r>
            <w:r>
              <w:rPr>
                <w:rFonts w:hint="eastAsia"/>
              </w:rPr>
              <w:t>：</w:t>
            </w:r>
            <w:r>
              <w:t>0.45</w:t>
            </w:r>
            <w:r>
              <w:rPr>
                <w:rFonts w:hint="eastAsia"/>
              </w:rPr>
              <w:t>t，NO</w:t>
            </w:r>
            <w:r>
              <w:rPr>
                <w:rFonts w:hint="eastAsia"/>
                <w:vertAlign w:val="subscript"/>
              </w:rPr>
              <w:t>x</w:t>
            </w:r>
            <w:r>
              <w:rPr>
                <w:rFonts w:hint="eastAsia"/>
              </w:rPr>
              <w:t>：</w:t>
            </w:r>
            <w:r>
              <w:t>0.59</w:t>
            </w:r>
            <w:r>
              <w:rPr>
                <w:rFonts w:hint="eastAsia"/>
              </w:rPr>
              <w:t>t，总烃：</w:t>
            </w:r>
            <w:r>
              <w:t>0.43</w:t>
            </w:r>
            <w:r>
              <w:rPr>
                <w:rFonts w:hint="eastAsia"/>
              </w:rPr>
              <w:t>t。</w:t>
            </w:r>
          </w:p>
          <w:p>
            <w:pPr>
              <w:pStyle w:val="46"/>
              <w:ind w:firstLine="480"/>
              <w:rPr>
                <w:szCs w:val="20"/>
                <w:lang w:bidi="ar"/>
              </w:rPr>
            </w:pPr>
            <w:r>
              <w:rPr>
                <w:rFonts w:hint="eastAsia"/>
                <w:szCs w:val="20"/>
                <w:lang w:bidi="ar"/>
              </w:rPr>
              <w:t>伴生气产生量不稳定无法进行回收，经过气液分离后通过排气管线燃烧后放空，属于阶段性排放，随着试油的结束而停止排放；</w:t>
            </w:r>
            <w:r>
              <w:rPr>
                <w:rFonts w:hint="eastAsia"/>
              </w:rPr>
              <w:t>施工扬尘仅在井场平整、探临道路及生活营地建设等作业时产生，排放时段较为集中且影响时段短。</w:t>
            </w:r>
          </w:p>
          <w:p>
            <w:pPr>
              <w:pStyle w:val="46"/>
              <w:ind w:firstLine="476"/>
              <w:rPr>
                <w:spacing w:val="-2"/>
              </w:rPr>
            </w:pPr>
            <w:r>
              <w:rPr>
                <w:rFonts w:hint="eastAsia"/>
                <w:spacing w:val="-2"/>
              </w:rPr>
              <w:t>施工期废气随着钻前工程、钻井及试油的结束而停止排放，且周边无集中居民区，地域空旷、扩散条件良好，因此废气对大气环境影响不大。</w:t>
            </w:r>
          </w:p>
          <w:p>
            <w:pPr>
              <w:widowControl/>
              <w:snapToGrid w:val="0"/>
              <w:spacing w:line="500" w:lineRule="exact"/>
              <w:ind w:firstLine="482" w:firstLineChars="200"/>
              <w:rPr>
                <w:rFonts w:ascii="宋体" w:hAnsi="宋体" w:cs="宋体"/>
                <w:b/>
                <w:bCs/>
                <w:sz w:val="24"/>
              </w:rPr>
            </w:pPr>
            <w:r>
              <w:rPr>
                <w:rFonts w:ascii="宋体" w:hAnsi="宋体" w:cs="宋体"/>
                <w:b/>
                <w:bCs/>
                <w:sz w:val="24"/>
              </w:rPr>
              <w:t>4</w:t>
            </w:r>
            <w:r>
              <w:rPr>
                <w:rFonts w:hint="eastAsia" w:ascii="宋体" w:hAnsi="宋体" w:cs="宋体"/>
                <w:b/>
                <w:bCs/>
                <w:sz w:val="24"/>
              </w:rPr>
              <w:t>、水环境影响分析</w:t>
            </w:r>
          </w:p>
          <w:p>
            <w:pPr>
              <w:pStyle w:val="46"/>
              <w:ind w:firstLine="480"/>
              <w:rPr>
                <w:rFonts w:ascii="等线" w:hAnsi="等线"/>
              </w:rPr>
            </w:pPr>
            <w:r>
              <w:rPr>
                <w:rFonts w:hint="eastAsia" w:ascii="等线" w:hAnsi="等线"/>
              </w:rPr>
              <w:t>废水主要为试油期废水及生活污水。</w:t>
            </w:r>
          </w:p>
          <w:p>
            <w:pPr>
              <w:pStyle w:val="46"/>
              <w:ind w:firstLine="480"/>
            </w:pPr>
            <w:r>
              <w:rPr>
                <w:rFonts w:hint="eastAsia"/>
              </w:rPr>
              <w:t>（1）洗井废水和压裂返排液</w:t>
            </w:r>
          </w:p>
          <w:p>
            <w:pPr>
              <w:pStyle w:val="46"/>
              <w:ind w:firstLine="480"/>
            </w:pPr>
            <w:r>
              <w:rPr>
                <w:rFonts w:hint="eastAsia"/>
              </w:rPr>
              <w:t>试油废水主要包括洗井废水和压裂返排液，洗井用水总量约</w:t>
            </w:r>
            <w:r>
              <w:t>600</w:t>
            </w:r>
            <w:r>
              <w:rPr>
                <w:rFonts w:hint="eastAsia"/>
              </w:rPr>
              <w:t>m</w:t>
            </w:r>
            <w:r>
              <w:rPr>
                <w:rFonts w:hint="eastAsia"/>
                <w:vertAlign w:val="superscript"/>
              </w:rPr>
              <w:t>3</w:t>
            </w:r>
            <w:r>
              <w:rPr>
                <w:rFonts w:hint="eastAsia"/>
              </w:rPr>
              <w:t>，全部返回井场设置的储罐，主要污染物为石油类、悬浮物等；压裂液总用量为</w:t>
            </w:r>
            <w:r>
              <w:t>800m</w:t>
            </w:r>
            <w:r>
              <w:rPr>
                <w:vertAlign w:val="superscript"/>
              </w:rPr>
              <w:t>3</w:t>
            </w:r>
            <w:r>
              <w:rPr>
                <w:rFonts w:hint="eastAsia"/>
              </w:rPr>
              <w:t>，</w:t>
            </w:r>
            <w:r>
              <w:rPr>
                <w:rFonts w:hint="eastAsia" w:cs="宋体"/>
                <w:bCs/>
                <w:lang w:bidi="zh-CN"/>
              </w:rPr>
              <w:t>根据建设方提供的数据，压裂液返排率为30%～50%，按环境不利因素考虑，压裂液返排率按5</w:t>
            </w:r>
            <w:r>
              <w:rPr>
                <w:rFonts w:cs="宋体"/>
                <w:bCs/>
                <w:lang w:bidi="zh-CN"/>
              </w:rPr>
              <w:t>0</w:t>
            </w:r>
            <w:r>
              <w:rPr>
                <w:rFonts w:hint="eastAsia" w:cs="宋体"/>
                <w:bCs/>
                <w:lang w:bidi="zh-CN"/>
              </w:rPr>
              <w:t>%计算，则</w:t>
            </w:r>
            <w:r>
              <w:rPr>
                <w:rFonts w:hint="eastAsia"/>
              </w:rPr>
              <w:t>压裂返排液产生量约</w:t>
            </w:r>
            <w:r>
              <w:t>400m</w:t>
            </w:r>
            <w:r>
              <w:rPr>
                <w:vertAlign w:val="superscript"/>
              </w:rPr>
              <w:t>3</w:t>
            </w:r>
            <w:r>
              <w:rPr>
                <w:rFonts w:hint="eastAsia"/>
              </w:rPr>
              <w:t>，主要污染物为悬浮物和石油类；洗井废水和压裂返排液均排至井场井口方罐储存，最终由罐车拉运至车89集中处理站。</w:t>
            </w:r>
          </w:p>
          <w:p>
            <w:pPr>
              <w:pStyle w:val="46"/>
              <w:ind w:firstLine="480"/>
              <w:rPr>
                <w:spacing w:val="-4"/>
              </w:rPr>
            </w:pPr>
            <w:r>
              <w:rPr>
                <w:rFonts w:hint="eastAsia"/>
              </w:rPr>
              <w:t>（2）</w:t>
            </w:r>
            <w:r>
              <w:rPr>
                <w:rFonts w:hint="eastAsia"/>
                <w:spacing w:val="-4"/>
              </w:rPr>
              <w:t>生活污水</w:t>
            </w:r>
          </w:p>
          <w:p>
            <w:pPr>
              <w:pStyle w:val="46"/>
              <w:ind w:firstLine="480"/>
              <w:rPr>
                <w:spacing w:val="-4"/>
              </w:rPr>
            </w:pPr>
            <w:r>
              <w:rPr>
                <w:szCs w:val="18"/>
              </w:rPr>
              <w:t>生活用水量按每人每天20L计，</w:t>
            </w:r>
            <w:r>
              <w:rPr>
                <w:rFonts w:hint="eastAsia"/>
                <w:szCs w:val="18"/>
              </w:rPr>
              <w:t>则</w:t>
            </w:r>
            <w:r>
              <w:rPr>
                <w:szCs w:val="18"/>
              </w:rPr>
              <w:t>生活用水</w:t>
            </w:r>
            <w:r>
              <w:rPr>
                <w:rFonts w:hint="eastAsia"/>
                <w:szCs w:val="18"/>
              </w:rPr>
              <w:t>量合计为</w:t>
            </w:r>
            <w:r>
              <w:rPr>
                <w:szCs w:val="18"/>
              </w:rPr>
              <w:t>44</w:t>
            </w:r>
            <w:r>
              <w:rPr>
                <w:rFonts w:hint="eastAsia"/>
                <w:szCs w:val="18"/>
              </w:rPr>
              <w:t>m³</w:t>
            </w:r>
            <w:r>
              <w:rPr>
                <w:rFonts w:hint="eastAsia"/>
                <w:spacing w:val="-4"/>
              </w:rPr>
              <w:t>，排水按生活用水量的8</w:t>
            </w:r>
            <w:r>
              <w:rPr>
                <w:spacing w:val="-4"/>
              </w:rPr>
              <w:t>0</w:t>
            </w:r>
            <w:r>
              <w:rPr>
                <w:rFonts w:hint="eastAsia"/>
                <w:spacing w:val="-4"/>
              </w:rPr>
              <w:t>%计算，则生活污水产生量为</w:t>
            </w:r>
            <w:r>
              <w:rPr>
                <w:spacing w:val="-4"/>
              </w:rPr>
              <w:t>35m</w:t>
            </w:r>
            <w:r>
              <w:rPr>
                <w:spacing w:val="-4"/>
                <w:vertAlign w:val="superscript"/>
              </w:rPr>
              <w:t>3</w:t>
            </w:r>
            <w:r>
              <w:rPr>
                <w:rFonts w:hint="eastAsia"/>
                <w:spacing w:val="-4"/>
              </w:rPr>
              <w:t>，其排水水质与居民生活污水相近似</w:t>
            </w:r>
            <w:r>
              <w:rPr>
                <w:rFonts w:hint="eastAsia"/>
              </w:rPr>
              <w:t>：化学需氧量（COD</w:t>
            </w:r>
            <w:r>
              <w:rPr>
                <w:rFonts w:hint="eastAsia"/>
                <w:vertAlign w:val="subscript"/>
              </w:rPr>
              <w:t>Cr</w:t>
            </w:r>
            <w:r>
              <w:rPr>
                <w:rFonts w:hint="eastAsia"/>
              </w:rPr>
              <w:t>）浓度350mg/L，氨氮（NH</w:t>
            </w:r>
            <w:r>
              <w:rPr>
                <w:rFonts w:hint="eastAsia"/>
                <w:vertAlign w:val="subscript"/>
              </w:rPr>
              <w:t>3</w:t>
            </w:r>
            <w:r>
              <w:rPr>
                <w:rFonts w:hint="eastAsia"/>
              </w:rPr>
              <w:t>-N）浓度30mg/L，悬浮物（SS）浓度200mg/L，共计产生化学需氧量（COD</w:t>
            </w:r>
            <w:r>
              <w:rPr>
                <w:rFonts w:hint="eastAsia"/>
                <w:vertAlign w:val="subscript"/>
              </w:rPr>
              <w:t>Cr</w:t>
            </w:r>
            <w:r>
              <w:rPr>
                <w:rFonts w:hint="eastAsia"/>
              </w:rPr>
              <w:t>）</w:t>
            </w:r>
            <w:r>
              <w:rPr>
                <w:rFonts w:hint="eastAsia"/>
                <w:spacing w:val="-4"/>
              </w:rPr>
              <w:t>约</w:t>
            </w:r>
            <w:r>
              <w:rPr>
                <w:spacing w:val="-4"/>
              </w:rPr>
              <w:t>0.012</w:t>
            </w:r>
            <w:r>
              <w:rPr>
                <w:rFonts w:hint="eastAsia"/>
                <w:spacing w:val="-4"/>
              </w:rPr>
              <w:t>t，氨氮（NH</w:t>
            </w:r>
            <w:r>
              <w:rPr>
                <w:rFonts w:hint="eastAsia"/>
                <w:spacing w:val="-4"/>
                <w:vertAlign w:val="subscript"/>
              </w:rPr>
              <w:t>3</w:t>
            </w:r>
            <w:r>
              <w:rPr>
                <w:rFonts w:hint="eastAsia"/>
                <w:spacing w:val="-4"/>
              </w:rPr>
              <w:t>-N）约0.00</w:t>
            </w:r>
            <w:r>
              <w:rPr>
                <w:spacing w:val="-4"/>
              </w:rPr>
              <w:t>1</w:t>
            </w:r>
            <w:r>
              <w:rPr>
                <w:rFonts w:hint="eastAsia"/>
                <w:spacing w:val="-4"/>
              </w:rPr>
              <w:t>t，悬浮物（SS）约0</w:t>
            </w:r>
            <w:r>
              <w:rPr>
                <w:spacing w:val="-4"/>
              </w:rPr>
              <w:t>.007</w:t>
            </w:r>
            <w:r>
              <w:rPr>
                <w:rFonts w:hint="eastAsia"/>
                <w:spacing w:val="-4"/>
              </w:rPr>
              <w:t>t。生活污水排至生活营地内设置的临时生活污水储集防渗池，最终清运至克拉玛依市第二污水处理厂处理。</w:t>
            </w:r>
          </w:p>
          <w:p>
            <w:pPr>
              <w:pStyle w:val="46"/>
              <w:ind w:firstLine="480"/>
              <w:rPr>
                <w:rFonts w:cs="宋体"/>
              </w:rPr>
            </w:pPr>
            <w:r>
              <w:rPr>
                <w:rFonts w:hint="eastAsia" w:cs="宋体"/>
              </w:rPr>
              <w:t>（3）对地下水影响分析</w:t>
            </w:r>
          </w:p>
          <w:p>
            <w:pPr>
              <w:pStyle w:val="46"/>
              <w:ind w:firstLine="476"/>
              <w:rPr>
                <w:rFonts w:cs="宋体"/>
              </w:rPr>
            </w:pPr>
            <w:r>
              <w:rPr>
                <w:rFonts w:hint="eastAsia" w:cs="宋体"/>
                <w:spacing w:val="-2"/>
                <w:kern w:val="2"/>
              </w:rPr>
              <w:t>项目区含水层埋深在</w:t>
            </w:r>
            <w:r>
              <w:rPr>
                <w:rFonts w:cs="宋体"/>
                <w:spacing w:val="-2"/>
                <w:kern w:val="2"/>
              </w:rPr>
              <w:t>50</w:t>
            </w:r>
            <w:r>
              <w:rPr>
                <w:rFonts w:hint="eastAsia" w:cs="宋体"/>
                <w:spacing w:val="-2"/>
                <w:kern w:val="2"/>
              </w:rPr>
              <w:t>～</w:t>
            </w:r>
            <w:r>
              <w:rPr>
                <w:rFonts w:cs="宋体"/>
                <w:spacing w:val="-2"/>
                <w:kern w:val="2"/>
              </w:rPr>
              <w:t>100</w:t>
            </w:r>
            <w:r>
              <w:rPr>
                <w:rFonts w:hint="eastAsia" w:cs="宋体"/>
                <w:spacing w:val="-2"/>
                <w:kern w:val="2"/>
              </w:rPr>
              <w:t>m，一开表层套管的下土深度为</w:t>
            </w:r>
            <w:r>
              <w:rPr>
                <w:rFonts w:cs="宋体"/>
                <w:spacing w:val="-2"/>
                <w:kern w:val="2"/>
              </w:rPr>
              <w:t>5</w:t>
            </w:r>
            <w:r>
              <w:rPr>
                <w:rFonts w:hint="eastAsia" w:cs="宋体"/>
                <w:spacing w:val="-2"/>
                <w:kern w:val="2"/>
              </w:rPr>
              <w:t>00m，超出本区域地下水含水层深度，有效隔断了油井与含水层之间的联系，可保护地下水环境不受污染。</w:t>
            </w:r>
            <w:r>
              <w:rPr>
                <w:rFonts w:hint="eastAsia" w:cs="宋体"/>
              </w:rPr>
              <w:t>试油</w:t>
            </w:r>
            <w:r>
              <w:rPr>
                <w:rFonts w:cs="宋体"/>
              </w:rPr>
              <w:t>目的层与地下水处于不同层系，在施工过程中</w:t>
            </w:r>
            <w:r>
              <w:rPr>
                <w:rFonts w:hint="eastAsia" w:cs="宋体"/>
              </w:rPr>
              <w:t>确保套管下入指定深度，有效避免试油作业</w:t>
            </w:r>
            <w:r>
              <w:rPr>
                <w:rFonts w:cs="宋体"/>
              </w:rPr>
              <w:t>对地下水环境的影响。钻井</w:t>
            </w:r>
            <w:r>
              <w:rPr>
                <w:rFonts w:hint="eastAsia" w:cs="宋体"/>
              </w:rPr>
              <w:t>时</w:t>
            </w:r>
            <w:r>
              <w:rPr>
                <w:rFonts w:cs="宋体"/>
              </w:rPr>
              <w:t>严格</w:t>
            </w:r>
            <w:r>
              <w:rPr>
                <w:rFonts w:hint="eastAsia" w:cs="宋体"/>
              </w:rPr>
              <w:t>落实套管下入深度和固井质量合格</w:t>
            </w:r>
            <w:r>
              <w:rPr>
                <w:rFonts w:cs="宋体"/>
              </w:rPr>
              <w:t>，对</w:t>
            </w:r>
            <w:r>
              <w:rPr>
                <w:rFonts w:hint="eastAsia" w:cs="宋体"/>
              </w:rPr>
              <w:t>洗井时</w:t>
            </w:r>
            <w:r>
              <w:rPr>
                <w:rFonts w:cs="宋体"/>
              </w:rPr>
              <w:t>产生的废水进行严格管理，基本不会对所在区域地下水产生影响。</w:t>
            </w:r>
            <w:r>
              <w:rPr>
                <w:rFonts w:hint="eastAsia" w:cs="宋体"/>
              </w:rPr>
              <w:t>井场储罐、发电机、材料堆场、岩屑储罐等关键区域均采用防渗膜防渗。由于所在</w:t>
            </w:r>
            <w:r>
              <w:rPr>
                <w:rFonts w:cs="宋体"/>
              </w:rPr>
              <w:t>区域气候干旱少雨，不存在大量降水的淋滤作用。</w:t>
            </w:r>
          </w:p>
          <w:p>
            <w:pPr>
              <w:pStyle w:val="46"/>
              <w:ind w:firstLine="480"/>
            </w:pPr>
            <w:r>
              <w:rPr>
                <w:rFonts w:hint="eastAsia" w:ascii="等线" w:hAnsi="等线"/>
              </w:rPr>
              <w:t>综上所述，不会对区域地下水产生明显影响</w:t>
            </w:r>
            <w:r>
              <w:rPr>
                <w:rFonts w:hint="eastAsia"/>
              </w:rPr>
              <w:t>。</w:t>
            </w:r>
          </w:p>
          <w:p>
            <w:pPr>
              <w:widowControl/>
              <w:snapToGrid w:val="0"/>
              <w:spacing w:line="500" w:lineRule="exact"/>
              <w:ind w:firstLine="482" w:firstLineChars="200"/>
              <w:rPr>
                <w:rFonts w:ascii="宋体" w:hAnsi="宋体" w:cs="宋体"/>
                <w:b/>
                <w:bCs/>
                <w:sz w:val="24"/>
              </w:rPr>
            </w:pPr>
            <w:r>
              <w:rPr>
                <w:rFonts w:ascii="宋体" w:hAnsi="宋体"/>
                <w:b/>
                <w:bCs/>
                <w:sz w:val="24"/>
              </w:rPr>
              <w:t>5</w:t>
            </w:r>
            <w:r>
              <w:rPr>
                <w:rFonts w:hint="eastAsia" w:ascii="宋体" w:hAnsi="宋体"/>
                <w:b/>
                <w:bCs/>
                <w:sz w:val="24"/>
              </w:rPr>
              <w:t>、</w:t>
            </w:r>
            <w:r>
              <w:rPr>
                <w:rFonts w:hint="eastAsia" w:ascii="宋体" w:hAnsi="宋体" w:cs="宋体"/>
                <w:b/>
                <w:bCs/>
                <w:sz w:val="24"/>
              </w:rPr>
              <w:t>声环境影响分析</w:t>
            </w:r>
          </w:p>
          <w:p>
            <w:pPr>
              <w:pStyle w:val="46"/>
              <w:ind w:firstLine="480"/>
            </w:pPr>
            <w:r>
              <w:rPr>
                <w:rFonts w:hint="eastAsia" w:cs="宋体"/>
                <w:kern w:val="2"/>
              </w:rPr>
              <w:t>噪声来源于井场、生活营地及道路建设等钻前作业、钻井作业及试油作业等施工活动。噪声源主要包括柴油发电机、柴油机、钻井液循环泵，以及各类施工机械，如挖土机、推土机、轮式装载车等，贯穿于整个施工过程，待施工结束后影响将消失。井位50m范围内无声环境敏感目标，不会对周围声环境产生明显影响。</w:t>
            </w:r>
          </w:p>
          <w:p>
            <w:pPr>
              <w:pStyle w:val="46"/>
              <w:ind w:firstLine="482"/>
              <w:rPr>
                <w:b/>
                <w:bCs/>
              </w:rPr>
            </w:pPr>
            <w:r>
              <w:rPr>
                <w:b/>
                <w:bCs/>
              </w:rPr>
              <w:t>6</w:t>
            </w:r>
            <w:r>
              <w:rPr>
                <w:rFonts w:hint="eastAsia"/>
                <w:b/>
                <w:bCs/>
              </w:rPr>
              <w:t>、固体废物影响分析</w:t>
            </w:r>
          </w:p>
          <w:p>
            <w:pPr>
              <w:pStyle w:val="53"/>
              <w:ind w:firstLine="480"/>
            </w:pPr>
            <w:r>
              <w:rPr>
                <w:rFonts w:hint="eastAsia"/>
              </w:rPr>
              <w:t>固体废物主要为钻井岩屑、生活垃圾以及废防渗材料。</w:t>
            </w:r>
          </w:p>
          <w:p>
            <w:pPr>
              <w:pStyle w:val="53"/>
              <w:ind w:firstLine="480"/>
            </w:pPr>
            <w:r>
              <w:rPr>
                <w:rFonts w:hint="eastAsia"/>
              </w:rPr>
              <w:t>（1）钻井岩屑</w:t>
            </w:r>
          </w:p>
          <w:p>
            <w:pPr>
              <w:pStyle w:val="53"/>
              <w:ind w:firstLine="480"/>
            </w:pPr>
            <w:r>
              <w:rPr>
                <w:rFonts w:hint="eastAsia"/>
              </w:rPr>
              <w:t>钻井过程中，岩石经钻头和钻井液的研磨而破碎成岩屑，随钻井液排出井口，进入钻井液不落地系统处理后岩屑与钻井液分离，液体回收利用，固体岩屑拉运处理。岩屑产生量与井身结构有关，可按下式计算：</w:t>
            </w:r>
          </w:p>
          <w:p>
            <w:pPr>
              <w:tabs>
                <w:tab w:val="left" w:pos="2064"/>
              </w:tabs>
              <w:adjustRightInd w:val="0"/>
              <w:snapToGrid w:val="0"/>
              <w:spacing w:line="500" w:lineRule="exact"/>
              <w:jc w:val="center"/>
              <w:rPr>
                <w:rFonts w:ascii="宋体" w:hAnsi="宋体" w:cs="宋体"/>
                <w:sz w:val="24"/>
              </w:rPr>
            </w:pPr>
            <w:r>
              <w:rPr>
                <w:rFonts w:hint="eastAsia" w:ascii="宋体" w:hAnsi="宋体" w:cs="宋体"/>
                <w:sz w:val="24"/>
              </w:rPr>
              <w:t>W=1/4×π×D</w:t>
            </w:r>
            <w:r>
              <w:rPr>
                <w:rFonts w:hint="eastAsia" w:ascii="宋体" w:hAnsi="宋体" w:cs="宋体"/>
                <w:sz w:val="24"/>
                <w:vertAlign w:val="superscript"/>
              </w:rPr>
              <w:t>2</w:t>
            </w:r>
            <w:r>
              <w:rPr>
                <w:rFonts w:hint="eastAsia" w:ascii="宋体" w:hAnsi="宋体" w:cs="宋体"/>
                <w:sz w:val="24"/>
              </w:rPr>
              <w:t>×h×P</w:t>
            </w:r>
          </w:p>
          <w:p>
            <w:pPr>
              <w:tabs>
                <w:tab w:val="left" w:pos="2064"/>
              </w:tabs>
              <w:adjustRightInd w:val="0"/>
              <w:snapToGrid w:val="0"/>
              <w:spacing w:line="500" w:lineRule="exact"/>
              <w:ind w:firstLine="480" w:firstLineChars="200"/>
              <w:rPr>
                <w:rFonts w:ascii="宋体" w:hAnsi="宋体" w:cs="宋体"/>
                <w:sz w:val="24"/>
              </w:rPr>
            </w:pPr>
            <w:r>
              <w:rPr>
                <w:rFonts w:hint="eastAsia" w:ascii="宋体" w:hAnsi="宋体" w:cs="宋体"/>
                <w:sz w:val="24"/>
              </w:rPr>
              <w:t>式中：W——产生的岩屑量，m</w:t>
            </w:r>
            <w:r>
              <w:rPr>
                <w:rFonts w:hint="eastAsia" w:ascii="宋体" w:hAnsi="宋体" w:cs="宋体"/>
                <w:sz w:val="24"/>
                <w:vertAlign w:val="superscript"/>
              </w:rPr>
              <w:t>3</w:t>
            </w:r>
            <w:r>
              <w:rPr>
                <w:rFonts w:hint="eastAsia" w:ascii="宋体" w:hAnsi="宋体" w:cs="宋体"/>
                <w:sz w:val="24"/>
              </w:rPr>
              <w:t>；</w:t>
            </w:r>
          </w:p>
          <w:p>
            <w:pPr>
              <w:tabs>
                <w:tab w:val="left" w:pos="2064"/>
              </w:tabs>
              <w:adjustRightInd w:val="0"/>
              <w:snapToGrid w:val="0"/>
              <w:spacing w:line="500" w:lineRule="exact"/>
              <w:ind w:firstLine="480" w:firstLineChars="200"/>
              <w:rPr>
                <w:rFonts w:ascii="宋体" w:hAnsi="宋体" w:cs="宋体"/>
                <w:sz w:val="24"/>
              </w:rPr>
            </w:pPr>
            <w:r>
              <w:rPr>
                <w:rFonts w:hint="eastAsia" w:ascii="宋体" w:hAnsi="宋体" w:cs="宋体"/>
                <w:sz w:val="24"/>
              </w:rPr>
              <w:t xml:space="preserve">      D——井眼平均井径，m；</w:t>
            </w:r>
          </w:p>
          <w:p>
            <w:pPr>
              <w:tabs>
                <w:tab w:val="left" w:pos="2064"/>
              </w:tabs>
              <w:adjustRightInd w:val="0"/>
              <w:snapToGrid w:val="0"/>
              <w:spacing w:line="500" w:lineRule="exact"/>
              <w:ind w:firstLine="480" w:firstLineChars="200"/>
              <w:rPr>
                <w:rFonts w:ascii="宋体" w:hAnsi="宋体" w:cs="宋体"/>
                <w:sz w:val="24"/>
              </w:rPr>
            </w:pPr>
            <w:r>
              <w:rPr>
                <w:rFonts w:hint="eastAsia" w:ascii="宋体" w:hAnsi="宋体" w:cs="宋体"/>
                <w:sz w:val="24"/>
              </w:rPr>
              <w:t xml:space="preserve">      h——裸眼长度，m；</w:t>
            </w:r>
          </w:p>
          <w:p>
            <w:pPr>
              <w:pStyle w:val="53"/>
              <w:ind w:left="1860" w:leftChars="200" w:hanging="1440" w:hangingChars="600"/>
            </w:pPr>
            <w:r>
              <w:rPr>
                <w:rFonts w:hint="eastAsia"/>
                <w:szCs w:val="28"/>
              </w:rPr>
              <w:t xml:space="preserve">      P——膨胀系数，</w:t>
            </w:r>
            <w:r>
              <w:rPr>
                <w:rFonts w:hint="eastAsia"/>
              </w:rPr>
              <w:t>使用水基钻井液时取P=1.8，油基钻井液取P</w:t>
            </w:r>
            <w:r>
              <w:t>=</w:t>
            </w:r>
            <w:r>
              <w:rPr>
                <w:rFonts w:hint="eastAsia"/>
              </w:rPr>
              <w:t>4。</w:t>
            </w:r>
          </w:p>
          <w:p>
            <w:pPr>
              <w:pStyle w:val="53"/>
              <w:adjustRightInd w:val="0"/>
              <w:snapToGrid w:val="0"/>
              <w:ind w:firstLine="480"/>
              <w:rPr>
                <w:rFonts w:cs="Times New Roman"/>
              </w:rPr>
            </w:pPr>
            <w:r>
              <w:rPr>
                <w:rFonts w:hint="eastAsia" w:cs="Times New Roman"/>
              </w:rPr>
              <w:t>根据井身结构计算岩屑产生量，</w:t>
            </w:r>
            <w:r>
              <w:rPr>
                <w:rFonts w:hint="eastAsia"/>
              </w:rPr>
              <w:t>水基岩屑按体积计,油基钻井岩屑按质量计，密度取ρ=2.5g/cm</w:t>
            </w:r>
            <w:r>
              <w:rPr>
                <w:rFonts w:hint="eastAsia"/>
                <w:vertAlign w:val="superscript"/>
              </w:rPr>
              <w:t>3</w:t>
            </w:r>
            <w:r>
              <w:rPr>
                <w:rFonts w:hint="eastAsia"/>
              </w:rPr>
              <w:t>。</w:t>
            </w:r>
            <w:r>
              <w:rPr>
                <w:rFonts w:hint="eastAsia" w:cs="Times New Roman"/>
              </w:rPr>
              <w:t>岩屑产生量详见表1</w:t>
            </w:r>
            <w:r>
              <w:rPr>
                <w:rFonts w:cs="Times New Roman"/>
              </w:rPr>
              <w:t>0。</w:t>
            </w:r>
          </w:p>
          <w:p>
            <w:pPr>
              <w:pStyle w:val="53"/>
              <w:ind w:left="1860" w:leftChars="200" w:hanging="1440" w:hangingChars="600"/>
            </w:pPr>
          </w:p>
          <w:p>
            <w:pPr>
              <w:pStyle w:val="53"/>
              <w:ind w:left="1860" w:leftChars="200" w:hanging="1440" w:hangingChars="600"/>
            </w:pPr>
          </w:p>
          <w:p>
            <w:pPr>
              <w:pStyle w:val="6"/>
              <w:keepNext/>
              <w:rPr>
                <w:rFonts w:hAnsi="Times New Roman"/>
              </w:rPr>
            </w:pPr>
            <w:r>
              <w:rPr>
                <w:rFonts w:hint="eastAsia"/>
              </w:rPr>
              <w:t>表1</w:t>
            </w:r>
            <w:r>
              <w:t xml:space="preserve">0    </w:t>
            </w:r>
            <w:r>
              <w:rPr>
                <w:rFonts w:hint="eastAsia" w:hAnsi="Times New Roman"/>
              </w:rPr>
              <w:t>岩屑产生量一览表</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1530"/>
              <w:gridCol w:w="1227"/>
              <w:gridCol w:w="1351"/>
              <w:gridCol w:w="861"/>
              <w:gridCol w:w="1490"/>
              <w:gridCol w:w="119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1000" w:type="pct"/>
                  <w:vMerge w:val="restart"/>
                  <w:vAlign w:val="center"/>
                </w:tcPr>
                <w:p>
                  <w:pPr>
                    <w:pStyle w:val="49"/>
                    <w:spacing w:line="300" w:lineRule="exact"/>
                    <w:rPr>
                      <w:rFonts w:cs="宋体"/>
                    </w:rPr>
                  </w:pPr>
                  <w:r>
                    <w:rPr>
                      <w:rFonts w:hint="eastAsia" w:cs="宋体"/>
                    </w:rPr>
                    <w:t>井号</w:t>
                  </w:r>
                </w:p>
              </w:tc>
              <w:tc>
                <w:tcPr>
                  <w:tcW w:w="1685" w:type="pct"/>
                  <w:gridSpan w:val="2"/>
                  <w:vAlign w:val="center"/>
                </w:tcPr>
                <w:p>
                  <w:pPr>
                    <w:pStyle w:val="49"/>
                    <w:spacing w:line="300" w:lineRule="exact"/>
                    <w:rPr>
                      <w:rFonts w:cs="宋体"/>
                    </w:rPr>
                  </w:pPr>
                  <w:r>
                    <w:rPr>
                      <w:rFonts w:hint="eastAsia" w:cs="宋体"/>
                    </w:rPr>
                    <w:t>水基钻井岩屑</w:t>
                  </w:r>
                </w:p>
              </w:tc>
              <w:tc>
                <w:tcPr>
                  <w:tcW w:w="2315" w:type="pct"/>
                  <w:gridSpan w:val="3"/>
                  <w:noWrap/>
                  <w:vAlign w:val="center"/>
                </w:tcPr>
                <w:p>
                  <w:pPr>
                    <w:pStyle w:val="49"/>
                    <w:spacing w:line="300" w:lineRule="exact"/>
                    <w:rPr>
                      <w:rFonts w:cs="宋体"/>
                    </w:rPr>
                  </w:pPr>
                  <w:r>
                    <w:rPr>
                      <w:rFonts w:hint="eastAsia" w:cs="宋体"/>
                    </w:rPr>
                    <w:t>油基钻井岩屑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1000" w:type="pct"/>
                  <w:vMerge w:val="continue"/>
                  <w:vAlign w:val="center"/>
                </w:tcPr>
                <w:p>
                  <w:pPr>
                    <w:pStyle w:val="49"/>
                    <w:spacing w:line="300" w:lineRule="exact"/>
                    <w:ind w:firstLine="480"/>
                    <w:rPr>
                      <w:rFonts w:cs="宋体"/>
                    </w:rPr>
                  </w:pPr>
                </w:p>
              </w:tc>
              <w:tc>
                <w:tcPr>
                  <w:tcW w:w="802" w:type="pct"/>
                  <w:vAlign w:val="center"/>
                </w:tcPr>
                <w:p>
                  <w:pPr>
                    <w:pStyle w:val="49"/>
                    <w:spacing w:line="300" w:lineRule="exact"/>
                    <w:rPr>
                      <w:rFonts w:cs="宋体"/>
                    </w:rPr>
                  </w:pPr>
                  <w:r>
                    <w:rPr>
                      <w:rFonts w:hint="eastAsia" w:cs="宋体"/>
                    </w:rPr>
                    <w:t>井段</w:t>
                  </w:r>
                </w:p>
              </w:tc>
              <w:tc>
                <w:tcPr>
                  <w:tcW w:w="883" w:type="pct"/>
                  <w:vAlign w:val="center"/>
                </w:tcPr>
                <w:p>
                  <w:pPr>
                    <w:pStyle w:val="49"/>
                    <w:spacing w:line="300" w:lineRule="exact"/>
                    <w:rPr>
                      <w:rFonts w:cs="宋体"/>
                    </w:rPr>
                  </w:pPr>
                  <w:r>
                    <w:rPr>
                      <w:rFonts w:hint="eastAsia" w:cs="宋体"/>
                    </w:rPr>
                    <w:t>体积（m</w:t>
                  </w:r>
                  <w:r>
                    <w:rPr>
                      <w:rFonts w:hint="eastAsia" w:cs="宋体"/>
                      <w:vertAlign w:val="superscript"/>
                    </w:rPr>
                    <w:t>3</w:t>
                  </w:r>
                  <w:r>
                    <w:rPr>
                      <w:rFonts w:hint="eastAsia" w:cs="宋体"/>
                    </w:rPr>
                    <w:t>）</w:t>
                  </w:r>
                </w:p>
              </w:tc>
              <w:tc>
                <w:tcPr>
                  <w:tcW w:w="563" w:type="pct"/>
                  <w:vAlign w:val="center"/>
                </w:tcPr>
                <w:p>
                  <w:pPr>
                    <w:pStyle w:val="49"/>
                    <w:spacing w:line="300" w:lineRule="exact"/>
                    <w:rPr>
                      <w:rFonts w:cs="宋体"/>
                    </w:rPr>
                  </w:pPr>
                  <w:r>
                    <w:rPr>
                      <w:rFonts w:hint="eastAsia" w:cs="宋体"/>
                    </w:rPr>
                    <w:t>井段</w:t>
                  </w:r>
                </w:p>
              </w:tc>
              <w:tc>
                <w:tcPr>
                  <w:tcW w:w="974" w:type="pct"/>
                  <w:tcBorders>
                    <w:right w:val="single" w:color="auto" w:sz="4" w:space="0"/>
                  </w:tcBorders>
                  <w:vAlign w:val="center"/>
                </w:tcPr>
                <w:p>
                  <w:pPr>
                    <w:pStyle w:val="49"/>
                    <w:spacing w:line="300" w:lineRule="exact"/>
                    <w:rPr>
                      <w:rFonts w:cs="宋体"/>
                    </w:rPr>
                  </w:pPr>
                  <w:r>
                    <w:rPr>
                      <w:rFonts w:hint="eastAsia" w:cs="宋体"/>
                    </w:rPr>
                    <w:t>体积（m</w:t>
                  </w:r>
                  <w:r>
                    <w:rPr>
                      <w:rFonts w:hint="eastAsia" w:cs="宋体"/>
                      <w:vertAlign w:val="superscript"/>
                    </w:rPr>
                    <w:t>3</w:t>
                  </w:r>
                  <w:r>
                    <w:rPr>
                      <w:rFonts w:hint="eastAsia" w:cs="宋体"/>
                    </w:rPr>
                    <w:t>）</w:t>
                  </w:r>
                </w:p>
              </w:tc>
              <w:tc>
                <w:tcPr>
                  <w:tcW w:w="778" w:type="pct"/>
                  <w:tcBorders>
                    <w:left w:val="single" w:color="auto" w:sz="4" w:space="0"/>
                  </w:tcBorders>
                  <w:vAlign w:val="center"/>
                </w:tcPr>
                <w:p>
                  <w:pPr>
                    <w:pStyle w:val="49"/>
                    <w:spacing w:line="300" w:lineRule="exact"/>
                    <w:rPr>
                      <w:rFonts w:cs="宋体"/>
                    </w:rPr>
                  </w:pPr>
                  <w:r>
                    <w:rPr>
                      <w:rFonts w:hint="eastAsia" w:cs="宋体"/>
                    </w:rPr>
                    <w:t>质量（t）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1000" w:type="pct"/>
                  <w:vMerge w:val="restart"/>
                  <w:vAlign w:val="center"/>
                </w:tcPr>
                <w:p>
                  <w:pPr>
                    <w:pStyle w:val="49"/>
                    <w:spacing w:line="300" w:lineRule="exact"/>
                    <w:rPr>
                      <w:rFonts w:cs="宋体"/>
                    </w:rPr>
                  </w:pPr>
                  <w:r>
                    <w:rPr>
                      <w:rFonts w:hint="eastAsia" w:cs="宋体"/>
                    </w:rPr>
                    <w:t>车排4</w:t>
                  </w:r>
                  <w:r>
                    <w:rPr>
                      <w:rFonts w:cs="宋体"/>
                    </w:rPr>
                    <w:t>6</w:t>
                  </w:r>
                </w:p>
              </w:tc>
              <w:tc>
                <w:tcPr>
                  <w:tcW w:w="802" w:type="pct"/>
                  <w:vMerge w:val="restart"/>
                  <w:vAlign w:val="center"/>
                </w:tcPr>
                <w:p>
                  <w:pPr>
                    <w:pStyle w:val="49"/>
                    <w:spacing w:line="300" w:lineRule="exact"/>
                    <w:rPr>
                      <w:rFonts w:cs="宋体"/>
                    </w:rPr>
                  </w:pPr>
                  <w:r>
                    <w:rPr>
                      <w:rFonts w:hint="eastAsia" w:cs="宋体"/>
                    </w:rPr>
                    <w:t>一开</w:t>
                  </w:r>
                </w:p>
              </w:tc>
              <w:tc>
                <w:tcPr>
                  <w:tcW w:w="883" w:type="pct"/>
                  <w:vMerge w:val="restart"/>
                  <w:vAlign w:val="center"/>
                </w:tcPr>
                <w:p>
                  <w:pPr>
                    <w:pStyle w:val="49"/>
                    <w:spacing w:line="300" w:lineRule="exact"/>
                    <w:rPr>
                      <w:rFonts w:cs="宋体"/>
                    </w:rPr>
                  </w:pPr>
                  <w:r>
                    <w:rPr>
                      <w:rFonts w:cs="宋体"/>
                    </w:rPr>
                    <w:t>141</w:t>
                  </w:r>
                </w:p>
              </w:tc>
              <w:tc>
                <w:tcPr>
                  <w:tcW w:w="563" w:type="pct"/>
                  <w:noWrap/>
                  <w:vAlign w:val="center"/>
                </w:tcPr>
                <w:p>
                  <w:pPr>
                    <w:pStyle w:val="49"/>
                    <w:spacing w:line="300" w:lineRule="exact"/>
                    <w:rPr>
                      <w:rFonts w:cs="宋体"/>
                    </w:rPr>
                  </w:pPr>
                  <w:r>
                    <w:rPr>
                      <w:rFonts w:hint="eastAsia" w:cs="宋体"/>
                    </w:rPr>
                    <w:t>二开</w:t>
                  </w:r>
                </w:p>
              </w:tc>
              <w:tc>
                <w:tcPr>
                  <w:tcW w:w="974" w:type="pct"/>
                  <w:tcBorders>
                    <w:right w:val="single" w:color="auto" w:sz="4" w:space="0"/>
                  </w:tcBorders>
                  <w:noWrap/>
                  <w:vAlign w:val="center"/>
                </w:tcPr>
                <w:p>
                  <w:pPr>
                    <w:pStyle w:val="49"/>
                    <w:spacing w:line="300" w:lineRule="exact"/>
                    <w:rPr>
                      <w:rFonts w:cs="宋体"/>
                    </w:rPr>
                  </w:pPr>
                  <w:r>
                    <w:t>996</w:t>
                  </w:r>
                </w:p>
              </w:tc>
              <w:tc>
                <w:tcPr>
                  <w:tcW w:w="778" w:type="pct"/>
                  <w:tcBorders>
                    <w:left w:val="single" w:color="auto" w:sz="4" w:space="0"/>
                  </w:tcBorders>
                  <w:vAlign w:val="center"/>
                </w:tcPr>
                <w:p>
                  <w:pPr>
                    <w:pStyle w:val="49"/>
                    <w:spacing w:line="300" w:lineRule="exact"/>
                    <w:rPr>
                      <w:rFonts w:cs="宋体"/>
                    </w:rPr>
                  </w:pPr>
                  <w:r>
                    <w:rPr>
                      <w:rFonts w:hint="eastAsia" w:cs="宋体"/>
                    </w:rPr>
                    <w:t>2</w:t>
                  </w:r>
                  <w:r>
                    <w:rPr>
                      <w:rFonts w:cs="宋体"/>
                    </w:rPr>
                    <w:t>490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1000" w:type="pct"/>
                  <w:vMerge w:val="continue"/>
                  <w:vAlign w:val="center"/>
                </w:tcPr>
                <w:p>
                  <w:pPr>
                    <w:pStyle w:val="49"/>
                    <w:spacing w:line="300" w:lineRule="exact"/>
                    <w:ind w:firstLine="480"/>
                    <w:rPr>
                      <w:rFonts w:cs="宋体"/>
                    </w:rPr>
                  </w:pPr>
                </w:p>
              </w:tc>
              <w:tc>
                <w:tcPr>
                  <w:tcW w:w="802" w:type="pct"/>
                  <w:vMerge w:val="continue"/>
                  <w:vAlign w:val="center"/>
                </w:tcPr>
                <w:p>
                  <w:pPr>
                    <w:pStyle w:val="49"/>
                    <w:spacing w:line="300" w:lineRule="exact"/>
                    <w:ind w:firstLine="480"/>
                    <w:rPr>
                      <w:rFonts w:cs="宋体"/>
                    </w:rPr>
                  </w:pPr>
                </w:p>
              </w:tc>
              <w:tc>
                <w:tcPr>
                  <w:tcW w:w="883" w:type="pct"/>
                  <w:vMerge w:val="continue"/>
                  <w:vAlign w:val="center"/>
                </w:tcPr>
                <w:p>
                  <w:pPr>
                    <w:pStyle w:val="49"/>
                    <w:spacing w:line="300" w:lineRule="exact"/>
                    <w:ind w:firstLine="480"/>
                    <w:rPr>
                      <w:rFonts w:cs="宋体"/>
                    </w:rPr>
                  </w:pPr>
                </w:p>
              </w:tc>
              <w:tc>
                <w:tcPr>
                  <w:tcW w:w="563" w:type="pct"/>
                  <w:noWrap/>
                  <w:vAlign w:val="center"/>
                </w:tcPr>
                <w:p>
                  <w:pPr>
                    <w:pStyle w:val="49"/>
                    <w:spacing w:line="300" w:lineRule="exact"/>
                    <w:rPr>
                      <w:rFonts w:cs="宋体"/>
                    </w:rPr>
                  </w:pPr>
                  <w:r>
                    <w:rPr>
                      <w:rFonts w:hint="eastAsia" w:cs="宋体"/>
                    </w:rPr>
                    <w:t>三开</w:t>
                  </w:r>
                </w:p>
              </w:tc>
              <w:tc>
                <w:tcPr>
                  <w:tcW w:w="974" w:type="pct"/>
                  <w:tcBorders>
                    <w:right w:val="single" w:color="auto" w:sz="4" w:space="0"/>
                  </w:tcBorders>
                  <w:noWrap/>
                  <w:vAlign w:val="center"/>
                </w:tcPr>
                <w:p>
                  <w:pPr>
                    <w:pStyle w:val="49"/>
                    <w:spacing w:line="300" w:lineRule="exact"/>
                    <w:rPr>
                      <w:rFonts w:cs="宋体"/>
                    </w:rPr>
                  </w:pPr>
                  <w:r>
                    <w:t>124</w:t>
                  </w:r>
                </w:p>
              </w:tc>
              <w:tc>
                <w:tcPr>
                  <w:tcW w:w="778" w:type="pct"/>
                  <w:tcBorders>
                    <w:left w:val="single" w:color="auto" w:sz="4" w:space="0"/>
                  </w:tcBorders>
                  <w:vAlign w:val="center"/>
                </w:tcPr>
                <w:p>
                  <w:pPr>
                    <w:pStyle w:val="49"/>
                    <w:spacing w:line="300" w:lineRule="exact"/>
                    <w:rPr>
                      <w:rFonts w:cs="宋体"/>
                    </w:rPr>
                  </w:pPr>
                  <w:r>
                    <w:rPr>
                      <w:rFonts w:hint="eastAsia" w:cs="宋体"/>
                    </w:rPr>
                    <w:t>3</w:t>
                  </w:r>
                  <w:r>
                    <w:rPr>
                      <w:rFonts w:cs="宋体"/>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1000" w:type="pct"/>
                  <w:noWrap/>
                  <w:vAlign w:val="center"/>
                </w:tcPr>
                <w:p>
                  <w:pPr>
                    <w:pStyle w:val="49"/>
                    <w:spacing w:line="300" w:lineRule="exact"/>
                    <w:rPr>
                      <w:rFonts w:cs="宋体"/>
                    </w:rPr>
                  </w:pPr>
                  <w:r>
                    <w:rPr>
                      <w:rFonts w:hint="eastAsia" w:cs="宋体"/>
                    </w:rPr>
                    <w:t>合计</w:t>
                  </w:r>
                </w:p>
              </w:tc>
              <w:tc>
                <w:tcPr>
                  <w:tcW w:w="802" w:type="pct"/>
                  <w:noWrap/>
                  <w:vAlign w:val="center"/>
                </w:tcPr>
                <w:p>
                  <w:pPr>
                    <w:pStyle w:val="49"/>
                    <w:spacing w:line="300" w:lineRule="exact"/>
                    <w:rPr>
                      <w:rFonts w:cs="宋体"/>
                    </w:rPr>
                  </w:pPr>
                  <w:r>
                    <w:rPr>
                      <w:rFonts w:hint="eastAsia" w:cs="宋体"/>
                    </w:rPr>
                    <w:t>/</w:t>
                  </w:r>
                </w:p>
              </w:tc>
              <w:tc>
                <w:tcPr>
                  <w:tcW w:w="883" w:type="pct"/>
                  <w:noWrap/>
                  <w:vAlign w:val="center"/>
                </w:tcPr>
                <w:p>
                  <w:pPr>
                    <w:pStyle w:val="49"/>
                    <w:spacing w:line="300" w:lineRule="exact"/>
                    <w:rPr>
                      <w:rFonts w:cs="宋体"/>
                    </w:rPr>
                  </w:pPr>
                  <w:r>
                    <w:rPr>
                      <w:rFonts w:cs="宋体"/>
                    </w:rPr>
                    <w:t>141</w:t>
                  </w:r>
                </w:p>
              </w:tc>
              <w:tc>
                <w:tcPr>
                  <w:tcW w:w="563" w:type="pct"/>
                  <w:noWrap/>
                  <w:vAlign w:val="center"/>
                </w:tcPr>
                <w:p>
                  <w:pPr>
                    <w:pStyle w:val="49"/>
                    <w:spacing w:line="300" w:lineRule="exact"/>
                    <w:rPr>
                      <w:rFonts w:cs="宋体"/>
                    </w:rPr>
                  </w:pPr>
                  <w:r>
                    <w:rPr>
                      <w:rFonts w:hint="eastAsia" w:cs="宋体"/>
                    </w:rPr>
                    <w:t>/</w:t>
                  </w:r>
                </w:p>
              </w:tc>
              <w:tc>
                <w:tcPr>
                  <w:tcW w:w="974" w:type="pct"/>
                  <w:tcBorders>
                    <w:right w:val="single" w:color="auto" w:sz="4" w:space="0"/>
                  </w:tcBorders>
                  <w:noWrap/>
                  <w:vAlign w:val="center"/>
                </w:tcPr>
                <w:p>
                  <w:pPr>
                    <w:pStyle w:val="49"/>
                    <w:spacing w:line="300" w:lineRule="exact"/>
                    <w:rPr>
                      <w:rFonts w:cs="宋体"/>
                    </w:rPr>
                  </w:pPr>
                  <w:r>
                    <w:t>1120</w:t>
                  </w:r>
                </w:p>
              </w:tc>
              <w:tc>
                <w:tcPr>
                  <w:tcW w:w="778" w:type="pct"/>
                  <w:tcBorders>
                    <w:left w:val="single" w:color="auto" w:sz="4" w:space="0"/>
                  </w:tcBorders>
                  <w:vAlign w:val="center"/>
                </w:tcPr>
                <w:p>
                  <w:pPr>
                    <w:pStyle w:val="49"/>
                    <w:spacing w:line="300" w:lineRule="exact"/>
                    <w:rPr>
                      <w:rFonts w:cs="宋体"/>
                    </w:rPr>
                  </w:pPr>
                  <w:r>
                    <w:rPr>
                      <w:rFonts w:hint="eastAsia" w:cs="宋体"/>
                    </w:rPr>
                    <w:t>2</w:t>
                  </w:r>
                  <w:r>
                    <w:rPr>
                      <w:rFonts w:cs="宋体"/>
                    </w:rPr>
                    <w:t>800</w:t>
                  </w:r>
                </w:p>
              </w:tc>
            </w:tr>
          </w:tbl>
          <w:p>
            <w:pPr>
              <w:pStyle w:val="46"/>
              <w:ind w:firstLine="480"/>
            </w:pPr>
            <w:r>
              <w:rPr>
                <w:rFonts w:hint="eastAsia"/>
              </w:rPr>
              <w:t>本项目产生的水基钻井岩屑共计</w:t>
            </w:r>
            <w:r>
              <w:t>141</w:t>
            </w:r>
            <w:r>
              <w:rPr>
                <w:rFonts w:hint="eastAsia"/>
              </w:rPr>
              <w:t>m</w:t>
            </w:r>
            <w:r>
              <w:rPr>
                <w:rFonts w:hint="eastAsia"/>
                <w:vertAlign w:val="superscript"/>
              </w:rPr>
              <w:t>3</w:t>
            </w:r>
            <w:r>
              <w:rPr>
                <w:rFonts w:hint="eastAsia"/>
              </w:rPr>
              <w:t>，油基钻井岩屑共计</w:t>
            </w:r>
            <w:r>
              <w:rPr>
                <w:rFonts w:cs="宋体"/>
              </w:rPr>
              <w:t>2800</w:t>
            </w:r>
            <w:r>
              <w:rPr>
                <w:rFonts w:hint="eastAsia"/>
              </w:rPr>
              <w:t>t。</w:t>
            </w:r>
          </w:p>
          <w:p>
            <w:pPr>
              <w:pStyle w:val="46"/>
              <w:ind w:firstLine="480"/>
              <w:rPr>
                <w:rFonts w:cs="宋体"/>
              </w:rPr>
            </w:pPr>
            <w:r>
              <w:rPr>
                <w:rFonts w:hint="eastAsia" w:cs="宋体"/>
              </w:rPr>
              <w:t>钻井液不落地设备分离出的水基钻井岩屑进岩屑专用方罐，</w:t>
            </w:r>
            <w:r>
              <w:rPr>
                <w:rFonts w:hint="eastAsia"/>
              </w:rPr>
              <w:t>装满后</w:t>
            </w:r>
            <w:r>
              <w:rPr>
                <w:rFonts w:hint="eastAsia" w:cs="宋体"/>
              </w:rPr>
              <w:t>由岩屑处置单位直接拉走进行处理，满足《油气田钻井固体废弃物综合利用污染物控制要求》（DB65/T3997-2017）相关要求后进行综合利用；油基钻井岩屑属于危险废物</w:t>
            </w:r>
            <w:bookmarkStart w:id="27" w:name="_Hlk105514494"/>
            <w:r>
              <w:rPr>
                <w:rFonts w:hint="eastAsia" w:cs="宋体"/>
              </w:rPr>
              <w:t>（危废代码：0</w:t>
            </w:r>
            <w:r>
              <w:rPr>
                <w:rFonts w:cs="宋体"/>
              </w:rPr>
              <w:t>71-002-08</w:t>
            </w:r>
            <w:r>
              <w:rPr>
                <w:rFonts w:hint="eastAsia" w:cs="宋体"/>
              </w:rPr>
              <w:t>）</w:t>
            </w:r>
            <w:bookmarkEnd w:id="27"/>
            <w:r>
              <w:rPr>
                <w:rFonts w:hint="eastAsia" w:cs="宋体"/>
              </w:rPr>
              <w:t>，具有毒性以及易燃性，进入岩屑专用方罐在临时岩屑堆放场地暂存，由具有相应危险废物处置资质的单位负责接收、转运和处置。</w:t>
            </w:r>
          </w:p>
          <w:p>
            <w:pPr>
              <w:pStyle w:val="46"/>
              <w:wordWrap w:val="0"/>
              <w:ind w:firstLine="480"/>
            </w:pPr>
            <w:r>
              <w:rPr>
                <w:rFonts w:hint="eastAsia"/>
              </w:rPr>
              <w:t>（2）生活垃圾</w:t>
            </w:r>
          </w:p>
          <w:p>
            <w:pPr>
              <w:pStyle w:val="46"/>
              <w:wordWrap w:val="0"/>
              <w:ind w:firstLine="480"/>
            </w:pPr>
            <w:r>
              <w:rPr>
                <w:rFonts w:hint="eastAsia"/>
              </w:rPr>
              <w:t>生活垃圾按</w:t>
            </w:r>
            <w:r>
              <w:t>每人每天产生0.8kg</w:t>
            </w:r>
            <w:r>
              <w:rPr>
                <w:rFonts w:hint="eastAsia"/>
              </w:rPr>
              <w:t>计算</w:t>
            </w:r>
            <w:r>
              <w:t>，</w:t>
            </w:r>
            <w:r>
              <w:rPr>
                <w:rFonts w:hint="eastAsia"/>
              </w:rPr>
              <w:t>施工期合计产生</w:t>
            </w:r>
            <w:r>
              <w:t>1.7</w:t>
            </w:r>
            <w:r>
              <w:rPr>
                <w:rFonts w:hint="eastAsia"/>
              </w:rPr>
              <w:t>t，定期送至克拉玛依市生活垃圾填埋场填埋处置</w:t>
            </w:r>
            <w:r>
              <w:t>。</w:t>
            </w:r>
          </w:p>
          <w:p>
            <w:pPr>
              <w:pStyle w:val="46"/>
              <w:wordWrap w:val="0"/>
              <w:ind w:firstLine="480"/>
            </w:pPr>
            <w:r>
              <w:rPr>
                <w:rFonts w:hint="eastAsia"/>
              </w:rPr>
              <w:t>（3）废防渗材料</w:t>
            </w:r>
          </w:p>
          <w:p>
            <w:pPr>
              <w:pStyle w:val="46"/>
              <w:wordWrap w:val="0"/>
              <w:ind w:firstLine="480"/>
            </w:pPr>
            <w:r>
              <w:rPr>
                <w:rFonts w:hint="eastAsia"/>
              </w:rPr>
              <w:t>井场油罐、发电机、岩屑罐区、材料堆场等关键部位及生活污水储集防渗池均采用防渗膜防渗。场地清理时拆除的未破损的防渗膜由施工单位集中回收利用，破损的废防渗膜属于危险废物（HW08类危险废物，废物代码：900-249-08），危险特性为毒性和易燃性，集中收集后与油基钻井岩屑一同交由具有相关危险废物处置资质的单位接收、转运以及处置。</w:t>
            </w:r>
          </w:p>
          <w:p>
            <w:pPr>
              <w:spacing w:line="500" w:lineRule="exact"/>
              <w:ind w:firstLine="480"/>
              <w:rPr>
                <w:rFonts w:ascii="宋体" w:hAnsi="宋体"/>
                <w:sz w:val="24"/>
                <w:lang w:bidi="ar"/>
              </w:rPr>
            </w:pPr>
            <w:bookmarkStart w:id="28" w:name="_Hlk117990655"/>
            <w:r>
              <w:rPr>
                <w:rFonts w:hint="eastAsia" w:ascii="宋体" w:hAnsi="宋体"/>
                <w:sz w:val="24"/>
                <w:lang w:bidi="ar"/>
              </w:rPr>
              <w:t>（4）土石方平衡分析</w:t>
            </w:r>
          </w:p>
          <w:p>
            <w:pPr>
              <w:spacing w:line="500" w:lineRule="exact"/>
              <w:ind w:firstLine="480"/>
              <w:rPr>
                <w:rFonts w:ascii="宋体" w:hAnsi="宋体"/>
                <w:sz w:val="24"/>
                <w:lang w:bidi="ar"/>
              </w:rPr>
            </w:pPr>
            <w:r>
              <w:rPr>
                <w:rFonts w:ascii="宋体" w:hAnsi="宋体"/>
                <w:sz w:val="24"/>
                <w:lang w:bidi="ar"/>
              </w:rPr>
              <w:t>井场平整、铺垫和探临道路建设过程中，挖方</w:t>
            </w:r>
            <w:r>
              <w:rPr>
                <w:rFonts w:hint="eastAsia" w:ascii="宋体" w:hAnsi="宋体"/>
                <w:sz w:val="24"/>
                <w:lang w:bidi="ar"/>
              </w:rPr>
              <w:t>作业为井场平整和探临道路建设过程中表层土的剥离</w:t>
            </w:r>
            <w:r>
              <w:rPr>
                <w:rFonts w:ascii="宋体" w:hAnsi="宋体"/>
                <w:sz w:val="24"/>
                <w:lang w:bidi="ar"/>
              </w:rPr>
              <w:t>，</w:t>
            </w:r>
            <w:r>
              <w:rPr>
                <w:rFonts w:hint="eastAsia" w:ascii="宋体" w:hAnsi="宋体"/>
                <w:sz w:val="24"/>
                <w:lang w:bidi="ar"/>
              </w:rPr>
              <w:t>表层土剥离厚度约0</w:t>
            </w:r>
            <w:r>
              <w:rPr>
                <w:rFonts w:ascii="宋体" w:hAnsi="宋体"/>
                <w:sz w:val="24"/>
                <w:lang w:bidi="ar"/>
              </w:rPr>
              <w:t>.15m</w:t>
            </w:r>
            <w:r>
              <w:rPr>
                <w:rFonts w:hint="eastAsia" w:ascii="宋体" w:hAnsi="宋体"/>
                <w:sz w:val="24"/>
                <w:lang w:bidi="ar"/>
              </w:rPr>
              <w:t>，</w:t>
            </w:r>
            <w:r>
              <w:rPr>
                <w:rFonts w:ascii="宋体" w:hAnsi="宋体"/>
                <w:sz w:val="24"/>
                <w:lang w:bidi="ar"/>
              </w:rPr>
              <w:t>井场尺寸约为95m×85m，</w:t>
            </w:r>
            <w:r>
              <w:rPr>
                <w:rFonts w:hint="eastAsia" w:ascii="宋体" w:hAnsi="宋体"/>
                <w:sz w:val="24"/>
                <w:lang w:bidi="ar"/>
              </w:rPr>
              <w:t>井场挖方量约为</w:t>
            </w:r>
            <w:r>
              <w:rPr>
                <w:rFonts w:ascii="宋体" w:hAnsi="宋体"/>
                <w:sz w:val="24"/>
                <w:lang w:bidi="ar"/>
              </w:rPr>
              <w:t>1211m</w:t>
            </w:r>
            <w:r>
              <w:rPr>
                <w:rFonts w:ascii="宋体" w:hAnsi="宋体"/>
                <w:sz w:val="24"/>
                <w:vertAlign w:val="superscript"/>
                <w:lang w:bidi="ar"/>
              </w:rPr>
              <w:t>3</w:t>
            </w:r>
            <w:r>
              <w:rPr>
                <w:rFonts w:hint="eastAsia" w:ascii="宋体" w:hAnsi="宋体"/>
                <w:sz w:val="24"/>
                <w:lang w:bidi="ar"/>
              </w:rPr>
              <w:t>，探临道路长</w:t>
            </w:r>
            <w:r>
              <w:rPr>
                <w:rFonts w:ascii="宋体" w:hAnsi="宋体"/>
                <w:sz w:val="24"/>
                <w:lang w:bidi="ar"/>
              </w:rPr>
              <w:t>259</w:t>
            </w:r>
            <w:r>
              <w:rPr>
                <w:rFonts w:hint="eastAsia" w:ascii="宋体" w:hAnsi="宋体"/>
                <w:sz w:val="24"/>
                <w:lang w:bidi="ar"/>
              </w:rPr>
              <w:t>，</w:t>
            </w:r>
            <w:r>
              <w:rPr>
                <w:rFonts w:ascii="宋体" w:hAnsi="宋体"/>
                <w:sz w:val="24"/>
                <w:lang w:bidi="ar"/>
              </w:rPr>
              <w:t>宽度8m，</w:t>
            </w:r>
            <w:r>
              <w:rPr>
                <w:rFonts w:hint="eastAsia" w:ascii="宋体" w:hAnsi="宋体"/>
                <w:sz w:val="24"/>
                <w:lang w:bidi="ar"/>
              </w:rPr>
              <w:t>探临道路挖方量约为</w:t>
            </w:r>
            <w:r>
              <w:rPr>
                <w:rFonts w:ascii="宋体" w:hAnsi="宋体"/>
                <w:sz w:val="24"/>
                <w:lang w:bidi="ar"/>
              </w:rPr>
              <w:t>311m</w:t>
            </w:r>
            <w:r>
              <w:rPr>
                <w:rFonts w:ascii="宋体" w:hAnsi="宋体"/>
                <w:sz w:val="24"/>
                <w:vertAlign w:val="superscript"/>
                <w:lang w:bidi="ar"/>
              </w:rPr>
              <w:t>3</w:t>
            </w:r>
            <w:r>
              <w:rPr>
                <w:rFonts w:hint="eastAsia" w:ascii="宋体" w:hAnsi="宋体"/>
                <w:sz w:val="24"/>
                <w:lang w:bidi="ar"/>
              </w:rPr>
              <w:t>，据此计算</w:t>
            </w:r>
            <w:r>
              <w:rPr>
                <w:rFonts w:ascii="宋体" w:hAnsi="宋体"/>
                <w:sz w:val="24"/>
                <w:lang w:bidi="ar"/>
              </w:rPr>
              <w:t>本项目</w:t>
            </w:r>
            <w:r>
              <w:rPr>
                <w:rFonts w:hint="eastAsia" w:ascii="宋体" w:hAnsi="宋体"/>
                <w:sz w:val="24"/>
                <w:lang w:bidi="ar"/>
              </w:rPr>
              <w:t>挖方量</w:t>
            </w:r>
            <w:r>
              <w:rPr>
                <w:rFonts w:ascii="宋体" w:hAnsi="宋体"/>
                <w:sz w:val="24"/>
                <w:lang w:bidi="ar"/>
              </w:rPr>
              <w:t>共计1522m</w:t>
            </w:r>
            <w:r>
              <w:rPr>
                <w:rFonts w:ascii="宋体" w:hAnsi="宋体"/>
                <w:sz w:val="24"/>
                <w:vertAlign w:val="superscript"/>
                <w:lang w:bidi="ar"/>
              </w:rPr>
              <w:t>3</w:t>
            </w:r>
            <w:r>
              <w:rPr>
                <w:rFonts w:hint="eastAsia" w:ascii="宋体" w:hAnsi="宋体"/>
                <w:sz w:val="24"/>
                <w:lang w:bidi="ar"/>
              </w:rPr>
              <w:t>。</w:t>
            </w:r>
          </w:p>
          <w:p>
            <w:pPr>
              <w:spacing w:line="500" w:lineRule="exact"/>
              <w:ind w:firstLine="480"/>
              <w:rPr>
                <w:rFonts w:ascii="宋体" w:hAnsi="宋体"/>
                <w:sz w:val="24"/>
                <w:lang w:bidi="ar"/>
              </w:rPr>
            </w:pPr>
            <w:r>
              <w:rPr>
                <w:rFonts w:ascii="宋体" w:hAnsi="宋体"/>
                <w:sz w:val="24"/>
                <w:lang w:bidi="ar"/>
              </w:rPr>
              <w:t>井场平均铺垫厚度约0.5m，</w:t>
            </w:r>
            <w:r>
              <w:rPr>
                <w:rFonts w:hint="eastAsia" w:ascii="宋体" w:hAnsi="宋体"/>
                <w:sz w:val="24"/>
                <w:lang w:bidi="ar"/>
              </w:rPr>
              <w:t>则</w:t>
            </w:r>
            <w:r>
              <w:rPr>
                <w:rFonts w:ascii="宋体" w:hAnsi="宋体"/>
                <w:sz w:val="24"/>
                <w:lang w:bidi="ar"/>
              </w:rPr>
              <w:t>井场铺垫所需土方量约4038m</w:t>
            </w:r>
            <w:r>
              <w:rPr>
                <w:rFonts w:ascii="宋体" w:hAnsi="宋体"/>
                <w:sz w:val="24"/>
                <w:vertAlign w:val="superscript"/>
                <w:lang w:bidi="ar"/>
              </w:rPr>
              <w:t>3</w:t>
            </w:r>
            <w:r>
              <w:rPr>
                <w:rFonts w:ascii="宋体" w:hAnsi="宋体"/>
                <w:sz w:val="24"/>
                <w:lang w:bidi="ar"/>
              </w:rPr>
              <w:t>，探临道路平均铺垫厚度约0.2m，探临道路所需土方量约414m</w:t>
            </w:r>
            <w:r>
              <w:rPr>
                <w:rFonts w:ascii="宋体" w:hAnsi="宋体"/>
                <w:sz w:val="24"/>
                <w:vertAlign w:val="superscript"/>
                <w:lang w:bidi="ar"/>
              </w:rPr>
              <w:t>3</w:t>
            </w:r>
            <w:r>
              <w:rPr>
                <w:rFonts w:ascii="宋体" w:hAnsi="宋体"/>
                <w:sz w:val="24"/>
                <w:lang w:bidi="ar"/>
              </w:rPr>
              <w:t>，</w:t>
            </w:r>
            <w:r>
              <w:rPr>
                <w:rFonts w:hint="eastAsia" w:ascii="宋体" w:hAnsi="宋体"/>
                <w:sz w:val="24"/>
                <w:lang w:bidi="ar"/>
              </w:rPr>
              <w:t>据此计算</w:t>
            </w:r>
            <w:r>
              <w:rPr>
                <w:rFonts w:ascii="宋体" w:hAnsi="宋体"/>
                <w:sz w:val="24"/>
                <w:lang w:bidi="ar"/>
              </w:rPr>
              <w:t>本项目</w:t>
            </w:r>
            <w:r>
              <w:rPr>
                <w:rFonts w:hint="eastAsia" w:ascii="宋体" w:hAnsi="宋体"/>
                <w:sz w:val="24"/>
                <w:lang w:bidi="ar"/>
              </w:rPr>
              <w:t>填方量</w:t>
            </w:r>
            <w:r>
              <w:rPr>
                <w:rFonts w:ascii="宋体" w:hAnsi="宋体"/>
                <w:sz w:val="24"/>
                <w:lang w:bidi="ar"/>
              </w:rPr>
              <w:t>共计4452m</w:t>
            </w:r>
            <w:r>
              <w:rPr>
                <w:rFonts w:ascii="宋体" w:hAnsi="宋体"/>
                <w:sz w:val="24"/>
                <w:vertAlign w:val="superscript"/>
                <w:lang w:bidi="ar"/>
              </w:rPr>
              <w:t>3</w:t>
            </w:r>
            <w:r>
              <w:rPr>
                <w:rFonts w:hint="eastAsia" w:ascii="宋体" w:hAnsi="宋体"/>
                <w:sz w:val="24"/>
                <w:lang w:bidi="ar"/>
              </w:rPr>
              <w:t>。</w:t>
            </w:r>
          </w:p>
          <w:p>
            <w:pPr>
              <w:spacing w:line="500" w:lineRule="exact"/>
              <w:ind w:firstLine="480"/>
              <w:rPr>
                <w:rFonts w:ascii="宋体" w:hAnsi="宋体"/>
                <w:sz w:val="24"/>
                <w:vertAlign w:val="superscript"/>
                <w:lang w:bidi="ar"/>
              </w:rPr>
            </w:pPr>
            <w:r>
              <w:rPr>
                <w:rFonts w:hint="eastAsia" w:ascii="宋体" w:hAnsi="宋体"/>
                <w:sz w:val="24"/>
                <w:lang w:bidi="ar"/>
              </w:rPr>
              <w:t>综上，</w:t>
            </w:r>
            <w:r>
              <w:rPr>
                <w:rFonts w:ascii="宋体" w:hAnsi="宋体"/>
                <w:sz w:val="24"/>
                <w:lang w:bidi="ar"/>
              </w:rPr>
              <w:t>需要从周边岩屑处置单位拉运已处理满足《油气田含油污泥综合利用污染控制要求》（DB 65/T 3998-2017）标准的岩屑4452m</w:t>
            </w:r>
            <w:r>
              <w:rPr>
                <w:rFonts w:ascii="宋体" w:hAnsi="宋体"/>
                <w:sz w:val="24"/>
                <w:vertAlign w:val="superscript"/>
                <w:lang w:bidi="ar"/>
              </w:rPr>
              <w:t>3</w:t>
            </w:r>
            <w:r>
              <w:rPr>
                <w:rFonts w:hint="eastAsia" w:ascii="宋体" w:hAnsi="宋体"/>
                <w:sz w:val="24"/>
                <w:lang w:bidi="ar"/>
              </w:rPr>
              <w:t>，用于井场平整和探临道路铺垫，剥离的表层土单独存放，完井后用于覆盖临时占地，以便植被自然恢复，无弃方产生。</w:t>
            </w:r>
          </w:p>
          <w:p>
            <w:pPr>
              <w:spacing w:line="500" w:lineRule="exact"/>
              <w:ind w:firstLine="480" w:firstLineChars="200"/>
              <w:rPr>
                <w:rFonts w:ascii="宋体" w:hAnsi="宋体" w:cs="宋体"/>
                <w:sz w:val="24"/>
                <w:lang w:bidi="ar"/>
              </w:rPr>
            </w:pPr>
            <w:r>
              <w:rPr>
                <w:rFonts w:hint="eastAsia" w:ascii="宋体" w:hAnsi="宋体" w:cs="宋体"/>
                <w:sz w:val="24"/>
                <w:lang w:bidi="ar"/>
              </w:rPr>
              <w:t>本项目土石方平衡见</w:t>
            </w:r>
            <w:r>
              <w:rPr>
                <w:rFonts w:hint="eastAsia" w:ascii="宋体" w:hAnsi="宋体"/>
                <w:sz w:val="24"/>
              </w:rPr>
              <w:t>表1</w:t>
            </w:r>
            <w:r>
              <w:rPr>
                <w:rFonts w:ascii="宋体" w:hAnsi="宋体"/>
                <w:sz w:val="24"/>
              </w:rPr>
              <w:t>1</w:t>
            </w:r>
            <w:r>
              <w:rPr>
                <w:rFonts w:hint="eastAsia" w:ascii="宋体" w:hAnsi="宋体" w:cs="宋体"/>
                <w:sz w:val="24"/>
                <w:lang w:bidi="ar"/>
              </w:rPr>
              <w:t>。</w:t>
            </w:r>
          </w:p>
          <w:p>
            <w:pPr>
              <w:spacing w:line="500" w:lineRule="exact"/>
              <w:ind w:firstLine="420" w:firstLineChars="200"/>
              <w:jc w:val="center"/>
              <w:rPr>
                <w:rFonts w:ascii="黑体" w:hAnsi="黑体" w:eastAsia="黑体" w:cs="宋体"/>
                <w:szCs w:val="21"/>
                <w:lang w:bidi="ar"/>
              </w:rPr>
            </w:pPr>
            <w:r>
              <w:rPr>
                <w:rFonts w:hint="eastAsia" w:ascii="黑体" w:hAnsi="黑体" w:eastAsia="黑体" w:cs="宋体"/>
                <w:szCs w:val="21"/>
                <w:lang w:bidi="ar"/>
              </w:rPr>
              <w:t>表1</w:t>
            </w:r>
            <w:r>
              <w:rPr>
                <w:rFonts w:ascii="黑体" w:hAnsi="黑体" w:eastAsia="黑体" w:cs="宋体"/>
                <w:szCs w:val="21"/>
                <w:lang w:bidi="ar"/>
              </w:rPr>
              <w:t xml:space="preserve">1   </w:t>
            </w:r>
            <w:r>
              <w:rPr>
                <w:rFonts w:hint="eastAsia" w:ascii="黑体" w:hAnsi="黑体" w:eastAsia="黑体" w:cs="宋体"/>
                <w:szCs w:val="21"/>
                <w:lang w:bidi="ar"/>
              </w:rPr>
              <w:t>项目土石方平衡表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098"/>
              <w:gridCol w:w="1641"/>
              <w:gridCol w:w="2894"/>
              <w:gridCol w:w="993"/>
              <w:gridCol w:w="102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718" w:type="pct"/>
                  <w:vAlign w:val="center"/>
                </w:tcPr>
                <w:p>
                  <w:pPr>
                    <w:spacing w:line="300" w:lineRule="exact"/>
                    <w:jc w:val="center"/>
                    <w:rPr>
                      <w:rFonts w:ascii="宋体" w:hAnsi="宋体"/>
                      <w:szCs w:val="16"/>
                      <w:lang w:bidi="ar"/>
                    </w:rPr>
                  </w:pPr>
                  <w:r>
                    <w:rPr>
                      <w:rFonts w:ascii="宋体" w:hAnsi="宋体"/>
                      <w:szCs w:val="16"/>
                      <w:lang w:bidi="ar"/>
                    </w:rPr>
                    <w:t>名称</w:t>
                  </w:r>
                </w:p>
              </w:tc>
              <w:tc>
                <w:tcPr>
                  <w:tcW w:w="1073" w:type="pct"/>
                  <w:vAlign w:val="center"/>
                </w:tcPr>
                <w:p>
                  <w:pPr>
                    <w:spacing w:line="300" w:lineRule="exact"/>
                    <w:jc w:val="center"/>
                    <w:rPr>
                      <w:rFonts w:ascii="宋体" w:hAnsi="宋体"/>
                      <w:szCs w:val="16"/>
                      <w:lang w:bidi="ar"/>
                    </w:rPr>
                  </w:pPr>
                  <w:r>
                    <w:rPr>
                      <w:rFonts w:ascii="宋体" w:hAnsi="宋体"/>
                      <w:szCs w:val="16"/>
                      <w:lang w:bidi="ar"/>
                    </w:rPr>
                    <w:t>挖方量（m</w:t>
                  </w:r>
                  <w:r>
                    <w:rPr>
                      <w:rFonts w:ascii="宋体" w:hAnsi="宋体"/>
                      <w:szCs w:val="16"/>
                      <w:vertAlign w:val="superscript"/>
                      <w:lang w:bidi="ar"/>
                    </w:rPr>
                    <w:t>3</w:t>
                  </w:r>
                  <w:r>
                    <w:rPr>
                      <w:rFonts w:ascii="宋体" w:hAnsi="宋体"/>
                      <w:szCs w:val="16"/>
                      <w:lang w:bidi="ar"/>
                    </w:rPr>
                    <w:t>）</w:t>
                  </w:r>
                </w:p>
              </w:tc>
              <w:tc>
                <w:tcPr>
                  <w:tcW w:w="1892" w:type="pct"/>
                  <w:tcBorders>
                    <w:right w:val="single" w:color="auto" w:sz="4" w:space="0"/>
                  </w:tcBorders>
                  <w:vAlign w:val="center"/>
                </w:tcPr>
                <w:p>
                  <w:pPr>
                    <w:spacing w:line="300" w:lineRule="exact"/>
                    <w:jc w:val="center"/>
                    <w:rPr>
                      <w:rFonts w:ascii="宋体" w:hAnsi="宋体"/>
                      <w:szCs w:val="16"/>
                      <w:lang w:bidi="ar"/>
                    </w:rPr>
                  </w:pPr>
                  <w:r>
                    <w:rPr>
                      <w:rFonts w:ascii="宋体" w:hAnsi="宋体"/>
                      <w:szCs w:val="16"/>
                      <w:lang w:bidi="ar"/>
                    </w:rPr>
                    <w:t>填方量（m</w:t>
                  </w:r>
                  <w:r>
                    <w:rPr>
                      <w:rFonts w:ascii="宋体" w:hAnsi="宋体"/>
                      <w:szCs w:val="16"/>
                      <w:vertAlign w:val="superscript"/>
                      <w:lang w:bidi="ar"/>
                    </w:rPr>
                    <w:t>3</w:t>
                  </w:r>
                  <w:r>
                    <w:rPr>
                      <w:rFonts w:ascii="宋体" w:hAnsi="宋体"/>
                      <w:szCs w:val="16"/>
                      <w:lang w:bidi="ar"/>
                    </w:rPr>
                    <w:t>）</w:t>
                  </w:r>
                </w:p>
              </w:tc>
              <w:tc>
                <w:tcPr>
                  <w:tcW w:w="649" w:type="pct"/>
                  <w:tcBorders>
                    <w:left w:val="single" w:color="auto" w:sz="4" w:space="0"/>
                  </w:tcBorders>
                  <w:vAlign w:val="center"/>
                </w:tcPr>
                <w:p>
                  <w:pPr>
                    <w:spacing w:line="300" w:lineRule="exact"/>
                    <w:jc w:val="center"/>
                    <w:rPr>
                      <w:rFonts w:ascii="宋体" w:hAnsi="宋体"/>
                      <w:szCs w:val="16"/>
                      <w:lang w:bidi="ar"/>
                    </w:rPr>
                  </w:pPr>
                  <w:r>
                    <w:rPr>
                      <w:rFonts w:ascii="宋体" w:hAnsi="宋体"/>
                      <w:szCs w:val="16"/>
                      <w:lang w:bidi="ar"/>
                    </w:rPr>
                    <w:t>弃方量（m</w:t>
                  </w:r>
                  <w:r>
                    <w:rPr>
                      <w:rFonts w:ascii="宋体" w:hAnsi="宋体"/>
                      <w:szCs w:val="16"/>
                      <w:vertAlign w:val="superscript"/>
                      <w:lang w:bidi="ar"/>
                    </w:rPr>
                    <w:t>3</w:t>
                  </w:r>
                  <w:r>
                    <w:rPr>
                      <w:rFonts w:ascii="宋体" w:hAnsi="宋体"/>
                      <w:szCs w:val="16"/>
                      <w:lang w:bidi="ar"/>
                    </w:rPr>
                    <w:t>）</w:t>
                  </w:r>
                </w:p>
              </w:tc>
              <w:tc>
                <w:tcPr>
                  <w:tcW w:w="668" w:type="pct"/>
                  <w:vAlign w:val="center"/>
                </w:tcPr>
                <w:p>
                  <w:pPr>
                    <w:spacing w:line="300" w:lineRule="exact"/>
                    <w:jc w:val="center"/>
                    <w:rPr>
                      <w:rFonts w:ascii="宋体" w:hAnsi="宋体"/>
                      <w:szCs w:val="16"/>
                      <w:lang w:bidi="ar"/>
                    </w:rPr>
                  </w:pPr>
                  <w:r>
                    <w:rPr>
                      <w:rFonts w:ascii="宋体" w:hAnsi="宋体"/>
                      <w:szCs w:val="16"/>
                      <w:lang w:bidi="ar"/>
                    </w:rPr>
                    <w:t>借方量（m</w:t>
                  </w:r>
                  <w:r>
                    <w:rPr>
                      <w:rFonts w:ascii="宋体" w:hAnsi="宋体"/>
                      <w:szCs w:val="16"/>
                      <w:vertAlign w:val="superscript"/>
                      <w:lang w:bidi="ar"/>
                    </w:rPr>
                    <w:t>3</w:t>
                  </w:r>
                  <w:r>
                    <w:rPr>
                      <w:rFonts w:ascii="宋体" w:hAnsi="宋体"/>
                      <w:szCs w:val="16"/>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718" w:type="pct"/>
                  <w:vAlign w:val="center"/>
                </w:tcPr>
                <w:p>
                  <w:pPr>
                    <w:spacing w:line="300" w:lineRule="exact"/>
                    <w:jc w:val="center"/>
                    <w:rPr>
                      <w:rFonts w:ascii="宋体" w:hAnsi="宋体"/>
                      <w:szCs w:val="16"/>
                      <w:lang w:bidi="ar"/>
                    </w:rPr>
                  </w:pPr>
                  <w:r>
                    <w:rPr>
                      <w:rFonts w:ascii="宋体" w:hAnsi="宋体"/>
                      <w:szCs w:val="16"/>
                      <w:lang w:bidi="ar"/>
                    </w:rPr>
                    <w:t>井场平整、铺垫</w:t>
                  </w:r>
                </w:p>
              </w:tc>
              <w:tc>
                <w:tcPr>
                  <w:tcW w:w="1073" w:type="pct"/>
                  <w:vAlign w:val="center"/>
                </w:tcPr>
                <w:p>
                  <w:pPr>
                    <w:spacing w:line="300" w:lineRule="exact"/>
                    <w:jc w:val="center"/>
                    <w:rPr>
                      <w:rFonts w:ascii="宋体" w:hAnsi="宋体"/>
                      <w:szCs w:val="16"/>
                      <w:lang w:bidi="ar"/>
                    </w:rPr>
                  </w:pPr>
                  <w:r>
                    <w:rPr>
                      <w:rFonts w:ascii="宋体" w:hAnsi="宋体"/>
                      <w:szCs w:val="16"/>
                      <w:lang w:bidi="ar"/>
                    </w:rPr>
                    <w:t>1211</w:t>
                  </w:r>
                </w:p>
              </w:tc>
              <w:tc>
                <w:tcPr>
                  <w:tcW w:w="1892" w:type="pct"/>
                  <w:tcBorders>
                    <w:right w:val="single" w:color="auto" w:sz="4" w:space="0"/>
                  </w:tcBorders>
                  <w:vAlign w:val="center"/>
                </w:tcPr>
                <w:p>
                  <w:pPr>
                    <w:spacing w:line="300" w:lineRule="exact"/>
                    <w:jc w:val="center"/>
                    <w:rPr>
                      <w:rFonts w:ascii="宋体" w:hAnsi="宋体"/>
                      <w:szCs w:val="16"/>
                      <w:lang w:bidi="ar"/>
                    </w:rPr>
                  </w:pPr>
                  <w:r>
                    <w:rPr>
                      <w:rFonts w:hint="eastAsia" w:ascii="宋体" w:hAnsi="宋体"/>
                      <w:szCs w:val="16"/>
                      <w:lang w:bidi="ar"/>
                    </w:rPr>
                    <w:t>5</w:t>
                  </w:r>
                  <w:r>
                    <w:rPr>
                      <w:rFonts w:ascii="宋体" w:hAnsi="宋体"/>
                      <w:szCs w:val="16"/>
                      <w:lang w:bidi="ar"/>
                    </w:rPr>
                    <w:t>249</w:t>
                  </w:r>
                </w:p>
                <w:p>
                  <w:pPr>
                    <w:spacing w:line="300" w:lineRule="exact"/>
                    <w:jc w:val="center"/>
                    <w:rPr>
                      <w:rFonts w:ascii="宋体" w:hAnsi="宋体"/>
                      <w:szCs w:val="16"/>
                      <w:lang w:bidi="ar"/>
                    </w:rPr>
                  </w:pPr>
                  <w:r>
                    <w:rPr>
                      <w:rFonts w:hint="eastAsia" w:ascii="宋体" w:hAnsi="宋体"/>
                      <w:szCs w:val="16"/>
                      <w:lang w:bidi="ar"/>
                    </w:rPr>
                    <w:t>（下层</w:t>
                  </w:r>
                  <w:r>
                    <w:rPr>
                      <w:rFonts w:ascii="宋体" w:hAnsi="宋体"/>
                      <w:szCs w:val="16"/>
                      <w:lang w:bidi="ar"/>
                    </w:rPr>
                    <w:t>4038m</w:t>
                  </w:r>
                  <w:r>
                    <w:rPr>
                      <w:rFonts w:ascii="宋体" w:hAnsi="宋体"/>
                      <w:szCs w:val="16"/>
                      <w:vertAlign w:val="superscript"/>
                      <w:lang w:bidi="ar"/>
                    </w:rPr>
                    <w:t>3</w:t>
                  </w:r>
                  <w:r>
                    <w:rPr>
                      <w:rFonts w:hint="eastAsia" w:ascii="宋体" w:hAnsi="宋体"/>
                      <w:szCs w:val="16"/>
                      <w:lang w:bidi="ar"/>
                    </w:rPr>
                    <w:t>处理达标的岩屑+上层</w:t>
                  </w:r>
                  <w:r>
                    <w:rPr>
                      <w:rFonts w:ascii="宋体" w:hAnsi="宋体"/>
                      <w:szCs w:val="16"/>
                      <w:lang w:bidi="ar"/>
                    </w:rPr>
                    <w:t>1211m</w:t>
                  </w:r>
                  <w:r>
                    <w:rPr>
                      <w:rFonts w:ascii="宋体" w:hAnsi="宋体"/>
                      <w:szCs w:val="16"/>
                      <w:vertAlign w:val="superscript"/>
                      <w:lang w:bidi="ar"/>
                    </w:rPr>
                    <w:t>3</w:t>
                  </w:r>
                  <w:r>
                    <w:rPr>
                      <w:rFonts w:hint="eastAsia" w:ascii="宋体" w:hAnsi="宋体"/>
                      <w:szCs w:val="16"/>
                      <w:lang w:bidi="ar"/>
                    </w:rPr>
                    <w:t>剥离表层土）</w:t>
                  </w:r>
                </w:p>
              </w:tc>
              <w:tc>
                <w:tcPr>
                  <w:tcW w:w="649" w:type="pct"/>
                  <w:tcBorders>
                    <w:left w:val="single" w:color="auto" w:sz="4" w:space="0"/>
                  </w:tcBorders>
                  <w:vAlign w:val="center"/>
                </w:tcPr>
                <w:p>
                  <w:pPr>
                    <w:spacing w:line="300" w:lineRule="exact"/>
                    <w:jc w:val="center"/>
                    <w:rPr>
                      <w:rFonts w:ascii="宋体" w:hAnsi="宋体"/>
                      <w:szCs w:val="16"/>
                      <w:lang w:bidi="ar"/>
                    </w:rPr>
                  </w:pPr>
                  <w:r>
                    <w:rPr>
                      <w:rFonts w:ascii="宋体" w:hAnsi="宋体"/>
                      <w:szCs w:val="16"/>
                      <w:lang w:bidi="ar"/>
                    </w:rPr>
                    <w:t>0</w:t>
                  </w:r>
                </w:p>
              </w:tc>
              <w:tc>
                <w:tcPr>
                  <w:tcW w:w="668" w:type="pct"/>
                  <w:vAlign w:val="center"/>
                </w:tcPr>
                <w:p>
                  <w:pPr>
                    <w:spacing w:line="300" w:lineRule="exact"/>
                    <w:jc w:val="center"/>
                    <w:rPr>
                      <w:rFonts w:ascii="宋体" w:hAnsi="宋体"/>
                      <w:szCs w:val="16"/>
                      <w:lang w:bidi="ar"/>
                    </w:rPr>
                  </w:pPr>
                  <w:r>
                    <w:rPr>
                      <w:rFonts w:ascii="宋体" w:hAnsi="宋体"/>
                      <w:szCs w:val="16"/>
                      <w:lang w:bidi="ar"/>
                    </w:rPr>
                    <w:t>4038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718" w:type="pct"/>
                  <w:vAlign w:val="center"/>
                </w:tcPr>
                <w:p>
                  <w:pPr>
                    <w:spacing w:line="300" w:lineRule="exact"/>
                    <w:jc w:val="center"/>
                    <w:rPr>
                      <w:rFonts w:ascii="宋体" w:hAnsi="宋体"/>
                      <w:szCs w:val="16"/>
                      <w:lang w:bidi="ar"/>
                    </w:rPr>
                  </w:pPr>
                  <w:r>
                    <w:rPr>
                      <w:rFonts w:ascii="宋体" w:hAnsi="宋体"/>
                      <w:szCs w:val="16"/>
                      <w:lang w:bidi="ar"/>
                    </w:rPr>
                    <w:t>探临道路铺垫</w:t>
                  </w:r>
                </w:p>
              </w:tc>
              <w:tc>
                <w:tcPr>
                  <w:tcW w:w="1073" w:type="pct"/>
                  <w:vAlign w:val="center"/>
                </w:tcPr>
                <w:p>
                  <w:pPr>
                    <w:spacing w:line="300" w:lineRule="exact"/>
                    <w:jc w:val="center"/>
                    <w:rPr>
                      <w:rFonts w:ascii="宋体" w:hAnsi="宋体"/>
                      <w:szCs w:val="16"/>
                      <w:lang w:bidi="ar"/>
                    </w:rPr>
                  </w:pPr>
                  <w:r>
                    <w:rPr>
                      <w:rFonts w:ascii="宋体" w:hAnsi="宋体"/>
                      <w:szCs w:val="16"/>
                      <w:lang w:bidi="ar"/>
                    </w:rPr>
                    <w:t>311</w:t>
                  </w:r>
                </w:p>
              </w:tc>
              <w:tc>
                <w:tcPr>
                  <w:tcW w:w="1892" w:type="pct"/>
                  <w:tcBorders>
                    <w:right w:val="single" w:color="auto" w:sz="4" w:space="0"/>
                  </w:tcBorders>
                  <w:vAlign w:val="center"/>
                </w:tcPr>
                <w:p>
                  <w:pPr>
                    <w:spacing w:line="300" w:lineRule="exact"/>
                    <w:jc w:val="center"/>
                    <w:rPr>
                      <w:rFonts w:ascii="宋体" w:hAnsi="宋体"/>
                      <w:szCs w:val="16"/>
                      <w:lang w:bidi="ar"/>
                    </w:rPr>
                  </w:pPr>
                  <w:r>
                    <w:rPr>
                      <w:rFonts w:hint="eastAsia" w:ascii="宋体" w:hAnsi="宋体"/>
                      <w:szCs w:val="16"/>
                      <w:lang w:bidi="ar"/>
                    </w:rPr>
                    <w:t>7</w:t>
                  </w:r>
                  <w:r>
                    <w:rPr>
                      <w:rFonts w:ascii="宋体" w:hAnsi="宋体"/>
                      <w:szCs w:val="16"/>
                      <w:lang w:bidi="ar"/>
                    </w:rPr>
                    <w:t>25</w:t>
                  </w:r>
                </w:p>
                <w:p>
                  <w:pPr>
                    <w:spacing w:line="300" w:lineRule="exact"/>
                    <w:jc w:val="center"/>
                    <w:rPr>
                      <w:rFonts w:ascii="宋体" w:hAnsi="宋体"/>
                      <w:szCs w:val="16"/>
                      <w:lang w:bidi="ar"/>
                    </w:rPr>
                  </w:pPr>
                  <w:r>
                    <w:rPr>
                      <w:rFonts w:hint="eastAsia" w:ascii="宋体" w:hAnsi="宋体"/>
                      <w:szCs w:val="16"/>
                      <w:lang w:bidi="ar"/>
                    </w:rPr>
                    <w:t>（下层</w:t>
                  </w:r>
                  <w:r>
                    <w:rPr>
                      <w:rFonts w:ascii="宋体" w:hAnsi="宋体"/>
                      <w:szCs w:val="16"/>
                      <w:lang w:bidi="ar"/>
                    </w:rPr>
                    <w:t>414m</w:t>
                  </w:r>
                  <w:r>
                    <w:rPr>
                      <w:rFonts w:ascii="宋体" w:hAnsi="宋体"/>
                      <w:szCs w:val="16"/>
                      <w:vertAlign w:val="superscript"/>
                      <w:lang w:bidi="ar"/>
                    </w:rPr>
                    <w:t>3</w:t>
                  </w:r>
                  <w:r>
                    <w:rPr>
                      <w:rFonts w:hint="eastAsia" w:ascii="宋体" w:hAnsi="宋体"/>
                      <w:szCs w:val="16"/>
                      <w:lang w:bidi="ar"/>
                    </w:rPr>
                    <w:t>处理达标的岩屑+上层</w:t>
                  </w:r>
                  <w:r>
                    <w:rPr>
                      <w:rFonts w:ascii="宋体" w:hAnsi="宋体"/>
                      <w:szCs w:val="16"/>
                      <w:lang w:bidi="ar"/>
                    </w:rPr>
                    <w:t>311m</w:t>
                  </w:r>
                  <w:r>
                    <w:rPr>
                      <w:rFonts w:ascii="宋体" w:hAnsi="宋体"/>
                      <w:szCs w:val="16"/>
                      <w:vertAlign w:val="superscript"/>
                      <w:lang w:bidi="ar"/>
                    </w:rPr>
                    <w:t>3</w:t>
                  </w:r>
                  <w:r>
                    <w:rPr>
                      <w:rFonts w:hint="eastAsia" w:ascii="宋体" w:hAnsi="宋体"/>
                      <w:szCs w:val="16"/>
                      <w:lang w:bidi="ar"/>
                    </w:rPr>
                    <w:t>剥离表层土）</w:t>
                  </w:r>
                </w:p>
              </w:tc>
              <w:tc>
                <w:tcPr>
                  <w:tcW w:w="649" w:type="pct"/>
                  <w:tcBorders>
                    <w:left w:val="single" w:color="auto" w:sz="4" w:space="0"/>
                  </w:tcBorders>
                  <w:vAlign w:val="center"/>
                </w:tcPr>
                <w:p>
                  <w:pPr>
                    <w:spacing w:line="300" w:lineRule="exact"/>
                    <w:jc w:val="center"/>
                    <w:rPr>
                      <w:rFonts w:ascii="宋体" w:hAnsi="宋体"/>
                      <w:szCs w:val="16"/>
                      <w:lang w:bidi="ar"/>
                    </w:rPr>
                  </w:pPr>
                  <w:r>
                    <w:rPr>
                      <w:rFonts w:ascii="宋体" w:hAnsi="宋体"/>
                      <w:szCs w:val="16"/>
                      <w:lang w:bidi="ar"/>
                    </w:rPr>
                    <w:t>0</w:t>
                  </w:r>
                </w:p>
              </w:tc>
              <w:tc>
                <w:tcPr>
                  <w:tcW w:w="668" w:type="pct"/>
                  <w:vAlign w:val="center"/>
                </w:tcPr>
                <w:p>
                  <w:pPr>
                    <w:spacing w:line="300" w:lineRule="exact"/>
                    <w:jc w:val="center"/>
                    <w:rPr>
                      <w:rFonts w:ascii="宋体" w:hAnsi="宋体"/>
                      <w:szCs w:val="16"/>
                      <w:lang w:bidi="ar"/>
                    </w:rPr>
                  </w:pPr>
                  <w:r>
                    <w:rPr>
                      <w:rFonts w:ascii="宋体" w:hAnsi="宋体"/>
                      <w:szCs w:val="16"/>
                      <w:lang w:bidi="ar"/>
                    </w:rPr>
                    <w:t>414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718" w:type="pct"/>
                  <w:vAlign w:val="center"/>
                </w:tcPr>
                <w:p>
                  <w:pPr>
                    <w:spacing w:line="300" w:lineRule="exact"/>
                    <w:jc w:val="center"/>
                    <w:rPr>
                      <w:rFonts w:ascii="宋体" w:hAnsi="宋体"/>
                      <w:szCs w:val="16"/>
                      <w:lang w:bidi="ar"/>
                    </w:rPr>
                  </w:pPr>
                  <w:r>
                    <w:rPr>
                      <w:rFonts w:hint="eastAsia" w:ascii="宋体" w:hAnsi="宋体"/>
                      <w:szCs w:val="16"/>
                      <w:lang w:bidi="ar"/>
                    </w:rPr>
                    <w:t>合计</w:t>
                  </w:r>
                </w:p>
              </w:tc>
              <w:tc>
                <w:tcPr>
                  <w:tcW w:w="1073" w:type="pct"/>
                  <w:vAlign w:val="center"/>
                </w:tcPr>
                <w:p>
                  <w:pPr>
                    <w:spacing w:line="300" w:lineRule="exact"/>
                    <w:jc w:val="center"/>
                    <w:rPr>
                      <w:rFonts w:ascii="宋体" w:hAnsi="宋体"/>
                      <w:szCs w:val="16"/>
                      <w:lang w:bidi="ar"/>
                    </w:rPr>
                  </w:pPr>
                  <w:r>
                    <w:rPr>
                      <w:rFonts w:ascii="宋体" w:hAnsi="宋体"/>
                      <w:szCs w:val="16"/>
                      <w:lang w:bidi="ar"/>
                    </w:rPr>
                    <w:t>1522</w:t>
                  </w:r>
                </w:p>
              </w:tc>
              <w:tc>
                <w:tcPr>
                  <w:tcW w:w="1892" w:type="pct"/>
                  <w:tcBorders>
                    <w:right w:val="single" w:color="auto" w:sz="4" w:space="0"/>
                  </w:tcBorders>
                  <w:vAlign w:val="center"/>
                </w:tcPr>
                <w:p>
                  <w:pPr>
                    <w:spacing w:line="300" w:lineRule="exact"/>
                    <w:jc w:val="center"/>
                    <w:rPr>
                      <w:rFonts w:ascii="宋体" w:hAnsi="宋体"/>
                      <w:szCs w:val="16"/>
                      <w:lang w:bidi="ar"/>
                    </w:rPr>
                  </w:pPr>
                  <w:r>
                    <w:rPr>
                      <w:rFonts w:ascii="宋体" w:hAnsi="宋体"/>
                      <w:szCs w:val="16"/>
                      <w:lang w:bidi="ar"/>
                    </w:rPr>
                    <w:t>5974</w:t>
                  </w:r>
                </w:p>
              </w:tc>
              <w:tc>
                <w:tcPr>
                  <w:tcW w:w="649" w:type="pct"/>
                  <w:tcBorders>
                    <w:left w:val="single" w:color="auto" w:sz="4" w:space="0"/>
                  </w:tcBorders>
                  <w:vAlign w:val="center"/>
                </w:tcPr>
                <w:p>
                  <w:pPr>
                    <w:spacing w:line="300" w:lineRule="exact"/>
                    <w:jc w:val="center"/>
                    <w:rPr>
                      <w:rFonts w:ascii="宋体" w:hAnsi="宋体"/>
                      <w:szCs w:val="16"/>
                      <w:lang w:bidi="ar"/>
                    </w:rPr>
                  </w:pPr>
                  <w:r>
                    <w:rPr>
                      <w:rFonts w:hint="eastAsia" w:ascii="宋体" w:hAnsi="宋体"/>
                      <w:szCs w:val="16"/>
                      <w:lang w:bidi="ar"/>
                    </w:rPr>
                    <w:t>0</w:t>
                  </w:r>
                </w:p>
              </w:tc>
              <w:tc>
                <w:tcPr>
                  <w:tcW w:w="668" w:type="pct"/>
                  <w:vAlign w:val="center"/>
                </w:tcPr>
                <w:p>
                  <w:pPr>
                    <w:spacing w:line="300" w:lineRule="exact"/>
                    <w:jc w:val="center"/>
                    <w:rPr>
                      <w:rFonts w:ascii="宋体" w:hAnsi="宋体"/>
                      <w:szCs w:val="16"/>
                      <w:lang w:bidi="ar"/>
                    </w:rPr>
                  </w:pPr>
                  <w:r>
                    <w:rPr>
                      <w:rFonts w:ascii="宋体" w:hAnsi="宋体"/>
                      <w:szCs w:val="16"/>
                      <w:lang w:bidi="ar"/>
                    </w:rPr>
                    <w:t>4452</w:t>
                  </w:r>
                </w:p>
              </w:tc>
            </w:tr>
            <w:bookmarkEnd w:id="28"/>
          </w:tbl>
          <w:p>
            <w:pPr>
              <w:pStyle w:val="46"/>
              <w:wordWrap w:val="0"/>
              <w:ind w:firstLine="480"/>
            </w:pPr>
            <w:r>
              <w:rPr>
                <w:rFonts w:hint="eastAsia"/>
              </w:rPr>
              <w:t>综上所述，本项目产生的各类固体废物均可得到妥善处置，不会对周围环境造成不良影响。</w:t>
            </w:r>
          </w:p>
          <w:p>
            <w:pPr>
              <w:pStyle w:val="46"/>
              <w:wordWrap w:val="0"/>
              <w:ind w:firstLine="482"/>
              <w:rPr>
                <w:rFonts w:cs="宋体"/>
                <w:b/>
                <w:bCs/>
                <w:szCs w:val="21"/>
              </w:rPr>
            </w:pPr>
            <w:r>
              <w:rPr>
                <w:rFonts w:cs="宋体"/>
                <w:b/>
                <w:bCs/>
                <w:szCs w:val="21"/>
              </w:rPr>
              <w:t>7</w:t>
            </w:r>
            <w:r>
              <w:rPr>
                <w:rFonts w:hint="eastAsia" w:cs="宋体"/>
                <w:b/>
                <w:bCs/>
                <w:szCs w:val="21"/>
              </w:rPr>
              <w:t>、环境风险影响分析</w:t>
            </w:r>
          </w:p>
          <w:p>
            <w:pPr>
              <w:pStyle w:val="46"/>
              <w:wordWrap w:val="0"/>
              <w:ind w:firstLine="480"/>
              <w:rPr>
                <w:rFonts w:cs="宋体"/>
                <w:szCs w:val="21"/>
              </w:rPr>
            </w:pPr>
            <w:r>
              <w:rPr>
                <w:rFonts w:hint="eastAsia" w:cs="宋体"/>
                <w:szCs w:val="21"/>
              </w:rPr>
              <w:t>（1）评价依据</w:t>
            </w:r>
          </w:p>
          <w:p>
            <w:pPr>
              <w:pStyle w:val="46"/>
              <w:wordWrap w:val="0"/>
              <w:ind w:firstLine="480"/>
              <w:rPr>
                <w:rFonts w:cs="宋体"/>
                <w:szCs w:val="21"/>
              </w:rPr>
            </w:pPr>
            <w:r>
              <w:rPr>
                <w:rFonts w:hint="eastAsia" w:cs="宋体"/>
                <w:szCs w:val="21"/>
              </w:rPr>
              <w:t>井场危险物质为原油、柴油和伴生气。井场采出液方罐原油的最大量约为</w:t>
            </w:r>
            <w:r>
              <w:rPr>
                <w:rFonts w:cs="宋体"/>
                <w:szCs w:val="21"/>
              </w:rPr>
              <w:t>6</w:t>
            </w:r>
            <w:r>
              <w:rPr>
                <w:rFonts w:hint="eastAsia" w:cs="宋体"/>
                <w:szCs w:val="21"/>
              </w:rPr>
              <w:t>0m³（</w:t>
            </w:r>
            <w:r>
              <w:rPr>
                <w:rFonts w:cs="宋体"/>
                <w:szCs w:val="21"/>
              </w:rPr>
              <w:t>4</w:t>
            </w:r>
            <w:r>
              <w:rPr>
                <w:rFonts w:hint="eastAsia" w:cs="宋体"/>
                <w:szCs w:val="21"/>
              </w:rPr>
              <w:t>5t）；柴油储罐最大容量约</w:t>
            </w:r>
            <w:r>
              <w:rPr>
                <w:rFonts w:cs="宋体"/>
                <w:szCs w:val="21"/>
              </w:rPr>
              <w:t>60</w:t>
            </w:r>
            <w:r>
              <w:rPr>
                <w:rFonts w:hint="eastAsia" w:cs="宋体"/>
                <w:szCs w:val="21"/>
              </w:rPr>
              <w:t>t；因此，试油期井场油类物质的最大量为</w:t>
            </w:r>
            <w:r>
              <w:rPr>
                <w:rFonts w:cs="宋体"/>
                <w:szCs w:val="21"/>
              </w:rPr>
              <w:t>105</w:t>
            </w:r>
            <w:r>
              <w:rPr>
                <w:rFonts w:hint="eastAsia" w:cs="宋体"/>
                <w:szCs w:val="21"/>
              </w:rPr>
              <w:t>t。伴生气主要成分为天然气，按照排气管线中最大容量计算，最大在线量约0</w:t>
            </w:r>
            <w:r>
              <w:rPr>
                <w:rFonts w:cs="宋体"/>
                <w:szCs w:val="21"/>
              </w:rPr>
              <w:t>.001t。</w:t>
            </w:r>
            <w:r>
              <w:rPr>
                <w:rFonts w:hint="eastAsia" w:cs="宋体"/>
                <w:szCs w:val="21"/>
              </w:rPr>
              <w:t>则单井场危险物质最大储存量与临界量比值Q=</w:t>
            </w:r>
            <w:r>
              <w:rPr>
                <w:rFonts w:cs="宋体"/>
                <w:szCs w:val="21"/>
              </w:rPr>
              <w:t>0.0421</w:t>
            </w:r>
            <w:r>
              <w:rPr>
                <w:rFonts w:hint="eastAsia" w:cs="宋体"/>
                <w:szCs w:val="21"/>
              </w:rPr>
              <w:t>。故Q＜1，风险潜势为Ⅰ。评价等级为简单分析。</w:t>
            </w:r>
          </w:p>
          <w:p>
            <w:pPr>
              <w:pStyle w:val="46"/>
              <w:wordWrap w:val="0"/>
              <w:ind w:firstLine="480"/>
              <w:rPr>
                <w:rFonts w:cs="宋体"/>
                <w:szCs w:val="21"/>
              </w:rPr>
            </w:pPr>
            <w:r>
              <w:rPr>
                <w:rFonts w:hint="eastAsia" w:cs="宋体"/>
                <w:szCs w:val="21"/>
              </w:rPr>
              <w:t>（</w:t>
            </w:r>
            <w:r>
              <w:rPr>
                <w:rFonts w:cs="宋体"/>
                <w:szCs w:val="21"/>
              </w:rPr>
              <w:t>2</w:t>
            </w:r>
            <w:r>
              <w:rPr>
                <w:rFonts w:hint="eastAsia" w:cs="宋体"/>
                <w:szCs w:val="21"/>
              </w:rPr>
              <w:t>）环境敏感目标概况</w:t>
            </w:r>
          </w:p>
          <w:p>
            <w:pPr>
              <w:pStyle w:val="46"/>
              <w:wordWrap w:val="0"/>
              <w:ind w:firstLine="480"/>
              <w:rPr>
                <w:rFonts w:cs="宋体"/>
                <w:szCs w:val="21"/>
              </w:rPr>
            </w:pPr>
            <w:r>
              <w:rPr>
                <w:rFonts w:hint="eastAsia" w:cs="宋体"/>
                <w:szCs w:val="21"/>
              </w:rPr>
              <w:t>简单分析不设风险评价范围，无环境风险敏感目标</w:t>
            </w:r>
            <w:r>
              <w:rPr>
                <w:rFonts w:hint="eastAsia" w:cs="宋体"/>
              </w:rPr>
              <w:t>。</w:t>
            </w:r>
          </w:p>
          <w:p>
            <w:pPr>
              <w:pStyle w:val="46"/>
              <w:wordWrap w:val="0"/>
              <w:ind w:firstLine="480"/>
              <w:rPr>
                <w:rFonts w:cs="宋体"/>
                <w:szCs w:val="21"/>
              </w:rPr>
            </w:pPr>
            <w:r>
              <w:rPr>
                <w:rFonts w:hint="eastAsia" w:cs="宋体"/>
                <w:szCs w:val="21"/>
              </w:rPr>
              <w:t>（</w:t>
            </w:r>
            <w:r>
              <w:rPr>
                <w:rFonts w:cs="宋体"/>
                <w:szCs w:val="21"/>
              </w:rPr>
              <w:t>3</w:t>
            </w:r>
            <w:r>
              <w:rPr>
                <w:rFonts w:hint="eastAsia" w:cs="宋体"/>
                <w:szCs w:val="21"/>
              </w:rPr>
              <w:t>）环境风险识别</w:t>
            </w:r>
          </w:p>
          <w:p>
            <w:pPr>
              <w:pStyle w:val="53"/>
              <w:wordWrap w:val="0"/>
              <w:adjustRightInd w:val="0"/>
              <w:snapToGrid w:val="0"/>
              <w:ind w:firstLine="480"/>
              <w:rPr>
                <w:bCs/>
              </w:rPr>
            </w:pPr>
            <w:r>
              <w:rPr>
                <w:rFonts w:hint="eastAsia"/>
                <w:bCs/>
              </w:rPr>
              <w:t>①风险物质识别</w:t>
            </w:r>
          </w:p>
          <w:p>
            <w:pPr>
              <w:pStyle w:val="46"/>
              <w:wordWrap w:val="0"/>
              <w:ind w:firstLine="480"/>
              <w:rPr>
                <w:rFonts w:cs="宋体"/>
                <w:szCs w:val="21"/>
                <w:lang w:bidi="zh-CN"/>
              </w:rPr>
            </w:pPr>
            <w:r>
              <w:rPr>
                <w:rFonts w:cs="宋体"/>
                <w:szCs w:val="21"/>
                <w:lang w:bidi="zh-CN"/>
              </w:rPr>
              <w:t>涉及的环境风险物质主要为</w:t>
            </w:r>
            <w:r>
              <w:rPr>
                <w:rFonts w:hint="eastAsia" w:cs="宋体"/>
                <w:szCs w:val="21"/>
                <w:lang w:bidi="zh-CN"/>
              </w:rPr>
              <w:t>原油、伴生气和柴油，</w:t>
            </w:r>
            <w:r>
              <w:rPr>
                <w:rFonts w:cs="宋体"/>
                <w:szCs w:val="21"/>
                <w:lang w:bidi="zh-CN"/>
              </w:rPr>
              <w:t>其主要物化、毒理性质、危险等级划分见</w:t>
            </w:r>
            <w:r>
              <w:rPr>
                <w:rFonts w:hint="eastAsia" w:cs="宋体"/>
                <w:szCs w:val="21"/>
                <w:lang w:bidi="zh-CN"/>
              </w:rPr>
              <w:t>表1</w:t>
            </w:r>
            <w:r>
              <w:rPr>
                <w:rFonts w:cs="宋体"/>
                <w:szCs w:val="21"/>
                <w:lang w:bidi="zh-CN"/>
              </w:rPr>
              <w:t>2。</w:t>
            </w:r>
          </w:p>
          <w:p>
            <w:pPr>
              <w:pStyle w:val="6"/>
              <w:keepNext/>
            </w:pPr>
            <w:r>
              <w:rPr>
                <w:rFonts w:hint="eastAsia"/>
              </w:rPr>
              <w:t>表1</w:t>
            </w:r>
            <w:r>
              <w:t xml:space="preserve">2    </w:t>
            </w:r>
            <w:r>
              <w:rPr>
                <w:rFonts w:hint="eastAsia" w:cs="宋体"/>
                <w:szCs w:val="21"/>
                <w:lang w:val="zh-CN" w:bidi="zh-CN"/>
              </w:rPr>
              <w:t>危险物质</w:t>
            </w:r>
            <w:r>
              <w:rPr>
                <w:rFonts w:cs="宋体"/>
                <w:szCs w:val="21"/>
                <w:lang w:val="zh-CN" w:bidi="zh-CN"/>
              </w:rPr>
              <w:t>理化性质及危险级别分类情况</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325"/>
              <w:gridCol w:w="329"/>
              <w:gridCol w:w="871"/>
              <w:gridCol w:w="3119"/>
              <w:gridCol w:w="2321"/>
              <w:gridCol w:w="6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 w:hRule="atLeast"/>
                <w:jc w:val="center"/>
              </w:trPr>
              <w:tc>
                <w:tcPr>
                  <w:tcW w:w="325"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序号</w:t>
                  </w:r>
                </w:p>
              </w:tc>
              <w:tc>
                <w:tcPr>
                  <w:tcW w:w="329"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名称</w:t>
                  </w:r>
                </w:p>
              </w:tc>
              <w:tc>
                <w:tcPr>
                  <w:tcW w:w="871"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组分</w:t>
                  </w:r>
                </w:p>
              </w:tc>
              <w:tc>
                <w:tcPr>
                  <w:tcW w:w="3119"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危险性</w:t>
                  </w:r>
                </w:p>
              </w:tc>
              <w:tc>
                <w:tcPr>
                  <w:tcW w:w="2321"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燃烧爆炸特性参数</w:t>
                  </w:r>
                </w:p>
              </w:tc>
              <w:tc>
                <w:tcPr>
                  <w:tcW w:w="684"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危险级别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25"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1</w:t>
                  </w:r>
                </w:p>
              </w:tc>
              <w:tc>
                <w:tcPr>
                  <w:tcW w:w="329"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原油</w:t>
                  </w:r>
                </w:p>
              </w:tc>
              <w:tc>
                <w:tcPr>
                  <w:tcW w:w="871" w:type="dxa"/>
                  <w:vAlign w:val="center"/>
                </w:tcPr>
                <w:p>
                  <w:pPr>
                    <w:pStyle w:val="46"/>
                    <w:wordWrap w:val="0"/>
                    <w:spacing w:line="240" w:lineRule="exact"/>
                    <w:ind w:firstLine="0" w:firstLineChars="0"/>
                    <w:jc w:val="center"/>
                    <w:rPr>
                      <w:rFonts w:cs="宋体"/>
                      <w:sz w:val="21"/>
                      <w:szCs w:val="21"/>
                    </w:rPr>
                  </w:pPr>
                  <w:r>
                    <w:rPr>
                      <w:rFonts w:cs="宋体"/>
                      <w:sz w:val="21"/>
                      <w:szCs w:val="21"/>
                      <w:lang w:bidi="zh-CN"/>
                    </w:rPr>
                    <w:t>各种烃类和非烃类化合物所组成的复杂混合物</w:t>
                  </w:r>
                </w:p>
              </w:tc>
              <w:tc>
                <w:tcPr>
                  <w:tcW w:w="3119"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原油本身无明显毒性。遇热分解出有毒烟雾，人体大量吸入可引起危害：有刺激和麻痹作用，急性中毒者有上呼吸道刺激症状</w:t>
                  </w:r>
                </w:p>
              </w:tc>
              <w:tc>
                <w:tcPr>
                  <w:tcW w:w="2321" w:type="dxa"/>
                  <w:vAlign w:val="center"/>
                </w:tcPr>
                <w:p>
                  <w:pPr>
                    <w:wordWrap w:val="0"/>
                    <w:spacing w:line="240" w:lineRule="exact"/>
                    <w:jc w:val="center"/>
                    <w:rPr>
                      <w:rFonts w:ascii="宋体" w:hAnsi="宋体"/>
                    </w:rPr>
                  </w:pPr>
                  <w:r>
                    <w:rPr>
                      <w:rFonts w:hint="eastAsia" w:ascii="宋体" w:hAnsi="宋体"/>
                      <w:szCs w:val="21"/>
                    </w:rPr>
                    <w:t>热值：41870</w:t>
                  </w:r>
                  <w:r>
                    <w:rPr>
                      <w:rFonts w:ascii="宋体" w:hAnsi="宋体"/>
                      <w:szCs w:val="21"/>
                    </w:rPr>
                    <w:t>k</w:t>
                  </w:r>
                  <w:r>
                    <w:rPr>
                      <w:rFonts w:hint="eastAsia" w:ascii="宋体" w:hAnsi="宋体"/>
                      <w:szCs w:val="21"/>
                    </w:rPr>
                    <w:t>J/kg；沸点：300～325℃；闪点：23.5℃；爆炸极限：1.1～6.4%（v）；</w:t>
                  </w:r>
                  <w:r>
                    <w:rPr>
                      <w:rFonts w:hint="eastAsia" w:ascii="宋体" w:hAnsi="宋体"/>
                    </w:rPr>
                    <w:t>自然燃点：380～530℃</w:t>
                  </w:r>
                </w:p>
              </w:tc>
              <w:tc>
                <w:tcPr>
                  <w:tcW w:w="684" w:type="dxa"/>
                  <w:vAlign w:val="center"/>
                </w:tcPr>
                <w:p>
                  <w:pPr>
                    <w:pStyle w:val="46"/>
                    <w:wordWrap w:val="0"/>
                    <w:spacing w:line="240" w:lineRule="exact"/>
                    <w:ind w:firstLine="0" w:firstLineChars="0"/>
                    <w:jc w:val="center"/>
                    <w:rPr>
                      <w:rFonts w:cs="宋体"/>
                      <w:sz w:val="21"/>
                      <w:szCs w:val="21"/>
                    </w:rPr>
                  </w:pPr>
                  <w:r>
                    <w:rPr>
                      <w:rFonts w:cs="宋体"/>
                      <w:sz w:val="21"/>
                      <w:szCs w:val="21"/>
                      <w:lang w:bidi="zh-CN"/>
                    </w:rPr>
                    <w:t>高闪点液体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5"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2</w:t>
                  </w:r>
                </w:p>
              </w:tc>
              <w:tc>
                <w:tcPr>
                  <w:tcW w:w="329"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伴生气</w:t>
                  </w:r>
                </w:p>
              </w:tc>
              <w:tc>
                <w:tcPr>
                  <w:tcW w:w="871"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主要成分包括甲烷、乙烷等</w:t>
                  </w:r>
                </w:p>
              </w:tc>
              <w:tc>
                <w:tcPr>
                  <w:tcW w:w="3119"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伴生气中主要包括天然气。天然气中含有的甲烷，是一种无毒气体，当空气中大量弥漫这种气体时会使人因氧气不足而呼吸困难，进而失去知觉、昏迷甚至残废</w:t>
                  </w:r>
                </w:p>
              </w:tc>
              <w:tc>
                <w:tcPr>
                  <w:tcW w:w="2321" w:type="dxa"/>
                  <w:vAlign w:val="center"/>
                </w:tcPr>
                <w:p>
                  <w:pPr>
                    <w:pStyle w:val="46"/>
                    <w:wordWrap w:val="0"/>
                    <w:spacing w:line="240" w:lineRule="exact"/>
                    <w:ind w:firstLine="0" w:firstLineChars="0"/>
                    <w:jc w:val="center"/>
                    <w:rPr>
                      <w:rFonts w:cs="宋体"/>
                      <w:sz w:val="21"/>
                      <w:szCs w:val="21"/>
                    </w:rPr>
                  </w:pPr>
                  <w:r>
                    <w:rPr>
                      <w:rFonts w:hint="eastAsia"/>
                      <w:kern w:val="2"/>
                      <w:sz w:val="21"/>
                      <w:szCs w:val="21"/>
                    </w:rPr>
                    <w:t>热值：50009</w:t>
                  </w:r>
                  <w:r>
                    <w:rPr>
                      <w:kern w:val="2"/>
                      <w:sz w:val="21"/>
                      <w:szCs w:val="21"/>
                    </w:rPr>
                    <w:t>k</w:t>
                  </w:r>
                  <w:r>
                    <w:rPr>
                      <w:rFonts w:hint="eastAsia"/>
                      <w:kern w:val="2"/>
                      <w:sz w:val="21"/>
                      <w:szCs w:val="21"/>
                    </w:rPr>
                    <w:t>J/kg；爆炸极限：5～14%（v）；自然燃点：482～632℃</w:t>
                  </w:r>
                </w:p>
              </w:tc>
              <w:tc>
                <w:tcPr>
                  <w:tcW w:w="684" w:type="dxa"/>
                  <w:vAlign w:val="center"/>
                </w:tcPr>
                <w:p>
                  <w:pPr>
                    <w:pStyle w:val="46"/>
                    <w:wordWrap w:val="0"/>
                    <w:spacing w:line="240" w:lineRule="exact"/>
                    <w:ind w:firstLine="0" w:firstLineChars="0"/>
                    <w:jc w:val="center"/>
                    <w:rPr>
                      <w:rFonts w:cs="宋体"/>
                      <w:sz w:val="21"/>
                      <w:szCs w:val="21"/>
                      <w:lang w:bidi="zh-CN"/>
                    </w:rPr>
                  </w:pPr>
                  <w:r>
                    <w:rPr>
                      <w:rFonts w:cs="宋体"/>
                      <w:sz w:val="21"/>
                      <w:szCs w:val="21"/>
                      <w:lang w:bidi="zh-CN"/>
                    </w:rPr>
                    <w:t>易燃气体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5"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3</w:t>
                  </w:r>
                </w:p>
              </w:tc>
              <w:tc>
                <w:tcPr>
                  <w:tcW w:w="329"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柴油</w:t>
                  </w:r>
                </w:p>
              </w:tc>
              <w:tc>
                <w:tcPr>
                  <w:tcW w:w="871"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复杂烃类(碳原子数约</w:t>
                  </w:r>
                  <w:r>
                    <w:rPr>
                      <w:rFonts w:cs="宋体"/>
                      <w:sz w:val="21"/>
                      <w:szCs w:val="21"/>
                    </w:rPr>
                    <w:t>1</w:t>
                  </w:r>
                  <w:r>
                    <w:rPr>
                      <w:rFonts w:hint="eastAsia" w:cs="宋体"/>
                      <w:sz w:val="21"/>
                      <w:szCs w:val="21"/>
                    </w:rPr>
                    <w:t>0～22)混合物</w:t>
                  </w:r>
                </w:p>
              </w:tc>
              <w:tc>
                <w:tcPr>
                  <w:tcW w:w="3119"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柴油的毒性类似于煤油，但由于添加剂(如硫化酯类)的影响，毒性比煤油略大，主要有麻醉和刺激作用。柴油的雾滴吸入后可致吸入性肺炎，皮肤接触柴油可致接触性皮炎</w:t>
                  </w:r>
                </w:p>
              </w:tc>
              <w:tc>
                <w:tcPr>
                  <w:tcW w:w="2321" w:type="dxa"/>
                  <w:vAlign w:val="center"/>
                </w:tcPr>
                <w:p>
                  <w:pPr>
                    <w:pStyle w:val="46"/>
                    <w:wordWrap w:val="0"/>
                    <w:spacing w:line="240" w:lineRule="exact"/>
                    <w:ind w:firstLine="0" w:firstLineChars="0"/>
                    <w:jc w:val="center"/>
                    <w:rPr>
                      <w:rFonts w:cs="宋体"/>
                      <w:sz w:val="21"/>
                      <w:szCs w:val="21"/>
                    </w:rPr>
                  </w:pPr>
                  <w:r>
                    <w:rPr>
                      <w:rFonts w:hint="eastAsia" w:cs="宋体"/>
                      <w:sz w:val="21"/>
                      <w:szCs w:val="21"/>
                    </w:rPr>
                    <w:t>热值：3.3×10</w:t>
                  </w:r>
                  <w:r>
                    <w:rPr>
                      <w:rFonts w:cs="宋体"/>
                      <w:sz w:val="21"/>
                      <w:szCs w:val="21"/>
                      <w:vertAlign w:val="superscript"/>
                    </w:rPr>
                    <w:t>4</w:t>
                  </w:r>
                  <w:r>
                    <w:rPr>
                      <w:rFonts w:cs="宋体"/>
                      <w:sz w:val="21"/>
                      <w:szCs w:val="21"/>
                    </w:rPr>
                    <w:t>k</w:t>
                  </w:r>
                  <w:r>
                    <w:rPr>
                      <w:rFonts w:hint="eastAsia" w:cs="宋体"/>
                      <w:sz w:val="21"/>
                      <w:szCs w:val="21"/>
                    </w:rPr>
                    <w:t>J/L；沸点范围：180～370℃和350～410℃；两类闪点：</w:t>
                  </w:r>
                  <w:r>
                    <w:rPr>
                      <w:rFonts w:cs="宋体"/>
                      <w:sz w:val="21"/>
                      <w:szCs w:val="21"/>
                    </w:rPr>
                    <w:t>3</w:t>
                  </w:r>
                  <w:r>
                    <w:rPr>
                      <w:rFonts w:hint="eastAsia" w:cs="宋体"/>
                      <w:sz w:val="21"/>
                      <w:szCs w:val="21"/>
                    </w:rPr>
                    <w:t>8℃</w:t>
                  </w:r>
                </w:p>
              </w:tc>
              <w:tc>
                <w:tcPr>
                  <w:tcW w:w="684" w:type="dxa"/>
                  <w:vAlign w:val="center"/>
                </w:tcPr>
                <w:p>
                  <w:pPr>
                    <w:pStyle w:val="46"/>
                    <w:wordWrap w:val="0"/>
                    <w:spacing w:line="240" w:lineRule="exact"/>
                    <w:ind w:firstLine="0" w:firstLineChars="0"/>
                    <w:jc w:val="center"/>
                    <w:rPr>
                      <w:rFonts w:cs="宋体"/>
                      <w:sz w:val="21"/>
                      <w:szCs w:val="21"/>
                    </w:rPr>
                  </w:pPr>
                  <w:r>
                    <w:rPr>
                      <w:rFonts w:cs="宋体"/>
                      <w:sz w:val="21"/>
                      <w:szCs w:val="21"/>
                      <w:lang w:bidi="zh-CN"/>
                    </w:rPr>
                    <w:t>高闪点液体</w:t>
                  </w:r>
                </w:p>
              </w:tc>
            </w:tr>
          </w:tbl>
          <w:p>
            <w:pPr>
              <w:pStyle w:val="53"/>
              <w:adjustRightInd w:val="0"/>
              <w:snapToGrid w:val="0"/>
              <w:ind w:firstLine="480"/>
            </w:pPr>
            <w:r>
              <w:rPr>
                <w:rFonts w:hint="eastAsia"/>
              </w:rPr>
              <w:t>②生产设施风险识别</w:t>
            </w:r>
          </w:p>
          <w:p>
            <w:pPr>
              <w:pStyle w:val="53"/>
              <w:adjustRightInd w:val="0"/>
              <w:snapToGrid w:val="0"/>
              <w:ind w:firstLine="480"/>
              <w:rPr>
                <w:bCs/>
              </w:rPr>
            </w:pPr>
            <w:r>
              <w:rPr>
                <w:rFonts w:hint="eastAsia"/>
                <w:bCs/>
              </w:rPr>
              <w:t>※井喷事故风险</w:t>
            </w:r>
          </w:p>
          <w:p>
            <w:pPr>
              <w:pStyle w:val="53"/>
              <w:adjustRightInd w:val="0"/>
              <w:snapToGrid w:val="0"/>
              <w:ind w:firstLine="480"/>
              <w:rPr>
                <w:bCs/>
              </w:rPr>
            </w:pPr>
            <w:r>
              <w:rPr>
                <w:rFonts w:hint="eastAsia"/>
                <w:bCs/>
              </w:rPr>
              <w:t>若井底压力小于地层压力，地层流体将进入井筒并推动钻井液外溢，即发生溢流。此时，如果对地下油、气压力平衡控制不当，不能及时控制溢流，会造成油、气、水或其他混合物迅速喷到地面，即发生井喷。井喷会引发油气泄漏及火灾爆炸，对空气环境、水环境及生态环境造成危害，致使人员伤亡、财产损失。</w:t>
            </w:r>
          </w:p>
          <w:p>
            <w:pPr>
              <w:pStyle w:val="53"/>
              <w:adjustRightInd w:val="0"/>
              <w:snapToGrid w:val="0"/>
              <w:ind w:firstLine="480"/>
              <w:rPr>
                <w:bCs/>
              </w:rPr>
            </w:pPr>
            <w:r>
              <w:rPr>
                <w:rFonts w:hint="eastAsia"/>
                <w:bCs/>
              </w:rPr>
              <w:t>※储罐泄漏风险</w:t>
            </w:r>
          </w:p>
          <w:p>
            <w:pPr>
              <w:pStyle w:val="53"/>
              <w:adjustRightInd w:val="0"/>
              <w:snapToGrid w:val="0"/>
              <w:ind w:firstLine="480"/>
              <w:rPr>
                <w:bCs/>
              </w:rPr>
            </w:pPr>
            <w:r>
              <w:rPr>
                <w:rFonts w:hint="eastAsia"/>
                <w:bCs/>
              </w:rPr>
              <w:t>钻井期井场设有柴油储罐和油基钻井岩屑储罐，试油期井场设有柴油储罐、试油废水储罐和采出液方罐，若储罐因质量、操作运行和管理等环节存在缺陷和失误，可能会发生泄漏，对周围地下水、土壤、大气等环境造成污染。</w:t>
            </w:r>
          </w:p>
          <w:p>
            <w:pPr>
              <w:pStyle w:val="53"/>
              <w:adjustRightInd w:val="0"/>
              <w:snapToGrid w:val="0"/>
              <w:ind w:firstLine="480"/>
            </w:pPr>
            <w:r>
              <w:rPr>
                <w:rFonts w:hint="eastAsia"/>
              </w:rPr>
              <w:t>③环境风险类型</w:t>
            </w:r>
          </w:p>
          <w:p>
            <w:pPr>
              <w:pStyle w:val="53"/>
              <w:adjustRightInd w:val="0"/>
              <w:snapToGrid w:val="0"/>
              <w:ind w:firstLine="480"/>
              <w:rPr>
                <w:bCs/>
              </w:rPr>
            </w:pPr>
            <w:r>
              <w:rPr>
                <w:rFonts w:hint="eastAsia"/>
                <w:bCs/>
              </w:rPr>
              <w:t>环境风险类型主要为油气泄漏引发</w:t>
            </w:r>
            <w:r>
              <w:rPr>
                <w:bCs/>
              </w:rPr>
              <w:t>火灾</w:t>
            </w:r>
            <w:r>
              <w:rPr>
                <w:rFonts w:hint="eastAsia"/>
                <w:bCs/>
              </w:rPr>
              <w:t>、</w:t>
            </w:r>
            <w:r>
              <w:rPr>
                <w:bCs/>
              </w:rPr>
              <w:t>爆炸</w:t>
            </w:r>
            <w:r>
              <w:rPr>
                <w:rFonts w:hint="eastAsia"/>
                <w:bCs/>
              </w:rPr>
              <w:t>等伴生/次生灾害和污染物排放。</w:t>
            </w:r>
          </w:p>
          <w:p>
            <w:pPr>
              <w:pStyle w:val="53"/>
              <w:adjustRightInd w:val="0"/>
              <w:snapToGrid w:val="0"/>
              <w:ind w:firstLine="480"/>
              <w:rPr>
                <w:bCs/>
              </w:rPr>
            </w:pPr>
            <w:r>
              <w:rPr>
                <w:rFonts w:hint="eastAsia"/>
                <w:bCs/>
              </w:rPr>
              <w:t>④危险物质向环境转移的可能途径和影响方式</w:t>
            </w:r>
          </w:p>
          <w:p>
            <w:pPr>
              <w:pStyle w:val="53"/>
              <w:adjustRightInd w:val="0"/>
              <w:snapToGrid w:val="0"/>
              <w:ind w:firstLine="480"/>
              <w:rPr>
                <w:bCs/>
              </w:rPr>
            </w:pPr>
            <w:r>
              <w:rPr>
                <w:rFonts w:hint="eastAsia"/>
                <w:bCs/>
              </w:rPr>
              <w:t>储罐发生破损造成柴油/油基钻井岩屑/采出液/洗井废水/压裂返排液泄漏直接污染土壤，泄漏的污染物还有可能通过包气带渗漏进入地下含水层，污染地下水；泄漏的柴油/采出液若遇明火，发生火灾、爆炸等灾害，产生的污染物对大气环境造成污染影响。</w:t>
            </w:r>
          </w:p>
          <w:p>
            <w:pPr>
              <w:pStyle w:val="53"/>
              <w:adjustRightInd w:val="0"/>
              <w:snapToGrid w:val="0"/>
              <w:ind w:firstLine="480"/>
            </w:pPr>
            <w:r>
              <w:rPr>
                <w:rFonts w:hint="eastAsia"/>
              </w:rPr>
              <w:t>（</w:t>
            </w:r>
            <w:r>
              <w:t>4</w:t>
            </w:r>
            <w:r>
              <w:rPr>
                <w:rFonts w:hint="eastAsia"/>
              </w:rPr>
              <w:t>）环境风险分析</w:t>
            </w:r>
          </w:p>
          <w:p>
            <w:pPr>
              <w:pStyle w:val="53"/>
              <w:adjustRightInd w:val="0"/>
              <w:snapToGrid w:val="0"/>
              <w:ind w:firstLine="480"/>
              <w:rPr>
                <w:bCs/>
              </w:rPr>
            </w:pPr>
            <w:r>
              <w:rPr>
                <w:rFonts w:hint="eastAsia"/>
                <w:bCs/>
              </w:rPr>
              <w:t>①井喷事故影响分析</w:t>
            </w:r>
          </w:p>
          <w:p>
            <w:pPr>
              <w:pStyle w:val="53"/>
              <w:adjustRightInd w:val="0"/>
              <w:snapToGrid w:val="0"/>
              <w:ind w:firstLine="480"/>
              <w:rPr>
                <w:bCs/>
              </w:rPr>
            </w:pPr>
            <w:r>
              <w:rPr>
                <w:rFonts w:hint="eastAsia"/>
                <w:bCs/>
              </w:rPr>
              <w:t>井场主要发生的风险事故为钻井及井下作业时发生井喷事故。</w:t>
            </w:r>
            <w:r>
              <w:rPr>
                <w:rFonts w:hint="eastAsia"/>
              </w:rPr>
              <w:t>井喷事故发生时，</w:t>
            </w:r>
            <w:r>
              <w:rPr>
                <w:rFonts w:hint="eastAsia"/>
                <w:bCs/>
              </w:rPr>
              <w:t>大量的油气喷出井口，散落于井场周围，据类比资料显示，井喷范围内土壤表层可见有蜡状的原油喷散物，井喷的影响范围一般为以井眼为圆心、半径200m的区域，由于项目区人口稀少，所以井喷对人员的伤害有限，对土壤环境、大气环境和地下水可能产生不利影响。发生井喷后，油类物质进入环境空气，挥发的气体</w:t>
            </w:r>
            <w:r>
              <w:rPr>
                <w:bCs/>
              </w:rPr>
              <w:t>可能会对周围环境空气产生影响，若遇明火可</w:t>
            </w:r>
            <w:r>
              <w:rPr>
                <w:rFonts w:hint="eastAsia"/>
                <w:bCs/>
              </w:rPr>
              <w:t>能</w:t>
            </w:r>
            <w:r>
              <w:rPr>
                <w:bCs/>
              </w:rPr>
              <w:t>发生火灾、爆炸，</w:t>
            </w:r>
            <w:r>
              <w:rPr>
                <w:rFonts w:hint="eastAsia"/>
                <w:bCs/>
              </w:rPr>
              <w:t>随之</w:t>
            </w:r>
            <w:r>
              <w:rPr>
                <w:bCs/>
              </w:rPr>
              <w:t>产生的伴生、次生污染物会对环境空气产生一定的影响。</w:t>
            </w:r>
            <w:r>
              <w:rPr>
                <w:rFonts w:hint="eastAsia"/>
                <w:bCs/>
              </w:rPr>
              <w:t>一旦出现井喷迹象，立即挖掘应急放喷池，并进行人工防渗，</w:t>
            </w:r>
            <w:r>
              <w:rPr>
                <w:rFonts w:hint="eastAsia"/>
              </w:rPr>
              <w:t>防渗材料为HDPE防渗膜，渗透系数≤10</w:t>
            </w:r>
            <w:r>
              <w:rPr>
                <w:rFonts w:hint="eastAsia"/>
                <w:vertAlign w:val="superscript"/>
              </w:rPr>
              <w:t>-</w:t>
            </w:r>
            <w:r>
              <w:rPr>
                <w:vertAlign w:val="superscript"/>
              </w:rPr>
              <w:t>10</w:t>
            </w:r>
            <w:r>
              <w:rPr>
                <w:rFonts w:hint="eastAsia"/>
              </w:rPr>
              <w:t>cm/s。</w:t>
            </w:r>
            <w:r>
              <w:rPr>
                <w:bCs/>
              </w:rPr>
              <w:t>由于地域空旷，扩散条件较好，发生事故后，及时采取相应的措施，不会对周围环境空气产生明显影响。</w:t>
            </w:r>
          </w:p>
          <w:p>
            <w:pPr>
              <w:pStyle w:val="53"/>
              <w:adjustRightInd w:val="0"/>
              <w:snapToGrid w:val="0"/>
              <w:ind w:firstLine="480"/>
              <w:rPr>
                <w:bCs/>
              </w:rPr>
            </w:pPr>
            <w:r>
              <w:rPr>
                <w:rFonts w:hint="eastAsia"/>
                <w:bCs/>
              </w:rPr>
              <w:t>根据类比调查，从事故井区土壤剖面分析，井喷事故后石油类污染物主要聚集在土壤剖面1m以内。而该区域地下水埋深在</w:t>
            </w:r>
            <w:r>
              <w:rPr>
                <w:bCs/>
              </w:rPr>
              <w:t>50</w:t>
            </w:r>
            <w:r>
              <w:rPr>
                <w:rFonts w:hint="eastAsia"/>
                <w:bCs/>
              </w:rPr>
              <w:t>～1</w:t>
            </w:r>
            <w:r>
              <w:rPr>
                <w:bCs/>
              </w:rPr>
              <w:t>0</w:t>
            </w:r>
            <w:r>
              <w:rPr>
                <w:rFonts w:hint="eastAsia"/>
                <w:bCs/>
              </w:rPr>
              <w:t>0m左右，污染物主要被拦截在包气带土壤剖面1m以内，同时因为气候干旱少雨，不存在大量降水的淋滤作用，因此对地下水体的影响概率不大。及时清理井喷事故中产生的原油和受浸染土壤，对原油进行回收，受污染的土壤集中收集后交由具有相应危废处置资质的单位进行回收处置，及时采取上述有效措施治理污染后，井喷不会造成土壤及地下水污染。</w:t>
            </w:r>
          </w:p>
          <w:p>
            <w:pPr>
              <w:pStyle w:val="53"/>
              <w:adjustRightInd w:val="0"/>
              <w:snapToGrid w:val="0"/>
              <w:ind w:firstLine="480"/>
              <w:rPr>
                <w:bCs/>
              </w:rPr>
            </w:pPr>
            <w:r>
              <w:rPr>
                <w:rFonts w:hint="eastAsia"/>
                <w:bCs/>
              </w:rPr>
              <w:t>②储罐泄漏环境影响分析</w:t>
            </w:r>
          </w:p>
          <w:p>
            <w:pPr>
              <w:pStyle w:val="53"/>
              <w:adjustRightInd w:val="0"/>
              <w:snapToGrid w:val="0"/>
              <w:ind w:firstLine="480"/>
              <w:rPr>
                <w:bCs/>
              </w:rPr>
            </w:pPr>
            <w:r>
              <w:rPr>
                <w:rFonts w:hint="eastAsia"/>
                <w:bCs/>
              </w:rPr>
              <w:t>※对大气环境影响分析</w:t>
            </w:r>
          </w:p>
          <w:p>
            <w:pPr>
              <w:pStyle w:val="53"/>
              <w:adjustRightInd w:val="0"/>
              <w:snapToGrid w:val="0"/>
              <w:ind w:firstLine="480"/>
              <w:rPr>
                <w:bCs/>
              </w:rPr>
            </w:pPr>
            <w:r>
              <w:rPr>
                <w:rFonts w:hint="eastAsia"/>
                <w:bCs/>
              </w:rPr>
              <w:t>储罐发生泄漏后，油类物质进入环境空气，挥发出的气体可能会对周围环境空气产生影响，若遇明火可能发生火灾、爆炸，随之产生的伴生、次生污染物会对环境空气产生一定的影响。由于项目区地域空旷，扩散条件较好，发生事故后，及时采取相应的措施，不会对周围环境空气产生明显影响。</w:t>
            </w:r>
          </w:p>
          <w:p>
            <w:pPr>
              <w:pStyle w:val="46"/>
              <w:ind w:firstLine="480"/>
              <w:rPr>
                <w:rFonts w:cs="宋体"/>
                <w:szCs w:val="21"/>
              </w:rPr>
            </w:pPr>
            <w:r>
              <w:rPr>
                <w:rFonts w:hint="eastAsia"/>
                <w:bCs/>
              </w:rPr>
              <w:t>※</w:t>
            </w:r>
            <w:r>
              <w:rPr>
                <w:rFonts w:hint="eastAsia" w:cs="宋体"/>
                <w:szCs w:val="21"/>
              </w:rPr>
              <w:t>对土壤环境影响分析</w:t>
            </w:r>
          </w:p>
          <w:p>
            <w:pPr>
              <w:pStyle w:val="53"/>
              <w:ind w:firstLine="480"/>
            </w:pPr>
            <w:r>
              <w:rPr>
                <w:rFonts w:hint="eastAsia"/>
                <w:szCs w:val="21"/>
              </w:rPr>
              <w:t>泄漏的油类物质可使土壤透气性下降、土壤理化性状发生变化。泄漏情况发生时，相当于向土壤中直接注入油类物质，渗入土壤孔隙，使土壤透气性和呼吸作用减弱，影响土壤中的微生物生存，造成土壤盐碱化，破坏土壤结构，增加土壤中石油类污染物，造成土地肥力下降，改变土壤的理化性质，影响土壤正常的结构和功能。柴油储罐、水基钻井岩屑储罐、油基钻井岩屑储罐、采出液方罐及试油废水储罐区铺设防渗膜，其中</w:t>
            </w:r>
            <w:r>
              <w:rPr>
                <w:rFonts w:hint="eastAsia"/>
              </w:rPr>
              <w:t>柴油机、发电机房、材料堆场、柴油罐、井口方罐、采出液方罐和水基岩屑方罐处防渗系数不低于1×10</w:t>
            </w:r>
            <w:r>
              <w:rPr>
                <w:rFonts w:hint="eastAsia"/>
                <w:vertAlign w:val="superscript"/>
              </w:rPr>
              <w:t>-</w:t>
            </w:r>
            <w:r>
              <w:rPr>
                <w:vertAlign w:val="superscript"/>
              </w:rPr>
              <w:t>7</w:t>
            </w:r>
            <w:r>
              <w:rPr>
                <w:rFonts w:hint="eastAsia"/>
              </w:rPr>
              <w:t>cm/s。油基钻井岩屑方罐处防渗系数不低于1×10</w:t>
            </w:r>
            <w:r>
              <w:rPr>
                <w:rFonts w:hint="eastAsia"/>
                <w:vertAlign w:val="superscript"/>
              </w:rPr>
              <w:t>-10</w:t>
            </w:r>
            <w:r>
              <w:rPr>
                <w:rFonts w:hint="eastAsia"/>
              </w:rPr>
              <w:t>cm/s，四周设围堰。</w:t>
            </w:r>
            <w:r>
              <w:rPr>
                <w:rFonts w:hint="eastAsia"/>
                <w:szCs w:val="21"/>
              </w:rPr>
              <w:t>储罐发生泄漏后，及时清理，受污染的土壤集中收集后由有相应危废处置资质的单位进行回收处置。发生事故后，及时采取相应的措施，不会对周围土壤环境产生明显影响。</w:t>
            </w:r>
          </w:p>
          <w:p>
            <w:pPr>
              <w:pStyle w:val="46"/>
              <w:ind w:firstLine="480"/>
              <w:rPr>
                <w:rFonts w:cs="宋体"/>
                <w:szCs w:val="21"/>
              </w:rPr>
            </w:pPr>
            <w:r>
              <w:rPr>
                <w:rFonts w:hint="eastAsia"/>
                <w:bCs/>
              </w:rPr>
              <w:t>※</w:t>
            </w:r>
            <w:r>
              <w:rPr>
                <w:rFonts w:hint="eastAsia" w:cs="宋体"/>
                <w:szCs w:val="21"/>
              </w:rPr>
              <w:t>对植被的影响</w:t>
            </w:r>
          </w:p>
          <w:p>
            <w:pPr>
              <w:pStyle w:val="46"/>
              <w:ind w:firstLine="480"/>
              <w:rPr>
                <w:rFonts w:cs="宋体"/>
                <w:szCs w:val="21"/>
              </w:rPr>
            </w:pPr>
            <w:r>
              <w:rPr>
                <w:rFonts w:hint="eastAsia" w:cs="宋体"/>
                <w:szCs w:val="21"/>
              </w:rPr>
              <w:t>油类物质泄漏对植被的影响主要分为三种途径，一是泄漏物直接粘附于植物体阻断植物的光合作用，使植物枯萎、死亡；二是污染土壤造成的土壤理化性状变化间接影响植物生长，严重时会导致植物死亡；三是泄漏物质中的轻组份挥发，在对空气环境产生影响的同时，也对周围植物产生影响。</w:t>
            </w:r>
          </w:p>
          <w:p>
            <w:pPr>
              <w:pStyle w:val="46"/>
              <w:ind w:firstLine="480"/>
              <w:rPr>
                <w:rFonts w:cs="宋体"/>
                <w:szCs w:val="21"/>
              </w:rPr>
            </w:pPr>
            <w:r>
              <w:rPr>
                <w:rFonts w:hint="eastAsia"/>
                <w:bCs/>
              </w:rPr>
              <w:t>※</w:t>
            </w:r>
            <w:r>
              <w:rPr>
                <w:rFonts w:hint="eastAsia" w:cs="宋体"/>
                <w:szCs w:val="21"/>
              </w:rPr>
              <w:t>对地下水环境的影响</w:t>
            </w:r>
          </w:p>
          <w:p>
            <w:pPr>
              <w:pStyle w:val="46"/>
              <w:ind w:firstLine="476"/>
              <w:rPr>
                <w:rFonts w:cs="宋体"/>
                <w:spacing w:val="-2"/>
                <w:szCs w:val="21"/>
              </w:rPr>
            </w:pPr>
            <w:r>
              <w:rPr>
                <w:rFonts w:hint="eastAsia" w:cs="宋体"/>
                <w:spacing w:val="-2"/>
                <w:szCs w:val="21"/>
              </w:rPr>
              <w:t>柴油储罐、油基钻井岩屑储罐、采出液方罐及井口方罐泄漏的油品下渗可能导致地下水污染风险的发生，储罐堆放场地为地上设施，发生泄漏事故后易发现并及时维修处理，即使有少量的污染物泄漏，也很难通过防渗层渗入包气带。井场各类储罐底部铺设防渗膜，采取钢制储罐，发生泄漏的概率极小，一旦发生泄漏会在较短时间内发现并采取堵漏措施，出现长期连续性泄漏的可能性很低，发生渗漏污染地下水的风险事故概率较低。</w:t>
            </w:r>
          </w:p>
          <w:p>
            <w:pPr>
              <w:pStyle w:val="46"/>
              <w:spacing w:line="480" w:lineRule="exact"/>
              <w:ind w:firstLine="480"/>
              <w:rPr>
                <w:rFonts w:cs="宋体"/>
                <w:bCs/>
                <w:szCs w:val="21"/>
              </w:rPr>
            </w:pPr>
            <w:r>
              <w:rPr>
                <w:rFonts w:hint="eastAsia" w:cs="宋体"/>
                <w:bCs/>
                <w:szCs w:val="21"/>
              </w:rPr>
              <w:t>③</w:t>
            </w:r>
            <w:r>
              <w:rPr>
                <w:rFonts w:cs="宋体"/>
                <w:bCs/>
                <w:szCs w:val="21"/>
              </w:rPr>
              <w:t>试油废水和采出液拉运风险</w:t>
            </w:r>
          </w:p>
          <w:p>
            <w:pPr>
              <w:pStyle w:val="46"/>
              <w:spacing w:line="480" w:lineRule="exact"/>
              <w:ind w:firstLine="480"/>
              <w:rPr>
                <w:rFonts w:cs="宋体"/>
                <w:szCs w:val="21"/>
              </w:rPr>
            </w:pPr>
            <w:r>
              <w:rPr>
                <w:rFonts w:hint="eastAsia" w:cs="宋体"/>
                <w:szCs w:val="21"/>
              </w:rPr>
              <w:t>试油期产生的试油废水及采出液均采用罐车拉运，一旦发生事故，罐车发生泄漏，废水及采出液中的油品将会对环境产生不利影响。其对环境的影响同储罐泄漏事故相同。</w:t>
            </w:r>
          </w:p>
          <w:p>
            <w:pPr>
              <w:pStyle w:val="46"/>
              <w:ind w:firstLine="482"/>
              <w:rPr>
                <w:rFonts w:cs="宋体"/>
                <w:b/>
                <w:bCs/>
                <w:szCs w:val="21"/>
              </w:rPr>
            </w:pPr>
            <w:r>
              <w:rPr>
                <w:rFonts w:cs="宋体"/>
                <w:b/>
                <w:bCs/>
                <w:szCs w:val="21"/>
              </w:rPr>
              <w:t>8</w:t>
            </w:r>
            <w:r>
              <w:rPr>
                <w:rFonts w:hint="eastAsia" w:cs="宋体"/>
                <w:b/>
                <w:bCs/>
                <w:szCs w:val="21"/>
              </w:rPr>
              <w:t>、其它产出物说明</w:t>
            </w:r>
          </w:p>
          <w:p>
            <w:pPr>
              <w:pStyle w:val="46"/>
              <w:ind w:firstLine="480"/>
              <w:rPr>
                <w:rFonts w:cs="宋体"/>
                <w:szCs w:val="21"/>
              </w:rPr>
            </w:pPr>
            <w:r>
              <w:rPr>
                <w:rFonts w:hint="eastAsia" w:cs="宋体"/>
                <w:szCs w:val="21"/>
              </w:rPr>
              <w:t>试油过程即通过计量采出物成分、数量从而获取油藏数据的过程。采出物中包括原油、采出水、伴生气以及井下压裂残留的少量压裂液等其中伴生气因产生量不稳定无法进行回收，在井场通过地面排气管线点燃放空；原油、采出水及残留压裂液等一同进入采出液罐，拉运至车8</w:t>
            </w:r>
            <w:r>
              <w:rPr>
                <w:rFonts w:cs="宋体"/>
                <w:szCs w:val="21"/>
              </w:rPr>
              <w:t>9</w:t>
            </w:r>
            <w:r>
              <w:rPr>
                <w:rFonts w:hint="eastAsia" w:cs="宋体"/>
                <w:szCs w:val="21"/>
              </w:rPr>
              <w:t>集中处理站处理。</w:t>
            </w:r>
          </w:p>
          <w:p>
            <w:pPr>
              <w:pStyle w:val="46"/>
              <w:ind w:firstLine="480"/>
              <w:rPr>
                <w:rFonts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Mar>
              <w:left w:w="28" w:type="dxa"/>
              <w:right w:w="28" w:type="dxa"/>
            </w:tcMar>
            <w:vAlign w:val="center"/>
          </w:tcPr>
          <w:p>
            <w:pPr>
              <w:pStyle w:val="14"/>
              <w:adjustRightInd w:val="0"/>
              <w:snapToGrid w:val="0"/>
              <w:spacing w:before="0" w:beforeAutospacing="0" w:after="0" w:afterAutospacing="0"/>
              <w:jc w:val="center"/>
              <w:rPr>
                <w:rFonts w:cs="宋体"/>
                <w:bCs/>
                <w:spacing w:val="10"/>
                <w:kern w:val="2"/>
              </w:rPr>
            </w:pPr>
            <w:r>
              <w:rPr>
                <w:rFonts w:hint="eastAsia" w:cs="宋体"/>
                <w:bCs/>
                <w:spacing w:val="10"/>
                <w:kern w:val="2"/>
              </w:rPr>
              <w:t>运营期生态环境影响分析</w:t>
            </w:r>
          </w:p>
        </w:tc>
        <w:tc>
          <w:tcPr>
            <w:tcW w:w="7865" w:type="dxa"/>
            <w:vAlign w:val="center"/>
          </w:tcPr>
          <w:p>
            <w:pPr>
              <w:pStyle w:val="53"/>
              <w:ind w:firstLine="480"/>
            </w:pPr>
            <w:bookmarkStart w:id="29" w:name="_Hlk117988882"/>
            <w:r>
              <w:rPr>
                <w:rFonts w:hint="eastAsia"/>
              </w:rPr>
              <w:t>本项目无运营期，钻试活动结束后环境影响随之消失。</w:t>
            </w:r>
          </w:p>
          <w:p>
            <w:pPr>
              <w:pStyle w:val="53"/>
              <w:ind w:firstLine="480"/>
            </w:pPr>
            <w:r>
              <w:rPr>
                <w:rFonts w:hint="eastAsia"/>
              </w:rPr>
              <w:t>试油作业结束后，如该井具备商业开采价值，则对其进行关井，后期根据油田开发要求转为开采井，并应当在产能开发建设前开展其地面工程环境影响评价工作。如该井不具备开采价值，则对地面设施进行拆除，对井口按照《废弃井及长停井处置指南》（SY/T6646-2017）、《废弃井封井回填技术指南（试行）》进行封井作业，撤去所有生产设施（包括钻井杆以及钻头等），平整并清理井场。地面设施拆除、用水泥灌注封井、井场清理等过程中，将会产生少量扬尘、部分管线和废弃建筑残渣等固体废物，建筑垃圾送至当地建筑垃圾填埋场进行填埋处理。管线外运经清洗后可回收再利用。井场经过清理后，占地得到释放，占地范围内的自然植被会逐渐得以恢复。</w:t>
            </w:r>
            <w:bookmarkEnd w:id="2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7" w:hRule="atLeast"/>
          <w:jc w:val="center"/>
        </w:trPr>
        <w:tc>
          <w:tcPr>
            <w:tcW w:w="772" w:type="dxa"/>
            <w:vAlign w:val="center"/>
          </w:tcPr>
          <w:p>
            <w:pPr>
              <w:pStyle w:val="14"/>
              <w:adjustRightInd w:val="0"/>
              <w:snapToGrid w:val="0"/>
              <w:spacing w:before="0" w:beforeAutospacing="0" w:after="0" w:afterAutospacing="0"/>
              <w:jc w:val="center"/>
              <w:rPr>
                <w:rFonts w:cs="宋体"/>
                <w:bCs/>
                <w:kern w:val="2"/>
              </w:rPr>
            </w:pPr>
            <w:r>
              <w:rPr>
                <w:rFonts w:hint="eastAsia" w:cs="宋体"/>
                <w:bCs/>
                <w:kern w:val="2"/>
              </w:rPr>
              <w:t>选址选线环境合理性分析</w:t>
            </w:r>
          </w:p>
        </w:tc>
        <w:tc>
          <w:tcPr>
            <w:tcW w:w="7865" w:type="dxa"/>
            <w:vAlign w:val="center"/>
          </w:tcPr>
          <w:p>
            <w:pPr>
              <w:pStyle w:val="46"/>
              <w:ind w:firstLine="476"/>
              <w:rPr>
                <w:spacing w:val="-2"/>
              </w:rPr>
            </w:pPr>
          </w:p>
          <w:p>
            <w:pPr>
              <w:pStyle w:val="46"/>
              <w:ind w:firstLine="476"/>
              <w:rPr>
                <w:spacing w:val="-2"/>
              </w:rPr>
            </w:pPr>
          </w:p>
          <w:p>
            <w:pPr>
              <w:pStyle w:val="46"/>
              <w:ind w:firstLine="476"/>
              <w:rPr>
                <w:spacing w:val="-2"/>
              </w:rPr>
            </w:pPr>
          </w:p>
          <w:p>
            <w:pPr>
              <w:pStyle w:val="46"/>
              <w:ind w:firstLine="476"/>
              <w:rPr>
                <w:spacing w:val="-2"/>
              </w:rPr>
            </w:pPr>
          </w:p>
          <w:p>
            <w:pPr>
              <w:pStyle w:val="46"/>
              <w:ind w:firstLine="476"/>
              <w:rPr>
                <w:spacing w:val="-2"/>
              </w:rPr>
            </w:pPr>
          </w:p>
          <w:p>
            <w:pPr>
              <w:pStyle w:val="46"/>
              <w:ind w:firstLine="476"/>
              <w:rPr>
                <w:spacing w:val="-2"/>
              </w:rPr>
            </w:pPr>
          </w:p>
          <w:p>
            <w:pPr>
              <w:pStyle w:val="46"/>
              <w:ind w:firstLine="476"/>
              <w:rPr>
                <w:spacing w:val="-2"/>
              </w:rPr>
            </w:pPr>
            <w:r>
              <w:rPr>
                <w:spacing w:val="-2"/>
              </w:rPr>
              <w:t>根据现场踏勘及井场平面布置，井口距离</w:t>
            </w:r>
            <w:r>
              <w:t>75m</w:t>
            </w:r>
            <w:r>
              <w:rPr>
                <w:spacing w:val="-7"/>
              </w:rPr>
              <w:t>范围内无高压线及其它永久</w:t>
            </w:r>
            <w:r>
              <w:rPr>
                <w:spacing w:val="-1"/>
              </w:rPr>
              <w:t>性设施</w:t>
            </w:r>
            <w:r>
              <w:rPr>
                <w:rFonts w:hint="eastAsia"/>
                <w:spacing w:val="-1"/>
              </w:rPr>
              <w:t>,</w:t>
            </w:r>
            <w:r>
              <w:t>100m</w:t>
            </w:r>
            <w:r>
              <w:rPr>
                <w:spacing w:val="-7"/>
              </w:rPr>
              <w:t>范围内无民宅，</w:t>
            </w:r>
            <w:r>
              <w:t>200m</w:t>
            </w:r>
            <w:r>
              <w:rPr>
                <w:spacing w:val="-5"/>
              </w:rPr>
              <w:t>范围内无铁路、高速公路，</w:t>
            </w:r>
            <w:r>
              <w:t>500m</w:t>
            </w:r>
            <w:r>
              <w:rPr>
                <w:spacing w:val="-6"/>
              </w:rPr>
              <w:t>范围内无学校、医院和大型油库等人口密集型、高危性场所</w:t>
            </w:r>
            <w:r>
              <w:rPr>
                <w:rFonts w:hint="eastAsia"/>
                <w:spacing w:val="-6"/>
              </w:rPr>
              <w:t>。</w:t>
            </w:r>
            <w:r>
              <w:rPr>
                <w:spacing w:val="-6"/>
              </w:rPr>
              <w:t>其选址</w:t>
            </w:r>
            <w:r>
              <w:rPr>
                <w:rFonts w:hint="eastAsia"/>
                <w:spacing w:val="-6"/>
              </w:rPr>
              <w:t>选线</w:t>
            </w:r>
            <w:r>
              <w:rPr>
                <w:spacing w:val="-6"/>
              </w:rPr>
              <w:t>符合《钻前工程及井场布置技术</w:t>
            </w:r>
            <w:r>
              <w:rPr>
                <w:spacing w:val="-11"/>
              </w:rPr>
              <w:t>要求》</w:t>
            </w:r>
            <w:r>
              <w:t>(SY/T5466-2013)</w:t>
            </w:r>
            <w:r>
              <w:rPr>
                <w:spacing w:val="-7"/>
              </w:rPr>
              <w:t>的要求。</w:t>
            </w:r>
          </w:p>
          <w:p>
            <w:pPr>
              <w:pStyle w:val="46"/>
              <w:spacing w:line="480" w:lineRule="exact"/>
              <w:ind w:firstLine="480"/>
            </w:pPr>
            <w:r>
              <w:rPr>
                <w:rFonts w:hint="eastAsia"/>
              </w:rPr>
              <w:t>项目周边无其他自然保护区、风景名胜区、饮用水水源保护区、基本草原、沙化土地封禁保护区等，且无以居住、医疗卫生、文化教育、科研、行政办公等为主要功能的区域及文物保护单位。项目占地类型草地，井场选址和探临道路选线时已避开植被茂密地带，且所在区域人类活动频繁，区域内野生动物数量较少环境影响程度低，钻试工程结束后，临时占地均可到释放和恢复，建设期间产生的废气、废水和噪声消失。综上所述，项目选址选线合理。</w:t>
            </w:r>
          </w:p>
          <w:p>
            <w:pPr>
              <w:pStyle w:val="46"/>
              <w:spacing w:line="480" w:lineRule="exact"/>
              <w:ind w:firstLine="480"/>
            </w:pPr>
          </w:p>
          <w:p>
            <w:pPr>
              <w:pStyle w:val="46"/>
              <w:spacing w:line="480" w:lineRule="exact"/>
              <w:ind w:firstLine="480"/>
            </w:pPr>
          </w:p>
          <w:p>
            <w:pPr>
              <w:pStyle w:val="46"/>
              <w:spacing w:line="480" w:lineRule="exact"/>
              <w:ind w:firstLine="480"/>
            </w:pPr>
          </w:p>
          <w:p>
            <w:pPr>
              <w:pStyle w:val="46"/>
              <w:spacing w:line="480" w:lineRule="exact"/>
              <w:ind w:firstLine="480"/>
            </w:pPr>
          </w:p>
          <w:p>
            <w:pPr>
              <w:pStyle w:val="46"/>
              <w:spacing w:line="480" w:lineRule="exact"/>
              <w:ind w:firstLine="480"/>
            </w:pPr>
          </w:p>
          <w:p>
            <w:pPr>
              <w:pStyle w:val="46"/>
              <w:spacing w:line="480" w:lineRule="exact"/>
              <w:ind w:firstLine="480"/>
            </w:pPr>
          </w:p>
          <w:p>
            <w:pPr>
              <w:pStyle w:val="46"/>
              <w:spacing w:line="480" w:lineRule="exact"/>
              <w:ind w:firstLine="480"/>
            </w:pPr>
          </w:p>
          <w:p>
            <w:pPr>
              <w:pStyle w:val="46"/>
              <w:spacing w:line="480" w:lineRule="exact"/>
              <w:ind w:firstLine="480"/>
            </w:pPr>
          </w:p>
          <w:p>
            <w:pPr>
              <w:pStyle w:val="46"/>
              <w:spacing w:line="480" w:lineRule="exact"/>
              <w:ind w:firstLine="480"/>
            </w:pPr>
          </w:p>
          <w:p>
            <w:pPr>
              <w:pStyle w:val="46"/>
              <w:spacing w:line="480" w:lineRule="exact"/>
              <w:ind w:firstLine="480"/>
            </w:pPr>
          </w:p>
          <w:p>
            <w:pPr>
              <w:pStyle w:val="46"/>
              <w:spacing w:line="480" w:lineRule="exact"/>
              <w:ind w:firstLine="480"/>
            </w:pPr>
          </w:p>
        </w:tc>
      </w:tr>
    </w:tbl>
    <w:p>
      <w:pPr>
        <w:pStyle w:val="14"/>
        <w:jc w:val="center"/>
        <w:rPr>
          <w:rFonts w:ascii="黑体" w:hAnsi="黑体" w:eastAsia="黑体"/>
          <w:snapToGrid w:val="0"/>
          <w:sz w:val="36"/>
          <w:szCs w:val="36"/>
        </w:rPr>
        <w:sectPr>
          <w:footerReference r:id="rId6" w:type="default"/>
          <w:pgSz w:w="11906" w:h="16838"/>
          <w:pgMar w:top="1440" w:right="1800" w:bottom="1440" w:left="1800" w:header="1020" w:footer="1020" w:gutter="0"/>
          <w:pgNumType w:start="1"/>
          <w:cols w:space="720" w:num="1"/>
          <w:docGrid w:linePitch="312" w:charSpace="0"/>
        </w:sectPr>
      </w:pPr>
    </w:p>
    <w:p>
      <w:pPr>
        <w:pStyle w:val="14"/>
        <w:jc w:val="center"/>
        <w:outlineLvl w:val="0"/>
        <w:rPr>
          <w:rFonts w:ascii="黑体" w:hAnsi="黑体" w:eastAsia="黑体"/>
          <w:snapToGrid w:val="0"/>
          <w:sz w:val="30"/>
          <w:szCs w:val="30"/>
        </w:rPr>
      </w:pPr>
      <w:bookmarkStart w:id="30" w:name="_Hlk117988789"/>
      <w:r>
        <w:rPr>
          <w:rFonts w:hint="eastAsia" w:ascii="黑体" w:hAnsi="黑体" w:eastAsia="黑体"/>
          <w:snapToGrid w:val="0"/>
          <w:sz w:val="30"/>
          <w:szCs w:val="30"/>
        </w:rPr>
        <w:t>五、主要生态环境保护措施</w:t>
      </w:r>
    </w:p>
    <w:bookmarkEnd w:id="30"/>
    <w:tbl>
      <w:tblPr>
        <w:tblStyle w:val="17"/>
        <w:tblW w:w="86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78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3" w:type="dxa"/>
            <w:tcMar>
              <w:left w:w="28" w:type="dxa"/>
              <w:right w:w="28" w:type="dxa"/>
            </w:tcMar>
            <w:vAlign w:val="center"/>
          </w:tcPr>
          <w:p>
            <w:pPr>
              <w:adjustRightInd w:val="0"/>
              <w:snapToGrid w:val="0"/>
              <w:jc w:val="center"/>
              <w:rPr>
                <w:rFonts w:ascii="宋体" w:hAnsi="宋体"/>
                <w:bCs/>
                <w:sz w:val="24"/>
              </w:rPr>
            </w:pPr>
            <w:r>
              <w:rPr>
                <w:rFonts w:hint="eastAsia" w:ascii="宋体" w:hAnsi="宋体" w:cs="宋体"/>
                <w:bCs/>
                <w:spacing w:val="10"/>
                <w:sz w:val="24"/>
              </w:rPr>
              <w:t>施工期生态环境保护措施</w:t>
            </w:r>
          </w:p>
        </w:tc>
        <w:tc>
          <w:tcPr>
            <w:tcW w:w="7884" w:type="dxa"/>
          </w:tcPr>
          <w:p>
            <w:pPr>
              <w:pStyle w:val="46"/>
              <w:spacing w:line="480" w:lineRule="exact"/>
              <w:ind w:firstLine="482"/>
              <w:rPr>
                <w:b/>
                <w:bCs/>
              </w:rPr>
            </w:pPr>
            <w:r>
              <w:rPr>
                <w:rFonts w:hint="eastAsia"/>
                <w:b/>
                <w:bCs/>
              </w:rPr>
              <w:t>1、生态环境保护措施</w:t>
            </w:r>
          </w:p>
          <w:p>
            <w:pPr>
              <w:pStyle w:val="46"/>
              <w:spacing w:line="480" w:lineRule="exact"/>
              <w:ind w:firstLine="480"/>
            </w:pPr>
            <w:r>
              <w:rPr>
                <w:rFonts w:hint="eastAsia"/>
              </w:rPr>
              <w:t>建设单位及施工单位应严格执行本次评价提出的生态环境保护措施，并确保各项保护措施与钻试工程同时设计、同时施工、同时使用。</w:t>
            </w:r>
          </w:p>
          <w:p>
            <w:pPr>
              <w:pStyle w:val="46"/>
              <w:spacing w:line="480" w:lineRule="exact"/>
              <w:ind w:firstLine="480"/>
            </w:pPr>
            <w:bookmarkStart w:id="31" w:name="_Hlk117989971"/>
            <w:bookmarkStart w:id="32" w:name="_Hlk117959946"/>
            <w:r>
              <w:rPr>
                <w:rFonts w:hint="eastAsia"/>
              </w:rPr>
              <w:t>（1）生态保护措施</w:t>
            </w:r>
          </w:p>
          <w:p>
            <w:pPr>
              <w:pStyle w:val="46"/>
              <w:spacing w:line="480" w:lineRule="exact"/>
              <w:ind w:firstLine="480"/>
            </w:pPr>
            <w:r>
              <w:rPr>
                <w:rFonts w:hint="eastAsia"/>
              </w:rPr>
              <w:t>①工程避让措施：井场、生活营地位置及占地、探临道路的宽度应在满足勘探设计和施工要求的前提下进行适当的调整，以减少占地。施工场地范围内零星有梭梭分布，井场、生活营地位置、探临道路的选线应尽量避开野生植物特别是新疆维吾尔自治区一级保护植物—梭梭生长密集的地带，最大限度减少对荒漠植物以及野生动物的活动场所和生存环境的破坏。确保各环保设施正常运行，避免各种污染物对土壤环境造成影响，从而影响其上部生长的野生植被。</w:t>
            </w:r>
          </w:p>
          <w:p>
            <w:pPr>
              <w:pStyle w:val="46"/>
              <w:spacing w:line="480" w:lineRule="exact"/>
              <w:ind w:firstLine="480"/>
            </w:pPr>
            <w:r>
              <w:rPr>
                <w:rFonts w:hint="eastAsia"/>
              </w:rPr>
              <w:t>②减缓措施：</w:t>
            </w:r>
          </w:p>
          <w:p>
            <w:pPr>
              <w:pStyle w:val="46"/>
              <w:spacing w:line="480" w:lineRule="exact"/>
              <w:ind w:firstLine="480"/>
            </w:pPr>
            <w:r>
              <w:rPr>
                <w:rFonts w:hint="eastAsia"/>
              </w:rPr>
              <w:t>钻井井场占地严格控制在</w:t>
            </w:r>
            <w:r>
              <w:t>95</w:t>
            </w:r>
            <w:r>
              <w:rPr>
                <w:rFonts w:hint="eastAsia"/>
              </w:rPr>
              <w:t>m×</w:t>
            </w:r>
            <w:r>
              <w:t>85</w:t>
            </w:r>
            <w:r>
              <w:rPr>
                <w:rFonts w:hint="eastAsia"/>
              </w:rPr>
              <w:t>m，生活营地占地严格控制在55m×35m，探临道路宽度控制在</w:t>
            </w:r>
            <w:r>
              <w:t>8</w:t>
            </w:r>
            <w:r>
              <w:rPr>
                <w:rFonts w:hint="eastAsia"/>
              </w:rPr>
              <w:t>m，钻井液不落地设备占地控制在</w:t>
            </w:r>
            <w:r>
              <w:t>45</w:t>
            </w:r>
            <w:r>
              <w:rPr>
                <w:rFonts w:hint="eastAsia"/>
              </w:rPr>
              <w:t>m×</w:t>
            </w:r>
            <w:r>
              <w:t>10</w:t>
            </w:r>
            <w:r>
              <w:rPr>
                <w:rFonts w:hint="eastAsia"/>
              </w:rPr>
              <w:t>m。</w:t>
            </w:r>
          </w:p>
          <w:p>
            <w:pPr>
              <w:pStyle w:val="46"/>
              <w:spacing w:line="480" w:lineRule="exact"/>
              <w:ind w:firstLine="480"/>
            </w:pPr>
            <w:r>
              <w:rPr>
                <w:rFonts w:hint="eastAsia"/>
              </w:rPr>
              <w:t>合理规划临时占地，严格控制临时占地面积。严格规定车辆和各类工作人员的活动范围，使之限于在施工区范围内活动，不得随意踩踏砍伐野生植被，尽量不侵扰野生动物的栖息地。</w:t>
            </w:r>
          </w:p>
          <w:p>
            <w:pPr>
              <w:pStyle w:val="53"/>
              <w:ind w:firstLine="480"/>
              <w:rPr>
                <w:lang w:bidi="ar"/>
              </w:rPr>
            </w:pPr>
            <w:r>
              <w:rPr>
                <w:rFonts w:hint="eastAsia"/>
              </w:rPr>
              <w:t>③修复措施：完井后施工设备及时撤离，固体废物全部妥善处置，现场禁止遗留，占地应清理平整，</w:t>
            </w:r>
            <w:r>
              <w:rPr>
                <w:rFonts w:hint="eastAsia"/>
                <w:lang w:bidi="ar"/>
              </w:rPr>
              <w:t>尽量利用井场施工时产生的表层弃土对临时占地进行覆盖。</w:t>
            </w:r>
          </w:p>
          <w:p>
            <w:pPr>
              <w:pStyle w:val="53"/>
              <w:adjustRightInd w:val="0"/>
              <w:snapToGrid w:val="0"/>
              <w:spacing w:line="480" w:lineRule="exact"/>
              <w:ind w:firstLine="472"/>
            </w:pPr>
            <w:r>
              <w:rPr>
                <w:rFonts w:hint="eastAsia"/>
                <w:spacing w:val="-4"/>
              </w:rPr>
              <w:t>④补</w:t>
            </w:r>
            <w:r>
              <w:rPr>
                <w:rFonts w:hint="eastAsia"/>
              </w:rPr>
              <w:t>偿措施：严格按照有关规定办理用地审批手续，并对因项目实施造成的生态损失予以经济补偿，足额缴纳生态经济补偿费。因项目占地造成的植被损失应按规定进行经济补偿，对无法避让而占毁的梭梭应按照相关要求缴纳经济补偿费用，专款用于植被恢复。本工程经济补偿费用由建设单位按规定向林业主管部门缴纳，具体补种及植被恢复由林业主管部门负责实施。</w:t>
            </w:r>
          </w:p>
          <w:bookmarkEnd w:id="31"/>
          <w:p>
            <w:pPr>
              <w:pStyle w:val="53"/>
              <w:adjustRightInd w:val="0"/>
              <w:snapToGrid w:val="0"/>
              <w:spacing w:line="480" w:lineRule="exact"/>
              <w:ind w:firstLine="480"/>
            </w:pPr>
            <w:r>
              <w:rPr>
                <w:rFonts w:hint="eastAsia"/>
              </w:rPr>
              <w:t>（2）施工管理措施</w:t>
            </w:r>
          </w:p>
          <w:p>
            <w:pPr>
              <w:pStyle w:val="53"/>
              <w:ind w:firstLine="480"/>
            </w:pPr>
            <w:r>
              <w:rPr>
                <w:rFonts w:hint="eastAsia"/>
              </w:rPr>
              <w:t>①施工过程中严格规定车辆和各类工作人员的活动范围，使之限于在施工区范围内活动，不随意</w:t>
            </w:r>
            <w:r>
              <w:t>踩踏砍伐野生植被</w:t>
            </w:r>
            <w:r>
              <w:rPr>
                <w:rFonts w:hint="eastAsia"/>
              </w:rPr>
              <w:t>，不得毁坏占地范围外的植被，尽量不侵扰野生动物的栖息地。</w:t>
            </w:r>
            <w:bookmarkStart w:id="33" w:name="_Hlk117468311"/>
            <w:r>
              <w:rPr>
                <w:rFonts w:hint="eastAsia"/>
              </w:rPr>
              <w:t>施工车辆和运输车辆应结合梭梭的分布情况，在限定的路线范围内行使，禁止乱碾乱轧。</w:t>
            </w:r>
          </w:p>
          <w:bookmarkEnd w:id="33"/>
          <w:p>
            <w:pPr>
              <w:pStyle w:val="46"/>
              <w:spacing w:line="480" w:lineRule="exact"/>
              <w:ind w:firstLine="480"/>
              <w:rPr>
                <w:rFonts w:cs="宋体"/>
                <w:spacing w:val="-2"/>
              </w:rPr>
            </w:pPr>
            <w:r>
              <w:rPr>
                <w:rFonts w:hint="eastAsia"/>
              </w:rPr>
              <w:t>②项目在建设过程中，应避免在大风天气作业，堆放的土方应压实并采用苫布遮盖，避免风蚀影响造成的水土流失</w:t>
            </w:r>
            <w:r>
              <w:rPr>
                <w:rFonts w:hint="eastAsia" w:cs="宋体"/>
                <w:spacing w:val="-2"/>
              </w:rPr>
              <w:t>。</w:t>
            </w:r>
          </w:p>
          <w:p>
            <w:pPr>
              <w:pStyle w:val="53"/>
              <w:adjustRightInd w:val="0"/>
              <w:snapToGrid w:val="0"/>
              <w:spacing w:line="480" w:lineRule="exact"/>
              <w:ind w:firstLine="480"/>
            </w:pPr>
            <w:r>
              <w:rPr>
                <w:rFonts w:hint="eastAsia"/>
              </w:rPr>
              <w:t>③确保各环保设施正常运行，避免各种污染物对土壤环境的影响，并进一步影响其上部生长的植被；避免强噪声环境的出现，避免对野生动物的惊扰。</w:t>
            </w:r>
          </w:p>
          <w:p>
            <w:pPr>
              <w:pStyle w:val="53"/>
              <w:adjustRightInd w:val="0"/>
              <w:snapToGrid w:val="0"/>
              <w:spacing w:line="480" w:lineRule="exact"/>
              <w:ind w:firstLine="480"/>
            </w:pPr>
            <w:r>
              <w:rPr>
                <w:rFonts w:hint="eastAsia"/>
              </w:rPr>
              <w:t>④场地清理表层土壤集中堆放，施工结束后用于临时占地平整。</w:t>
            </w:r>
          </w:p>
          <w:bookmarkEnd w:id="32"/>
          <w:p>
            <w:pPr>
              <w:pStyle w:val="53"/>
              <w:adjustRightInd w:val="0"/>
              <w:snapToGrid w:val="0"/>
              <w:spacing w:line="480" w:lineRule="exact"/>
              <w:ind w:firstLine="480"/>
            </w:pPr>
            <w:r>
              <w:rPr>
                <w:rFonts w:hint="eastAsia"/>
              </w:rPr>
              <w:t>（</w:t>
            </w:r>
            <w:r>
              <w:t>3</w:t>
            </w:r>
            <w:r>
              <w:rPr>
                <w:rFonts w:hint="eastAsia"/>
              </w:rPr>
              <w:t>）水土流失防治措施</w:t>
            </w:r>
          </w:p>
          <w:p>
            <w:pPr>
              <w:pStyle w:val="53"/>
              <w:adjustRightInd w:val="0"/>
              <w:snapToGrid w:val="0"/>
              <w:spacing w:line="480" w:lineRule="exact"/>
              <w:ind w:firstLine="480"/>
            </w:pPr>
            <w:r>
              <w:rPr>
                <w:rFonts w:hint="eastAsia"/>
              </w:rPr>
              <w:t>①施工期间严格划定施工活动范围，严格控制和管理运输车辆及重型机械的运行范围，不另辟施工便道，尽量利用现有道路，不得离开运输道路及随意驾驶，避免增加对地表的扰动和破坏。</w:t>
            </w:r>
          </w:p>
          <w:p>
            <w:pPr>
              <w:pStyle w:val="53"/>
              <w:adjustRightInd w:val="0"/>
              <w:snapToGrid w:val="0"/>
              <w:spacing w:line="480" w:lineRule="exact"/>
              <w:ind w:firstLine="480"/>
            </w:pPr>
            <w:r>
              <w:rPr>
                <w:rFonts w:hint="eastAsia"/>
              </w:rPr>
              <w:t>②对施工人员进行水土保持教育培训，提高施工人员水土保持意识，加强植被保护，不随意乱采乱挖野生植被。</w:t>
            </w:r>
          </w:p>
          <w:p>
            <w:pPr>
              <w:pStyle w:val="53"/>
              <w:adjustRightInd w:val="0"/>
              <w:snapToGrid w:val="0"/>
              <w:spacing w:line="480" w:lineRule="exact"/>
              <w:ind w:firstLine="480"/>
            </w:pPr>
            <w:r>
              <w:rPr>
                <w:rFonts w:hint="eastAsia"/>
              </w:rPr>
              <w:t>③加强施工期管理，加速建设进度，缩短施工期</w:t>
            </w:r>
            <w:r>
              <w:t>，避免在</w:t>
            </w:r>
            <w:r>
              <w:rPr>
                <w:rFonts w:hint="eastAsia"/>
              </w:rPr>
              <w:t>大</w:t>
            </w:r>
            <w:r>
              <w:t>风天气作业，以免造成土壤风蚀影响。</w:t>
            </w:r>
          </w:p>
          <w:p>
            <w:pPr>
              <w:pStyle w:val="53"/>
              <w:adjustRightInd w:val="0"/>
              <w:snapToGrid w:val="0"/>
              <w:spacing w:line="480" w:lineRule="exact"/>
              <w:ind w:firstLine="480"/>
            </w:pPr>
            <w:r>
              <w:rPr>
                <w:rFonts w:hint="eastAsia"/>
              </w:rPr>
              <w:t>④</w:t>
            </w:r>
            <w:r>
              <w:t>施工结束后对场地进行清理、平整并压实，避免水土流失影响。</w:t>
            </w:r>
          </w:p>
          <w:p>
            <w:pPr>
              <w:widowControl/>
              <w:snapToGrid w:val="0"/>
              <w:spacing w:line="480" w:lineRule="exact"/>
              <w:ind w:firstLine="480" w:firstLineChars="200"/>
              <w:rPr>
                <w:rFonts w:ascii="宋体" w:hAnsi="宋体" w:cs="宋体"/>
                <w:kern w:val="0"/>
                <w:sz w:val="24"/>
              </w:rPr>
            </w:pPr>
            <w:bookmarkStart w:id="34" w:name="_Hlk117990012"/>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）井场防沙治沙措施</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本次要求建设单位严格按照《中华人民共和国防沙治沙法》（2018）中有关规定，执行以下井场防沙治沙措施：</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①土地临时使用过程中发现土地沙化的，应当及时报告当地人民政府。</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②大力宣传《防沙治沙法》，使施工人员知法、懂法、守法，自觉保护林草植被，自觉履行防治义务。</w:t>
            </w:r>
          </w:p>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③井场、生活营地、探临道路等临时占地应在满足施工要求的前提下进行适当的调整，以减少占地。尽量避开对野生植物特别是优良的固沙植被、新疆维吾尔自治区一级保护植物—梭梭生长密集的地带，最大限度减少对荒漠植物的破坏。</w:t>
            </w:r>
          </w:p>
          <w:p>
            <w:pPr>
              <w:pStyle w:val="53"/>
              <w:adjustRightInd w:val="0"/>
              <w:ind w:firstLine="480"/>
            </w:pPr>
            <w:r>
              <w:rPr>
                <w:rFonts w:hint="eastAsia"/>
              </w:rPr>
              <w:t>④严格控制施工活动范围，严禁乱碾乱轧，避免对项目占地范围外的区域造成扰动。</w:t>
            </w:r>
          </w:p>
          <w:p>
            <w:pPr>
              <w:widowControl/>
              <w:snapToGrid w:val="0"/>
              <w:spacing w:line="480" w:lineRule="exact"/>
              <w:ind w:firstLine="420" w:firstLineChars="200"/>
              <w:rPr>
                <w:rFonts w:ascii="宋体" w:hAnsi="宋体" w:cs="宋体"/>
                <w:kern w:val="0"/>
                <w:sz w:val="24"/>
              </w:rPr>
            </w:pPr>
            <w:r>
              <w:rPr>
                <w:rFonts w:hint="eastAsia"/>
              </w:rPr>
              <w:t>⑤</w:t>
            </w:r>
            <w:r>
              <w:rPr>
                <w:rFonts w:hint="eastAsia" w:ascii="宋体" w:hAnsi="宋体" w:cs="宋体"/>
                <w:kern w:val="0"/>
                <w:sz w:val="24"/>
              </w:rPr>
              <w:t>施工结束后对占地进行平整，清运现场遗留的污染物，按照正式征地文件的规定对占地进行经济补偿。</w:t>
            </w:r>
          </w:p>
          <w:bookmarkEnd w:id="34"/>
          <w:p>
            <w:pPr>
              <w:widowControl/>
              <w:snapToGrid w:val="0"/>
              <w:spacing w:line="480" w:lineRule="exact"/>
              <w:ind w:firstLine="480" w:firstLineChars="200"/>
              <w:rPr>
                <w:rFonts w:ascii="宋体" w:hAnsi="宋体" w:cs="宋体"/>
                <w:kern w:val="0"/>
                <w:sz w:val="24"/>
              </w:rPr>
            </w:pPr>
            <w:r>
              <w:rPr>
                <w:rFonts w:hint="eastAsia" w:ascii="宋体" w:hAnsi="宋体" w:cs="宋体"/>
                <w:kern w:val="0"/>
                <w:sz w:val="24"/>
              </w:rPr>
              <w:t>上述生态环境保护措施均为技术可行、经济合理、稳定可靠、便于实施的成熟措施，在油气田勘探过程中得到广泛应用。采取上述措施后，项目施工过程中对周围生态环境的破坏可降低至可接受水平。</w:t>
            </w:r>
          </w:p>
          <w:p>
            <w:pPr>
              <w:widowControl/>
              <w:snapToGrid w:val="0"/>
              <w:spacing w:line="480" w:lineRule="exact"/>
              <w:ind w:firstLine="482" w:firstLineChars="200"/>
              <w:rPr>
                <w:rFonts w:ascii="宋体" w:hAnsi="宋体" w:cs="宋体"/>
                <w:b/>
                <w:bCs/>
                <w:sz w:val="24"/>
              </w:rPr>
            </w:pPr>
            <w:r>
              <w:rPr>
                <w:rFonts w:hint="eastAsia" w:ascii="宋体" w:hAnsi="宋体" w:cs="宋体"/>
                <w:b/>
                <w:bCs/>
                <w:sz w:val="24"/>
              </w:rPr>
              <w:t>2、水污染防治措施</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（1）废水处理措施</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①洗井废水和压裂返排液</w:t>
            </w:r>
          </w:p>
          <w:p>
            <w:pPr>
              <w:pStyle w:val="46"/>
              <w:spacing w:line="480" w:lineRule="exact"/>
              <w:ind w:firstLine="480"/>
              <w:rPr>
                <w:kern w:val="2"/>
                <w:shd w:val="clear" w:color="auto" w:fill="FFFFFF"/>
              </w:rPr>
            </w:pPr>
            <w:r>
              <w:rPr>
                <w:rFonts w:hint="eastAsia"/>
              </w:rPr>
              <w:t>试油期洗井废水和压裂返排液</w:t>
            </w:r>
            <w:r>
              <w:t>全部排入井口</w:t>
            </w:r>
            <w:r>
              <w:rPr>
                <w:rFonts w:hint="eastAsia"/>
              </w:rPr>
              <w:t>储</w:t>
            </w:r>
            <w:r>
              <w:t>罐，</w:t>
            </w:r>
            <w:r>
              <w:rPr>
                <w:rFonts w:hint="eastAsia"/>
              </w:rPr>
              <w:t>由罐车拉运至</w:t>
            </w:r>
            <w:r>
              <w:rPr>
                <w:rFonts w:hint="eastAsia"/>
                <w:kern w:val="2"/>
                <w:shd w:val="clear" w:color="auto" w:fill="FFFFFF"/>
              </w:rPr>
              <w:t>车89集中处理站。</w:t>
            </w:r>
            <w:bookmarkStart w:id="35" w:name="_Hlk117990759"/>
            <w:r>
              <w:rPr>
                <w:rFonts w:hint="eastAsia"/>
                <w:kern w:val="2"/>
                <w:shd w:val="clear" w:color="auto" w:fill="FFFFFF"/>
              </w:rPr>
              <w:t>本项目西北距车89集中处理站约2</w:t>
            </w:r>
            <w:r>
              <w:rPr>
                <w:kern w:val="2"/>
                <w:shd w:val="clear" w:color="auto" w:fill="FFFFFF"/>
              </w:rPr>
              <w:t>2.9km</w:t>
            </w:r>
            <w:r>
              <w:rPr>
                <w:rFonts w:hint="eastAsia"/>
                <w:kern w:val="2"/>
                <w:shd w:val="clear" w:color="auto" w:fill="FFFFFF"/>
              </w:rPr>
              <w:t>，具体详见附图7。</w:t>
            </w:r>
          </w:p>
          <w:bookmarkEnd w:id="35"/>
          <w:p>
            <w:pPr>
              <w:pStyle w:val="53"/>
              <w:ind w:firstLine="480"/>
              <w:rPr>
                <w:rFonts w:hAnsi="Times New Roman"/>
              </w:rPr>
            </w:pPr>
            <w:r>
              <w:rPr>
                <w:rFonts w:hint="eastAsia"/>
                <w:shd w:val="clear" w:color="auto" w:fill="FFFFFF"/>
              </w:rPr>
              <w:t>车8</w:t>
            </w:r>
            <w:r>
              <w:rPr>
                <w:rFonts w:hint="eastAsia" w:hAnsi="Times New Roman"/>
                <w:shd w:val="clear" w:color="auto" w:fill="FFFFFF"/>
              </w:rPr>
              <w:t>9</w:t>
            </w:r>
            <w:r>
              <w:rPr>
                <w:rFonts w:hint="eastAsia"/>
                <w:shd w:val="clear" w:color="auto" w:fill="FFFFFF"/>
              </w:rPr>
              <w:t>集中处理站隶属于中国石油新疆油田分公司采油一厂管辖，始建于</w:t>
            </w:r>
            <w:r>
              <w:rPr>
                <w:rFonts w:hint="eastAsia" w:hAnsi="Times New Roman"/>
                <w:shd w:val="clear" w:color="auto" w:fill="FFFFFF"/>
              </w:rPr>
              <w:t>2009年</w:t>
            </w:r>
            <w:r>
              <w:rPr>
                <w:rFonts w:hint="eastAsia"/>
                <w:shd w:val="clear" w:color="auto" w:fill="FFFFFF"/>
              </w:rPr>
              <w:t>，该站集原油处理、采出水处理及注水为一体</w:t>
            </w:r>
            <w:r>
              <w:rPr>
                <w:rFonts w:hint="eastAsia"/>
              </w:rPr>
              <w:t>。采出水处理规模为</w:t>
            </w:r>
            <w:r>
              <w:rPr>
                <w:rFonts w:hint="eastAsia" w:hAnsi="Times New Roman"/>
              </w:rPr>
              <w:t>1000m</w:t>
            </w:r>
            <w:r>
              <w:rPr>
                <w:rFonts w:hint="eastAsia" w:hAnsi="Times New Roman"/>
                <w:vertAlign w:val="superscript"/>
              </w:rPr>
              <w:t>3</w:t>
            </w:r>
            <w:r>
              <w:rPr>
                <w:rFonts w:hint="eastAsia" w:hAnsi="Times New Roman"/>
              </w:rPr>
              <w:t>/d</w:t>
            </w:r>
            <w:r>
              <w:rPr>
                <w:rFonts w:hint="eastAsia"/>
              </w:rPr>
              <w:t>，处理工艺：采出水（含油≤1000</w:t>
            </w:r>
            <w:r>
              <w:rPr>
                <w:rFonts w:hint="eastAsia" w:hAnsi="Times New Roman"/>
              </w:rPr>
              <w:t>mg/L</w:t>
            </w:r>
            <w:r>
              <w:rPr>
                <w:rFonts w:hint="eastAsia"/>
              </w:rPr>
              <w:t>，悬浮物≤500</w:t>
            </w:r>
            <w:r>
              <w:rPr>
                <w:rFonts w:hint="eastAsia" w:hAnsi="Times New Roman"/>
              </w:rPr>
              <w:t>mg/L</w:t>
            </w:r>
            <w:r>
              <w:rPr>
                <w:rFonts w:hint="eastAsia"/>
              </w:rPr>
              <w:t>）进入除油罐进行油、水、悬浮物的初步分离，经泵提升后进入多功能反应罐中经化学反应，沉降后的水再进入双滤料过滤器进一步除油和悬浮物，并在流程中通过投加配套化学药剂，增强污水处理效果，使处理后污水达到回注标准后，全部用于回注油藏。</w:t>
            </w:r>
          </w:p>
          <w:p>
            <w:pPr>
              <w:pStyle w:val="46"/>
              <w:spacing w:line="480" w:lineRule="exact"/>
              <w:ind w:firstLine="480"/>
              <w:rPr>
                <w:bCs/>
              </w:rPr>
            </w:pPr>
            <w:bookmarkStart w:id="36" w:name="_Hlk118018733"/>
            <w:r>
              <w:rPr>
                <w:rFonts w:hint="eastAsia"/>
                <w:kern w:val="2"/>
                <w:shd w:val="clear" w:color="auto" w:fill="FFFFFF"/>
              </w:rPr>
              <w:t>车89集中处理站包含在《车89井区产能建设项目》中，其环保手续履行情况见表1</w:t>
            </w:r>
            <w:r>
              <w:rPr>
                <w:kern w:val="2"/>
                <w:shd w:val="clear" w:color="auto" w:fill="FFFFFF"/>
              </w:rPr>
              <w:t>3</w:t>
            </w:r>
            <w:r>
              <w:rPr>
                <w:rFonts w:hint="eastAsia"/>
                <w:kern w:val="2"/>
                <w:shd w:val="clear" w:color="auto" w:fill="FFFFFF"/>
              </w:rPr>
              <w:t>、附件2和附件3。</w:t>
            </w:r>
          </w:p>
          <w:p>
            <w:pPr>
              <w:pStyle w:val="6"/>
              <w:keepNext/>
              <w:rPr>
                <w:bCs/>
              </w:rPr>
            </w:pPr>
            <w:r>
              <w:rPr>
                <w:rFonts w:hint="eastAsia"/>
              </w:rPr>
              <w:t>表1</w:t>
            </w:r>
            <w:r>
              <w:t xml:space="preserve">3    </w:t>
            </w:r>
            <w:r>
              <w:rPr>
                <w:rFonts w:hint="eastAsia"/>
              </w:rPr>
              <w:t>车89集中处理站</w:t>
            </w:r>
            <w:r>
              <w:rPr>
                <w:rFonts w:hint="eastAsia"/>
                <w:bCs/>
              </w:rPr>
              <w:t>环保手续履行情况一览表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2244"/>
              <w:gridCol w:w="2409"/>
              <w:gridCol w:w="30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12" w:hRule="atLeast"/>
                <w:jc w:val="center"/>
              </w:trPr>
              <w:tc>
                <w:tcPr>
                  <w:tcW w:w="1463" w:type="pct"/>
                  <w:tcBorders>
                    <w:top w:val="single" w:color="auto" w:sz="12" w:space="0"/>
                    <w:left w:val="nil"/>
                    <w:bottom w:val="single" w:color="auto" w:sz="6" w:space="0"/>
                    <w:right w:val="single" w:color="auto" w:sz="6" w:space="0"/>
                  </w:tcBorders>
                  <w:vAlign w:val="center"/>
                </w:tcPr>
                <w:p>
                  <w:pPr>
                    <w:widowControl/>
                    <w:overflowPunct w:val="0"/>
                    <w:autoSpaceDE w:val="0"/>
                    <w:autoSpaceDN w:val="0"/>
                    <w:adjustRightInd w:val="0"/>
                    <w:spacing w:line="300" w:lineRule="exact"/>
                    <w:jc w:val="center"/>
                    <w:textAlignment w:val="baseline"/>
                    <w:rPr>
                      <w:rFonts w:ascii="宋体" w:hAnsi="宋体"/>
                      <w:kern w:val="0"/>
                      <w:szCs w:val="21"/>
                    </w:rPr>
                  </w:pPr>
                  <w:r>
                    <w:rPr>
                      <w:rFonts w:hint="eastAsia" w:ascii="宋体" w:hAnsi="宋体"/>
                      <w:kern w:val="0"/>
                      <w:szCs w:val="21"/>
                    </w:rPr>
                    <w:t>项目名称</w:t>
                  </w:r>
                </w:p>
              </w:tc>
              <w:tc>
                <w:tcPr>
                  <w:tcW w:w="1571" w:type="pct"/>
                  <w:tcBorders>
                    <w:top w:val="single" w:color="auto" w:sz="12" w:space="0"/>
                    <w:left w:val="single" w:color="auto" w:sz="6" w:space="0"/>
                    <w:bottom w:val="single" w:color="auto" w:sz="6" w:space="0"/>
                    <w:right w:val="single" w:color="auto" w:sz="6" w:space="0"/>
                  </w:tcBorders>
                  <w:vAlign w:val="center"/>
                </w:tcPr>
                <w:p>
                  <w:pPr>
                    <w:widowControl/>
                    <w:overflowPunct w:val="0"/>
                    <w:autoSpaceDE w:val="0"/>
                    <w:autoSpaceDN w:val="0"/>
                    <w:adjustRightInd w:val="0"/>
                    <w:spacing w:line="300" w:lineRule="exact"/>
                    <w:jc w:val="center"/>
                    <w:textAlignment w:val="baseline"/>
                    <w:rPr>
                      <w:rFonts w:ascii="宋体" w:hAnsi="宋体"/>
                      <w:kern w:val="0"/>
                      <w:szCs w:val="21"/>
                    </w:rPr>
                  </w:pPr>
                  <w:r>
                    <w:rPr>
                      <w:rFonts w:hint="eastAsia" w:ascii="宋体" w:hAnsi="宋体"/>
                      <w:kern w:val="0"/>
                      <w:szCs w:val="21"/>
                    </w:rPr>
                    <w:t>环评批复机关及批复文号</w:t>
                  </w:r>
                </w:p>
              </w:tc>
              <w:tc>
                <w:tcPr>
                  <w:tcW w:w="1966" w:type="pct"/>
                  <w:tcBorders>
                    <w:top w:val="single" w:color="auto" w:sz="12" w:space="0"/>
                    <w:left w:val="single" w:color="auto" w:sz="6" w:space="0"/>
                    <w:bottom w:val="single" w:color="auto" w:sz="6" w:space="0"/>
                    <w:right w:val="nil"/>
                  </w:tcBorders>
                  <w:vAlign w:val="center"/>
                </w:tcPr>
                <w:p>
                  <w:pPr>
                    <w:widowControl/>
                    <w:overflowPunct w:val="0"/>
                    <w:autoSpaceDE w:val="0"/>
                    <w:autoSpaceDN w:val="0"/>
                    <w:adjustRightInd w:val="0"/>
                    <w:spacing w:line="300" w:lineRule="exact"/>
                    <w:jc w:val="center"/>
                    <w:textAlignment w:val="baseline"/>
                    <w:rPr>
                      <w:rFonts w:ascii="宋体" w:hAnsi="宋体"/>
                      <w:kern w:val="0"/>
                      <w:szCs w:val="21"/>
                    </w:rPr>
                  </w:pPr>
                  <w:r>
                    <w:rPr>
                      <w:rFonts w:hint="eastAsia" w:ascii="宋体" w:hAnsi="宋体"/>
                      <w:kern w:val="0"/>
                      <w:szCs w:val="21"/>
                    </w:rPr>
                    <w:t>环境竣工验收批复机关及批复</w:t>
                  </w:r>
                </w:p>
                <w:p>
                  <w:pPr>
                    <w:widowControl/>
                    <w:overflowPunct w:val="0"/>
                    <w:autoSpaceDE w:val="0"/>
                    <w:autoSpaceDN w:val="0"/>
                    <w:adjustRightInd w:val="0"/>
                    <w:spacing w:line="300" w:lineRule="exact"/>
                    <w:jc w:val="center"/>
                    <w:textAlignment w:val="baseline"/>
                    <w:rPr>
                      <w:rFonts w:ascii="宋体" w:hAnsi="宋体"/>
                      <w:kern w:val="0"/>
                      <w:szCs w:val="21"/>
                    </w:rPr>
                  </w:pPr>
                  <w:r>
                    <w:rPr>
                      <w:rFonts w:hint="eastAsia" w:ascii="宋体" w:hAnsi="宋体"/>
                      <w:kern w:val="0"/>
                      <w:szCs w:val="21"/>
                    </w:rPr>
                    <w:t>文号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12" w:hRule="atLeast"/>
                <w:jc w:val="center"/>
              </w:trPr>
              <w:tc>
                <w:tcPr>
                  <w:tcW w:w="1463" w:type="pct"/>
                  <w:tcBorders>
                    <w:top w:val="single" w:color="auto" w:sz="6" w:space="0"/>
                    <w:left w:val="nil"/>
                    <w:bottom w:val="single" w:color="auto" w:sz="12" w:space="0"/>
                    <w:right w:val="single" w:color="auto" w:sz="6" w:space="0"/>
                  </w:tcBorders>
                  <w:vAlign w:val="center"/>
                </w:tcPr>
                <w:p>
                  <w:pPr>
                    <w:widowControl/>
                    <w:overflowPunct w:val="0"/>
                    <w:autoSpaceDE w:val="0"/>
                    <w:autoSpaceDN w:val="0"/>
                    <w:adjustRightInd w:val="0"/>
                    <w:spacing w:line="300" w:lineRule="exact"/>
                    <w:jc w:val="center"/>
                    <w:textAlignment w:val="baseline"/>
                    <w:rPr>
                      <w:rFonts w:ascii="宋体" w:hAnsi="宋体"/>
                      <w:kern w:val="0"/>
                      <w:szCs w:val="21"/>
                    </w:rPr>
                  </w:pPr>
                  <w:r>
                    <w:rPr>
                      <w:rFonts w:hint="eastAsia" w:ascii="宋体" w:hAnsi="宋体"/>
                      <w:kern w:val="0"/>
                      <w:szCs w:val="21"/>
                    </w:rPr>
                    <w:t>车89井区产能建设项目</w:t>
                  </w:r>
                </w:p>
              </w:tc>
              <w:tc>
                <w:tcPr>
                  <w:tcW w:w="1571" w:type="pct"/>
                  <w:tcBorders>
                    <w:top w:val="single" w:color="auto" w:sz="6" w:space="0"/>
                    <w:left w:val="single" w:color="auto" w:sz="6" w:space="0"/>
                    <w:bottom w:val="single" w:color="auto" w:sz="12" w:space="0"/>
                    <w:right w:val="single" w:color="auto" w:sz="6" w:space="0"/>
                  </w:tcBorders>
                  <w:vAlign w:val="center"/>
                </w:tcPr>
                <w:p>
                  <w:pPr>
                    <w:widowControl/>
                    <w:overflowPunct w:val="0"/>
                    <w:autoSpaceDE w:val="0"/>
                    <w:autoSpaceDN w:val="0"/>
                    <w:adjustRightInd w:val="0"/>
                    <w:spacing w:line="300" w:lineRule="exact"/>
                    <w:jc w:val="center"/>
                    <w:textAlignment w:val="baseline"/>
                    <w:rPr>
                      <w:rFonts w:ascii="宋体" w:hAnsi="宋体"/>
                      <w:kern w:val="0"/>
                      <w:szCs w:val="21"/>
                    </w:rPr>
                  </w:pPr>
                  <w:r>
                    <w:rPr>
                      <w:rFonts w:hint="eastAsia" w:ascii="宋体" w:hAnsi="宋体"/>
                      <w:kern w:val="0"/>
                      <w:szCs w:val="21"/>
                    </w:rPr>
                    <w:t>克拉玛依市环境保护局</w:t>
                  </w:r>
                </w:p>
                <w:p>
                  <w:pPr>
                    <w:widowControl/>
                    <w:overflowPunct w:val="0"/>
                    <w:autoSpaceDE w:val="0"/>
                    <w:autoSpaceDN w:val="0"/>
                    <w:adjustRightInd w:val="0"/>
                    <w:spacing w:line="300" w:lineRule="exact"/>
                    <w:jc w:val="center"/>
                    <w:textAlignment w:val="baseline"/>
                    <w:rPr>
                      <w:rFonts w:ascii="宋体" w:hAnsi="宋体"/>
                      <w:kern w:val="0"/>
                      <w:szCs w:val="21"/>
                    </w:rPr>
                  </w:pPr>
                  <w:r>
                    <w:rPr>
                      <w:rFonts w:hint="eastAsia" w:ascii="宋体" w:hAnsi="宋体"/>
                      <w:kern w:val="0"/>
                      <w:szCs w:val="21"/>
                    </w:rPr>
                    <w:t>克环保函〔2009〕31号</w:t>
                  </w:r>
                </w:p>
              </w:tc>
              <w:tc>
                <w:tcPr>
                  <w:tcW w:w="1966" w:type="pct"/>
                  <w:tcBorders>
                    <w:top w:val="single" w:color="auto" w:sz="6" w:space="0"/>
                    <w:left w:val="single" w:color="auto" w:sz="6" w:space="0"/>
                    <w:bottom w:val="single" w:color="auto" w:sz="12" w:space="0"/>
                    <w:right w:val="nil"/>
                  </w:tcBorders>
                  <w:vAlign w:val="center"/>
                </w:tcPr>
                <w:p>
                  <w:pPr>
                    <w:widowControl/>
                    <w:overflowPunct w:val="0"/>
                    <w:autoSpaceDE w:val="0"/>
                    <w:autoSpaceDN w:val="0"/>
                    <w:adjustRightInd w:val="0"/>
                    <w:spacing w:line="300" w:lineRule="exact"/>
                    <w:jc w:val="center"/>
                    <w:textAlignment w:val="baseline"/>
                    <w:rPr>
                      <w:rFonts w:ascii="宋体" w:hAnsi="宋体"/>
                      <w:kern w:val="0"/>
                      <w:szCs w:val="21"/>
                    </w:rPr>
                  </w:pPr>
                  <w:r>
                    <w:rPr>
                      <w:rFonts w:hint="eastAsia" w:ascii="宋体" w:hAnsi="宋体"/>
                      <w:kern w:val="0"/>
                      <w:szCs w:val="21"/>
                    </w:rPr>
                    <w:t>克拉玛依市环境保护局</w:t>
                  </w:r>
                </w:p>
                <w:p>
                  <w:pPr>
                    <w:widowControl/>
                    <w:overflowPunct w:val="0"/>
                    <w:autoSpaceDE w:val="0"/>
                    <w:autoSpaceDN w:val="0"/>
                    <w:adjustRightInd w:val="0"/>
                    <w:spacing w:line="300" w:lineRule="exact"/>
                    <w:jc w:val="center"/>
                    <w:textAlignment w:val="baseline"/>
                    <w:rPr>
                      <w:rFonts w:ascii="宋体" w:hAnsi="宋体"/>
                      <w:kern w:val="0"/>
                      <w:szCs w:val="21"/>
                    </w:rPr>
                  </w:pPr>
                  <w:r>
                    <w:rPr>
                      <w:rFonts w:hint="eastAsia" w:ascii="宋体" w:hAnsi="宋体"/>
                      <w:kern w:val="0"/>
                      <w:szCs w:val="21"/>
                    </w:rPr>
                    <w:t>克环保函〔2015〕461号</w:t>
                  </w:r>
                </w:p>
              </w:tc>
            </w:tr>
            <w:bookmarkEnd w:id="36"/>
          </w:tbl>
          <w:p>
            <w:pPr>
              <w:pStyle w:val="53"/>
              <w:ind w:firstLine="480"/>
            </w:pPr>
            <w:bookmarkStart w:id="37" w:name="_Hlk519245556"/>
            <w:r>
              <w:rPr>
                <w:rFonts w:hint="eastAsia"/>
                <w:shd w:val="clear" w:color="auto" w:fill="FFFFFF"/>
              </w:rPr>
              <w:t>车8</w:t>
            </w:r>
            <w:r>
              <w:rPr>
                <w:rFonts w:hint="eastAsia" w:hAnsi="Times New Roman"/>
                <w:shd w:val="clear" w:color="auto" w:fill="FFFFFF"/>
              </w:rPr>
              <w:t>9</w:t>
            </w:r>
            <w:r>
              <w:rPr>
                <w:rFonts w:hint="eastAsia"/>
                <w:shd w:val="clear" w:color="auto" w:fill="FFFFFF"/>
              </w:rPr>
              <w:t>集中处理站采出水处理系统</w:t>
            </w:r>
            <w:r>
              <w:rPr>
                <w:rFonts w:hint="eastAsia"/>
                <w:bCs/>
              </w:rPr>
              <w:t>设计</w:t>
            </w:r>
            <w:r>
              <w:rPr>
                <w:bCs/>
              </w:rPr>
              <w:t>处理规模为1000m</w:t>
            </w:r>
            <w:r>
              <w:rPr>
                <w:bCs/>
                <w:vertAlign w:val="superscript"/>
              </w:rPr>
              <w:t>3</w:t>
            </w:r>
            <w:r>
              <w:rPr>
                <w:bCs/>
              </w:rPr>
              <w:t>/d</w:t>
            </w:r>
            <w:r>
              <w:rPr>
                <w:rFonts w:hint="eastAsia"/>
                <w:bCs/>
              </w:rPr>
              <w:t>，</w:t>
            </w:r>
            <w:r>
              <w:rPr>
                <w:bCs/>
              </w:rPr>
              <w:t>目前实际处理规模900m</w:t>
            </w:r>
            <w:r>
              <w:rPr>
                <w:bCs/>
                <w:vertAlign w:val="superscript"/>
              </w:rPr>
              <w:t>3</w:t>
            </w:r>
            <w:r>
              <w:rPr>
                <w:bCs/>
              </w:rPr>
              <w:t>/d，富余100m</w:t>
            </w:r>
            <w:r>
              <w:rPr>
                <w:bCs/>
                <w:vertAlign w:val="superscript"/>
              </w:rPr>
              <w:t>3</w:t>
            </w:r>
            <w:r>
              <w:rPr>
                <w:bCs/>
              </w:rPr>
              <w:t>/d</w:t>
            </w:r>
            <w:r>
              <w:rPr>
                <w:rFonts w:hint="eastAsia"/>
                <w:bCs/>
              </w:rPr>
              <w:t>。本项目试油</w:t>
            </w:r>
            <w:r>
              <w:rPr>
                <w:bCs/>
              </w:rPr>
              <w:t>期间</w:t>
            </w:r>
            <w:r>
              <w:rPr>
                <w:rFonts w:hint="eastAsia"/>
                <w:bCs/>
              </w:rPr>
              <w:t>产生的试油</w:t>
            </w:r>
            <w:r>
              <w:rPr>
                <w:bCs/>
              </w:rPr>
              <w:t>废水量约1000m</w:t>
            </w:r>
            <w:r>
              <w:rPr>
                <w:bCs/>
                <w:vertAlign w:val="superscript"/>
              </w:rPr>
              <w:t>3</w:t>
            </w:r>
            <w:r>
              <w:rPr>
                <w:bCs/>
              </w:rPr>
              <w:t>，</w:t>
            </w:r>
            <w:r>
              <w:rPr>
                <w:rFonts w:hint="eastAsia"/>
                <w:bCs/>
              </w:rPr>
              <w:t>平均约</w:t>
            </w:r>
            <w:r>
              <w:rPr>
                <w:bCs/>
              </w:rPr>
              <w:t>8.3</w:t>
            </w:r>
            <w:r>
              <w:rPr>
                <w:rFonts w:hint="eastAsia"/>
                <w:bCs/>
              </w:rPr>
              <w:t>m</w:t>
            </w:r>
            <w:r>
              <w:rPr>
                <w:bCs/>
                <w:vertAlign w:val="superscript"/>
              </w:rPr>
              <w:t>3</w:t>
            </w:r>
            <w:r>
              <w:rPr>
                <w:rFonts w:hint="eastAsia"/>
                <w:bCs/>
              </w:rPr>
              <w:t>/d，</w:t>
            </w:r>
            <w:r>
              <w:rPr>
                <w:bCs/>
              </w:rPr>
              <w:t>产生量较小</w:t>
            </w:r>
            <w:r>
              <w:rPr>
                <w:rFonts w:hint="eastAsia"/>
                <w:bCs/>
              </w:rPr>
              <w:t>。综上所述，车89集中处理站采出水</w:t>
            </w:r>
            <w:r>
              <w:rPr>
                <w:bCs/>
              </w:rPr>
              <w:t>处理系统余量可满足本项目</w:t>
            </w:r>
            <w:r>
              <w:rPr>
                <w:rFonts w:hint="eastAsia"/>
                <w:bCs/>
              </w:rPr>
              <w:t>试油</w:t>
            </w:r>
            <w:r>
              <w:rPr>
                <w:bCs/>
              </w:rPr>
              <w:t>废水处理需求</w:t>
            </w:r>
            <w:r>
              <w:rPr>
                <w:rFonts w:hint="eastAsia"/>
                <w:bCs/>
              </w:rPr>
              <w:t>，依托可行。</w:t>
            </w:r>
          </w:p>
          <w:bookmarkEnd w:id="37"/>
          <w:p>
            <w:pPr>
              <w:pStyle w:val="57"/>
              <w:spacing w:line="500" w:lineRule="exact"/>
              <w:ind w:firstLine="708" w:firstLineChars="300"/>
              <w:rPr>
                <w:rFonts w:ascii="宋体"/>
                <w:kern w:val="2"/>
              </w:rPr>
            </w:pPr>
            <w:r>
              <w:rPr>
                <w:rFonts w:hint="eastAsia" w:ascii="宋体"/>
                <w:kern w:val="2"/>
              </w:rPr>
              <w:t>②生活污水</w:t>
            </w:r>
          </w:p>
          <w:p>
            <w:pPr>
              <w:pStyle w:val="46"/>
              <w:ind w:firstLine="476"/>
            </w:pPr>
            <w:r>
              <w:rPr>
                <w:rFonts w:hint="eastAsia"/>
                <w:spacing w:val="-2"/>
              </w:rPr>
              <w:t>生活营地设有容积不小于</w:t>
            </w:r>
            <w:r>
              <w:rPr>
                <w:spacing w:val="-2"/>
              </w:rPr>
              <w:t>45</w:t>
            </w:r>
            <w:r>
              <w:rPr>
                <w:rFonts w:hint="eastAsia"/>
                <w:spacing w:val="-2"/>
              </w:rPr>
              <w:t>m</w:t>
            </w:r>
            <w:r>
              <w:rPr>
                <w:rFonts w:hint="eastAsia"/>
                <w:spacing w:val="-2"/>
                <w:vertAlign w:val="superscript"/>
              </w:rPr>
              <w:t>3</w:t>
            </w:r>
            <w:r>
              <w:rPr>
                <w:rFonts w:hint="eastAsia"/>
                <w:spacing w:val="-2"/>
              </w:rPr>
              <w:t>的生活污水储集防渗池</w:t>
            </w:r>
            <w:r>
              <w:rPr>
                <w:rFonts w:hint="eastAsia"/>
              </w:rPr>
              <w:t>，采用HDPE防渗膜防渗，用于收集生活营地的</w:t>
            </w:r>
            <w:r>
              <w:rPr>
                <w:rFonts w:hint="eastAsia"/>
                <w:spacing w:val="-2"/>
              </w:rPr>
              <w:t>生活污水，生活污水</w:t>
            </w:r>
            <w:r>
              <w:rPr>
                <w:rFonts w:hint="eastAsia"/>
              </w:rPr>
              <w:t>定期由吸污车清运至克拉玛依市第二污水处理厂处理，施工结束后，防渗膜回收，并对防渗池进行覆土填埋。</w:t>
            </w:r>
            <w:bookmarkStart w:id="38" w:name="_Hlk117989178"/>
            <w:r>
              <w:rPr>
                <w:rFonts w:hint="eastAsia"/>
              </w:rPr>
              <w:t>本项目北距克拉玛依市第二污水处理厂约8</w:t>
            </w:r>
            <w:r>
              <w:t>5.4</w:t>
            </w:r>
            <w:r>
              <w:rPr>
                <w:rFonts w:hint="eastAsia"/>
              </w:rPr>
              <w:t>km</w:t>
            </w:r>
            <w:r>
              <w:t>,</w:t>
            </w:r>
            <w:r>
              <w:rPr>
                <w:rFonts w:hint="eastAsia"/>
              </w:rPr>
              <w:t>具体详见附图7。</w:t>
            </w:r>
            <w:bookmarkEnd w:id="38"/>
            <w:r>
              <w:rPr>
                <w:rFonts w:hint="eastAsia"/>
              </w:rPr>
              <w:t>克拉玛依市第二污水处理厂环保手续履行情况</w:t>
            </w:r>
            <w:r>
              <w:rPr>
                <w:rStyle w:val="47"/>
                <w:rFonts w:hint="eastAsia"/>
              </w:rPr>
              <w:t>见</w:t>
            </w:r>
            <w:r>
              <w:rPr>
                <w:rStyle w:val="47"/>
              </w:rPr>
              <w:fldChar w:fldCharType="begin"/>
            </w:r>
            <w:r>
              <w:rPr>
                <w:rStyle w:val="47"/>
              </w:rPr>
              <w:instrText xml:space="preserve"> </w:instrText>
            </w:r>
            <w:r>
              <w:rPr>
                <w:rStyle w:val="47"/>
                <w:rFonts w:hint="eastAsia"/>
              </w:rPr>
              <w:instrText xml:space="preserve">REF _Ref107504233 \h</w:instrText>
            </w:r>
            <w:r>
              <w:rPr>
                <w:rStyle w:val="47"/>
              </w:rPr>
              <w:instrText xml:space="preserve">  \* MERGEFORMAT </w:instrText>
            </w:r>
            <w:r>
              <w:rPr>
                <w:rStyle w:val="47"/>
              </w:rPr>
              <w:fldChar w:fldCharType="separate"/>
            </w:r>
            <w:r>
              <w:rPr>
                <w:rStyle w:val="47"/>
                <w:rFonts w:hint="eastAsia"/>
              </w:rPr>
              <w:t>表</w:t>
            </w:r>
            <w:r>
              <w:rPr>
                <w:rStyle w:val="47"/>
              </w:rPr>
              <w:fldChar w:fldCharType="end"/>
            </w:r>
            <w:r>
              <w:rPr>
                <w:rStyle w:val="47"/>
              </w:rPr>
              <w:t>14</w:t>
            </w:r>
            <w:r>
              <w:rPr>
                <w:rFonts w:hint="eastAsia"/>
              </w:rPr>
              <w:t>。</w:t>
            </w:r>
          </w:p>
          <w:p>
            <w:pPr>
              <w:pStyle w:val="6"/>
              <w:keepNext/>
            </w:pPr>
            <w:bookmarkStart w:id="39" w:name="_Ref107504233"/>
            <w:r>
              <w:rPr>
                <w:rFonts w:hint="eastAsia"/>
              </w:rPr>
              <w:t>表</w:t>
            </w:r>
            <w:bookmarkEnd w:id="39"/>
            <w:r>
              <w:t>14</w:t>
            </w:r>
            <w:r>
              <w:rPr>
                <w:bCs/>
              </w:rPr>
              <w:t xml:space="preserve">    </w:t>
            </w:r>
            <w:r>
              <w:rPr>
                <w:rFonts w:hint="eastAsia"/>
                <w:bCs/>
              </w:rPr>
              <w:t>克拉玛依市第二污水处理厂环保手续履行情况一览表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2225"/>
              <w:gridCol w:w="2428"/>
              <w:gridCol w:w="24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81" w:type="pct"/>
                  <w:tcBorders>
                    <w:top w:val="single" w:color="auto" w:sz="12" w:space="0"/>
                    <w:left w:val="nil"/>
                    <w:bottom w:val="single" w:color="auto" w:sz="4" w:space="0"/>
                    <w:right w:val="single" w:color="auto" w:sz="4" w:space="0"/>
                  </w:tcBorders>
                  <w:tcMar>
                    <w:top w:w="0" w:type="dxa"/>
                    <w:left w:w="28" w:type="dxa"/>
                    <w:bottom w:w="0" w:type="dxa"/>
                    <w:right w:w="28" w:type="dxa"/>
                  </w:tcMar>
                  <w:vAlign w:val="center"/>
                </w:tcPr>
                <w:p>
                  <w:pPr>
                    <w:spacing w:line="300" w:lineRule="exact"/>
                    <w:jc w:val="center"/>
                    <w:rPr>
                      <w:rFonts w:ascii="宋体" w:hAnsi="宋体"/>
                      <w:kern w:val="0"/>
                      <w:szCs w:val="21"/>
                    </w:rPr>
                  </w:pPr>
                  <w:bookmarkStart w:id="40" w:name="_Hlk80466057"/>
                  <w:bookmarkStart w:id="41" w:name="_Hlk80466079"/>
                  <w:r>
                    <w:rPr>
                      <w:rFonts w:hint="eastAsia" w:ascii="宋体" w:hAnsi="宋体"/>
                      <w:kern w:val="0"/>
                    </w:rPr>
                    <w:t>序号</w:t>
                  </w:r>
                </w:p>
              </w:tc>
              <w:tc>
                <w:tcPr>
                  <w:tcW w:w="1451" w:type="pct"/>
                  <w:tcBorders>
                    <w:top w:val="single" w:color="auto" w:sz="12"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00" w:lineRule="exact"/>
                    <w:jc w:val="center"/>
                    <w:rPr>
                      <w:rFonts w:ascii="宋体" w:hAnsi="宋体"/>
                      <w:kern w:val="0"/>
                    </w:rPr>
                  </w:pPr>
                  <w:r>
                    <w:rPr>
                      <w:rFonts w:hint="eastAsia" w:ascii="宋体" w:hAnsi="宋体"/>
                      <w:kern w:val="0"/>
                    </w:rPr>
                    <w:t>工程名称</w:t>
                  </w:r>
                </w:p>
              </w:tc>
              <w:tc>
                <w:tcPr>
                  <w:tcW w:w="1583" w:type="pct"/>
                  <w:tcBorders>
                    <w:top w:val="single" w:color="auto" w:sz="12"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00" w:lineRule="exact"/>
                    <w:jc w:val="center"/>
                    <w:rPr>
                      <w:rFonts w:ascii="宋体" w:hAnsi="宋体"/>
                      <w:kern w:val="0"/>
                    </w:rPr>
                  </w:pPr>
                  <w:r>
                    <w:rPr>
                      <w:rFonts w:hint="eastAsia" w:ascii="宋体" w:hAnsi="宋体"/>
                      <w:kern w:val="0"/>
                    </w:rPr>
                    <w:t>环评批复机关、</w:t>
                  </w:r>
                </w:p>
                <w:p>
                  <w:pPr>
                    <w:spacing w:line="300" w:lineRule="exact"/>
                    <w:jc w:val="center"/>
                    <w:rPr>
                      <w:rFonts w:ascii="宋体" w:hAnsi="宋体"/>
                      <w:kern w:val="0"/>
                    </w:rPr>
                  </w:pPr>
                  <w:r>
                    <w:rPr>
                      <w:rFonts w:hint="eastAsia" w:ascii="宋体" w:hAnsi="宋体"/>
                      <w:kern w:val="0"/>
                    </w:rPr>
                    <w:t>文号及时间</w:t>
                  </w:r>
                </w:p>
              </w:tc>
              <w:tc>
                <w:tcPr>
                  <w:tcW w:w="1585" w:type="pct"/>
                  <w:tcBorders>
                    <w:top w:val="single" w:color="auto" w:sz="12" w:space="0"/>
                    <w:left w:val="single" w:color="auto" w:sz="4" w:space="0"/>
                    <w:bottom w:val="single" w:color="auto" w:sz="4" w:space="0"/>
                    <w:right w:val="nil"/>
                  </w:tcBorders>
                  <w:tcMar>
                    <w:top w:w="0" w:type="dxa"/>
                    <w:left w:w="28" w:type="dxa"/>
                    <w:bottom w:w="0" w:type="dxa"/>
                    <w:right w:w="28" w:type="dxa"/>
                  </w:tcMar>
                  <w:vAlign w:val="center"/>
                </w:tcPr>
                <w:p>
                  <w:pPr>
                    <w:spacing w:line="300" w:lineRule="exact"/>
                    <w:jc w:val="center"/>
                    <w:rPr>
                      <w:rFonts w:ascii="宋体" w:hAnsi="宋体"/>
                      <w:kern w:val="0"/>
                    </w:rPr>
                  </w:pPr>
                  <w:r>
                    <w:rPr>
                      <w:rFonts w:hint="eastAsia" w:ascii="宋体" w:hAnsi="宋体"/>
                      <w:kern w:val="0"/>
                    </w:rPr>
                    <w:t>环保竣工验收批复</w:t>
                  </w:r>
                </w:p>
                <w:p>
                  <w:pPr>
                    <w:spacing w:line="300" w:lineRule="exact"/>
                    <w:jc w:val="center"/>
                    <w:rPr>
                      <w:rFonts w:ascii="宋体" w:hAnsi="宋体"/>
                      <w:kern w:val="0"/>
                    </w:rPr>
                  </w:pPr>
                  <w:r>
                    <w:rPr>
                      <w:rFonts w:hint="eastAsia" w:ascii="宋体" w:hAnsi="宋体"/>
                      <w:kern w:val="0"/>
                    </w:rPr>
                    <w:t>机关、文号及时间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81" w:type="pct"/>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00" w:lineRule="exact"/>
                    <w:jc w:val="center"/>
                    <w:rPr>
                      <w:rFonts w:ascii="宋体" w:hAnsi="宋体"/>
                      <w:kern w:val="0"/>
                    </w:rPr>
                  </w:pPr>
                  <w:r>
                    <w:rPr>
                      <w:rFonts w:hint="eastAsia" w:ascii="宋体" w:hAnsi="宋体"/>
                      <w:kern w:val="0"/>
                    </w:rPr>
                    <w:t>1</w:t>
                  </w:r>
                </w:p>
              </w:tc>
              <w:tc>
                <w:tcPr>
                  <w:tcW w:w="1451"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00" w:lineRule="exact"/>
                    <w:jc w:val="center"/>
                    <w:rPr>
                      <w:rFonts w:ascii="宋体" w:hAnsi="宋体"/>
                      <w:kern w:val="0"/>
                    </w:rPr>
                  </w:pPr>
                  <w:r>
                    <w:rPr>
                      <w:rFonts w:hint="eastAsia" w:ascii="宋体" w:hAnsi="宋体"/>
                    </w:rPr>
                    <w:t>克拉玛依市第二污水处理厂工程</w:t>
                  </w:r>
                </w:p>
              </w:tc>
              <w:tc>
                <w:tcPr>
                  <w:tcW w:w="158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44"/>
                  </w:pPr>
                  <w:r>
                    <w:rPr>
                      <w:rFonts w:hint="eastAsia"/>
                    </w:rPr>
                    <w:t>原自治区发改委、建设厅</w:t>
                  </w:r>
                </w:p>
                <w:p>
                  <w:pPr>
                    <w:spacing w:line="300" w:lineRule="exact"/>
                    <w:jc w:val="center"/>
                    <w:rPr>
                      <w:rFonts w:ascii="宋体" w:hAnsi="宋体"/>
                      <w:kern w:val="0"/>
                    </w:rPr>
                  </w:pPr>
                  <w:r>
                    <w:rPr>
                      <w:rFonts w:hint="eastAsia" w:ascii="宋体" w:hAnsi="宋体"/>
                    </w:rPr>
                    <w:t>新环监建函〔2008〕97号</w:t>
                  </w:r>
                </w:p>
              </w:tc>
              <w:tc>
                <w:tcPr>
                  <w:tcW w:w="1585" w:type="pct"/>
                  <w:tcBorders>
                    <w:top w:val="single" w:color="auto" w:sz="4" w:space="0"/>
                    <w:left w:val="single" w:color="auto" w:sz="4" w:space="0"/>
                    <w:bottom w:val="single" w:color="auto" w:sz="4" w:space="0"/>
                    <w:right w:val="nil"/>
                  </w:tcBorders>
                  <w:tcMar>
                    <w:top w:w="0" w:type="dxa"/>
                    <w:left w:w="28" w:type="dxa"/>
                    <w:bottom w:w="0" w:type="dxa"/>
                    <w:right w:w="28" w:type="dxa"/>
                  </w:tcMar>
                  <w:vAlign w:val="center"/>
                </w:tcPr>
                <w:p>
                  <w:pPr>
                    <w:pStyle w:val="44"/>
                  </w:pPr>
                  <w:r>
                    <w:rPr>
                      <w:rFonts w:hint="eastAsia"/>
                    </w:rPr>
                    <w:t>原克拉玛依市环境保护局</w:t>
                  </w:r>
                </w:p>
                <w:p>
                  <w:pPr>
                    <w:spacing w:line="300" w:lineRule="exact"/>
                    <w:jc w:val="center"/>
                    <w:rPr>
                      <w:rFonts w:ascii="宋体" w:hAnsi="宋体"/>
                      <w:kern w:val="0"/>
                    </w:rPr>
                  </w:pPr>
                  <w:r>
                    <w:rPr>
                      <w:rFonts w:hint="eastAsia" w:ascii="宋体" w:hAnsi="宋体"/>
                    </w:rPr>
                    <w:t>克环保函〔2013〕281号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81" w:type="pct"/>
                  <w:tcBorders>
                    <w:top w:val="single" w:color="auto" w:sz="4" w:space="0"/>
                    <w:left w:val="nil"/>
                    <w:bottom w:val="single" w:color="auto" w:sz="12" w:space="0"/>
                    <w:right w:val="single" w:color="auto" w:sz="4" w:space="0"/>
                  </w:tcBorders>
                  <w:tcMar>
                    <w:top w:w="0" w:type="dxa"/>
                    <w:left w:w="28" w:type="dxa"/>
                    <w:bottom w:w="0" w:type="dxa"/>
                    <w:right w:w="28" w:type="dxa"/>
                  </w:tcMar>
                  <w:vAlign w:val="center"/>
                </w:tcPr>
                <w:p>
                  <w:pPr>
                    <w:spacing w:line="300" w:lineRule="exact"/>
                    <w:jc w:val="center"/>
                    <w:rPr>
                      <w:rFonts w:ascii="宋体" w:hAnsi="宋体"/>
                      <w:kern w:val="0"/>
                    </w:rPr>
                  </w:pPr>
                  <w:r>
                    <w:rPr>
                      <w:rFonts w:hint="eastAsia" w:ascii="宋体" w:hAnsi="宋体"/>
                      <w:kern w:val="0"/>
                    </w:rPr>
                    <w:t>2</w:t>
                  </w:r>
                </w:p>
              </w:tc>
              <w:tc>
                <w:tcPr>
                  <w:tcW w:w="1451"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pPr>
                    <w:spacing w:line="300" w:lineRule="exact"/>
                    <w:jc w:val="center"/>
                    <w:rPr>
                      <w:rFonts w:ascii="宋体" w:hAnsi="宋体"/>
                      <w:kern w:val="0"/>
                    </w:rPr>
                  </w:pPr>
                  <w:r>
                    <w:rPr>
                      <w:rFonts w:hint="eastAsia" w:ascii="宋体" w:hAnsi="宋体"/>
                    </w:rPr>
                    <w:t>克拉玛依市第二污水处理厂二期工程</w:t>
                  </w:r>
                </w:p>
              </w:tc>
              <w:tc>
                <w:tcPr>
                  <w:tcW w:w="1583"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pPr>
                    <w:pStyle w:val="44"/>
                  </w:pPr>
                  <w:r>
                    <w:rPr>
                      <w:rFonts w:hint="eastAsia"/>
                    </w:rPr>
                    <w:t>原克拉玛依市环保局</w:t>
                  </w:r>
                </w:p>
                <w:p>
                  <w:pPr>
                    <w:spacing w:line="300" w:lineRule="exact"/>
                    <w:jc w:val="center"/>
                    <w:rPr>
                      <w:rFonts w:ascii="宋体" w:hAnsi="宋体"/>
                      <w:kern w:val="0"/>
                    </w:rPr>
                  </w:pPr>
                  <w:r>
                    <w:rPr>
                      <w:rFonts w:hint="eastAsia" w:ascii="宋体" w:hAnsi="宋体"/>
                    </w:rPr>
                    <w:t>克环保函〔2017〕210号</w:t>
                  </w:r>
                </w:p>
              </w:tc>
              <w:tc>
                <w:tcPr>
                  <w:tcW w:w="1585" w:type="pct"/>
                  <w:tcBorders>
                    <w:top w:val="single" w:color="auto" w:sz="4" w:space="0"/>
                    <w:left w:val="single" w:color="auto" w:sz="4" w:space="0"/>
                    <w:bottom w:val="single" w:color="auto" w:sz="12" w:space="0"/>
                    <w:right w:val="nil"/>
                  </w:tcBorders>
                  <w:tcMar>
                    <w:top w:w="0" w:type="dxa"/>
                    <w:left w:w="28" w:type="dxa"/>
                    <w:bottom w:w="0" w:type="dxa"/>
                    <w:right w:w="28" w:type="dxa"/>
                  </w:tcMar>
                  <w:vAlign w:val="center"/>
                </w:tcPr>
                <w:p>
                  <w:pPr>
                    <w:spacing w:line="300" w:lineRule="exact"/>
                    <w:jc w:val="center"/>
                    <w:rPr>
                      <w:rFonts w:ascii="宋体" w:hAnsi="宋体"/>
                      <w:kern w:val="0"/>
                    </w:rPr>
                  </w:pPr>
                  <w:r>
                    <w:rPr>
                      <w:rFonts w:hint="eastAsia" w:ascii="宋体" w:hAnsi="宋体"/>
                    </w:rPr>
                    <w:t>2020年1月15日完成自主验收</w:t>
                  </w:r>
                </w:p>
              </w:tc>
            </w:tr>
            <w:bookmarkEnd w:id="40"/>
          </w:tbl>
          <w:p>
            <w:pPr>
              <w:pStyle w:val="53"/>
              <w:ind w:firstLine="480"/>
            </w:pPr>
            <w:r>
              <w:rPr>
                <w:rFonts w:hint="eastAsia"/>
              </w:rPr>
              <w:t>克拉玛依市第二污水处理厂位于克拉玛依区，地理位置坐标东经</w:t>
            </w:r>
            <w:r>
              <w:t xml:space="preserve">         </w:t>
            </w:r>
            <w:r>
              <w:rPr>
                <w:rFonts w:hint="eastAsia"/>
              </w:rPr>
              <w:t>，北纬</w:t>
            </w:r>
            <w:r>
              <w:t xml:space="preserve">        </w:t>
            </w:r>
            <w:r>
              <w:rPr>
                <w:rFonts w:hint="eastAsia"/>
              </w:rPr>
              <w:t>。污水处理采用生物滤池法进行处理，一期污水设计处理能力5×10</w:t>
            </w:r>
            <w:r>
              <w:rPr>
                <w:rFonts w:hint="eastAsia"/>
                <w:vertAlign w:val="superscript"/>
              </w:rPr>
              <w:t>4</w:t>
            </w:r>
            <w:r>
              <w:rPr>
                <w:rFonts w:hint="eastAsia"/>
              </w:rPr>
              <w:t>m</w:t>
            </w:r>
            <w:r>
              <w:rPr>
                <w:rFonts w:hint="eastAsia"/>
                <w:vertAlign w:val="superscript"/>
              </w:rPr>
              <w:t>3</w:t>
            </w:r>
            <w:r>
              <w:rPr>
                <w:rFonts w:hint="eastAsia"/>
              </w:rPr>
              <w:t>/d，二期污水设计处理能力10×10</w:t>
            </w:r>
            <w:r>
              <w:rPr>
                <w:rFonts w:hint="eastAsia"/>
                <w:vertAlign w:val="superscript"/>
              </w:rPr>
              <w:t>4</w:t>
            </w:r>
            <w:r>
              <w:rPr>
                <w:rFonts w:hint="eastAsia"/>
              </w:rPr>
              <w:t>m</w:t>
            </w:r>
            <w:r>
              <w:rPr>
                <w:rFonts w:hint="eastAsia"/>
                <w:vertAlign w:val="superscript"/>
              </w:rPr>
              <w:t>3</w:t>
            </w:r>
            <w:r>
              <w:rPr>
                <w:rFonts w:hint="eastAsia"/>
              </w:rPr>
              <w:t>/d，目前一期为停运改造状态，仅二期运行，现实际处理量约为7.8×10</w:t>
            </w:r>
            <w:r>
              <w:rPr>
                <w:rFonts w:hint="eastAsia"/>
                <w:vertAlign w:val="superscript"/>
              </w:rPr>
              <w:t>4</w:t>
            </w:r>
            <w:r>
              <w:rPr>
                <w:rFonts w:hint="eastAsia"/>
              </w:rPr>
              <w:t>m</w:t>
            </w:r>
            <w:r>
              <w:rPr>
                <w:rFonts w:hint="eastAsia"/>
                <w:vertAlign w:val="superscript"/>
              </w:rPr>
              <w:t>3</w:t>
            </w:r>
            <w:r>
              <w:rPr>
                <w:rFonts w:hint="eastAsia"/>
              </w:rPr>
              <w:t>/d，余量2.2×10</w:t>
            </w:r>
            <w:r>
              <w:rPr>
                <w:rFonts w:hint="eastAsia"/>
                <w:vertAlign w:val="superscript"/>
              </w:rPr>
              <w:t>4</w:t>
            </w:r>
            <w:r>
              <w:rPr>
                <w:rFonts w:hint="eastAsia"/>
              </w:rPr>
              <w:t>m</w:t>
            </w:r>
            <w:r>
              <w:rPr>
                <w:rFonts w:hint="eastAsia"/>
                <w:vertAlign w:val="superscript"/>
              </w:rPr>
              <w:t>3</w:t>
            </w:r>
            <w:r>
              <w:rPr>
                <w:rFonts w:hint="eastAsia"/>
              </w:rPr>
              <w:t>/d。污水处理厂排口的废水中各项污染物监测值均符合《城镇污水处理厂污染物排放标准》（GB18918-2002）中的一级A标准的要求。生活营地生活污水产生量为</w:t>
            </w:r>
            <w:r>
              <w:t>44</w:t>
            </w:r>
            <w:r>
              <w:rPr>
                <w:rFonts w:hint="eastAsia"/>
              </w:rPr>
              <w:t>m</w:t>
            </w:r>
            <w:r>
              <w:rPr>
                <w:rFonts w:hint="eastAsia"/>
                <w:vertAlign w:val="superscript"/>
              </w:rPr>
              <w:t>3</w:t>
            </w:r>
            <w:r>
              <w:rPr>
                <w:rFonts w:hint="eastAsia"/>
              </w:rPr>
              <w:t>，污水处理厂余量完全可以容纳，依托可行。</w:t>
            </w:r>
          </w:p>
          <w:bookmarkEnd w:id="41"/>
          <w:p>
            <w:pPr>
              <w:widowControl/>
              <w:tabs>
                <w:tab w:val="left" w:pos="4584"/>
              </w:tabs>
              <w:adjustRightInd w:val="0"/>
              <w:snapToGrid w:val="0"/>
              <w:spacing w:line="500" w:lineRule="exact"/>
              <w:ind w:firstLine="472" w:firstLineChars="200"/>
              <w:rPr>
                <w:rFonts w:ascii="宋体" w:hAnsi="宋体" w:cs="宋体"/>
                <w:spacing w:val="-2"/>
                <w:sz w:val="24"/>
              </w:rPr>
            </w:pPr>
            <w:r>
              <w:rPr>
                <w:rFonts w:hint="eastAsia" w:ascii="宋体" w:hAnsi="宋体" w:cs="宋体"/>
                <w:spacing w:val="-2"/>
                <w:sz w:val="24"/>
              </w:rPr>
              <w:t>（2）地下水含水层防护措施</w:t>
            </w:r>
          </w:p>
          <w:p>
            <w:pPr>
              <w:pStyle w:val="53"/>
              <w:ind w:firstLine="480"/>
            </w:pPr>
            <w:r>
              <w:rPr>
                <w:rFonts w:hint="eastAsia"/>
              </w:rPr>
              <w:t>①井场内的柴油机、发电机房、材料堆场、柴油罐、井口方罐、采出液方罐和岩屑方罐处采用HDPE防渗膜进行防渗。</w:t>
            </w:r>
          </w:p>
          <w:p>
            <w:pPr>
              <w:pStyle w:val="53"/>
              <w:ind w:firstLine="480"/>
            </w:pPr>
            <w:r>
              <w:rPr>
                <w:rFonts w:hint="eastAsia"/>
              </w:rPr>
              <w:t>柴油机、发电机房、材料堆场、柴油罐、井口方罐、采出液方罐和水基岩屑方罐处防渗系数不低于</w:t>
            </w:r>
            <w:bookmarkStart w:id="42" w:name="_Hlk77034037"/>
            <w:r>
              <w:rPr>
                <w:rFonts w:hint="eastAsia"/>
              </w:rPr>
              <w:t>1×10</w:t>
            </w:r>
            <w:r>
              <w:rPr>
                <w:rFonts w:hint="eastAsia"/>
                <w:vertAlign w:val="superscript"/>
              </w:rPr>
              <w:t>-</w:t>
            </w:r>
            <w:r>
              <w:rPr>
                <w:vertAlign w:val="superscript"/>
              </w:rPr>
              <w:t>7</w:t>
            </w:r>
            <w:r>
              <w:rPr>
                <w:rFonts w:hint="eastAsia"/>
              </w:rPr>
              <w:t>cm/s</w:t>
            </w:r>
            <w:bookmarkEnd w:id="42"/>
            <w:r>
              <w:rPr>
                <w:rFonts w:hint="eastAsia"/>
              </w:rPr>
              <w:t>。油基钻井岩屑方罐处防渗系数不低于1×10</w:t>
            </w:r>
            <w:r>
              <w:rPr>
                <w:rFonts w:hint="eastAsia"/>
                <w:vertAlign w:val="superscript"/>
              </w:rPr>
              <w:t>-10</w:t>
            </w:r>
            <w:r>
              <w:rPr>
                <w:rFonts w:hint="eastAsia"/>
              </w:rPr>
              <w:t>cm/s，四周设围堰。</w:t>
            </w:r>
          </w:p>
          <w:p>
            <w:pPr>
              <w:pStyle w:val="46"/>
              <w:wordWrap w:val="0"/>
              <w:ind w:firstLine="476"/>
              <w:rPr>
                <w:rFonts w:cs="宋体"/>
                <w:spacing w:val="-2"/>
                <w:kern w:val="2"/>
              </w:rPr>
            </w:pPr>
            <w:r>
              <w:rPr>
                <w:rFonts w:hint="eastAsia" w:cs="宋体"/>
                <w:spacing w:val="-2"/>
              </w:rPr>
              <w:t>②钻井时采用套管与地层隔离开，并在套管与地层之间注入水泥进行固井，水泥浆返至地面，</w:t>
            </w:r>
            <w:r>
              <w:rPr>
                <w:rFonts w:hint="eastAsia" w:cs="宋体"/>
                <w:spacing w:val="-2"/>
                <w:kern w:val="2"/>
              </w:rPr>
              <w:t>封隔疏松地层和水层。</w:t>
            </w:r>
          </w:p>
          <w:p>
            <w:pPr>
              <w:pStyle w:val="46"/>
              <w:wordWrap w:val="0"/>
              <w:ind w:firstLine="476"/>
              <w:rPr>
                <w:rFonts w:cs="宋体"/>
                <w:bCs/>
              </w:rPr>
            </w:pPr>
            <w:r>
              <w:rPr>
                <w:rFonts w:hint="eastAsia" w:cs="宋体"/>
                <w:spacing w:val="-2"/>
                <w:kern w:val="2"/>
              </w:rPr>
              <w:t>③</w:t>
            </w:r>
            <w:r>
              <w:rPr>
                <w:rFonts w:cs="宋体"/>
                <w:bCs/>
              </w:rPr>
              <w:t>钻井</w:t>
            </w:r>
            <w:r>
              <w:rPr>
                <w:rFonts w:hint="eastAsia" w:cs="宋体"/>
                <w:bCs/>
              </w:rPr>
              <w:t>时</w:t>
            </w:r>
            <w:r>
              <w:rPr>
                <w:rFonts w:cs="宋体"/>
                <w:bCs/>
              </w:rPr>
              <w:t>严格</w:t>
            </w:r>
            <w:r>
              <w:rPr>
                <w:rFonts w:hint="eastAsia" w:cs="宋体"/>
                <w:bCs/>
              </w:rPr>
              <w:t>落实套管下入深度和固井质量合格</w:t>
            </w:r>
            <w:r>
              <w:rPr>
                <w:rFonts w:cs="宋体"/>
                <w:bCs/>
              </w:rPr>
              <w:t>，对产生的</w:t>
            </w:r>
            <w:r>
              <w:rPr>
                <w:rFonts w:hint="eastAsia" w:cs="宋体"/>
                <w:bCs/>
              </w:rPr>
              <w:t>洗井废水、压裂返排液、生活污水、钻井岩屑、废防渗材 料及生活垃圾</w:t>
            </w:r>
            <w:r>
              <w:rPr>
                <w:rFonts w:cs="宋体"/>
                <w:bCs/>
              </w:rPr>
              <w:t>严格管理</w:t>
            </w:r>
            <w:r>
              <w:rPr>
                <w:rFonts w:hint="eastAsia" w:cs="宋体"/>
                <w:bCs/>
              </w:rPr>
              <w:t>，禁止乱排。</w:t>
            </w:r>
          </w:p>
          <w:p>
            <w:pPr>
              <w:pStyle w:val="46"/>
              <w:wordWrap w:val="0"/>
              <w:ind w:firstLine="476"/>
              <w:rPr>
                <w:rFonts w:cs="宋体"/>
                <w:spacing w:val="-2"/>
              </w:rPr>
            </w:pPr>
            <w:r>
              <w:rPr>
                <w:rFonts w:hint="eastAsia" w:cs="宋体"/>
                <w:spacing w:val="-2"/>
              </w:rPr>
              <w:t>废水均得以妥善处置，最终实现达标排放或回用。地下水环境保护措施均为技术可行、经济合理、稳定可靠、便于实施的成熟措施，在钻井过程中得到广泛应用。采取上述措施后，钻试工程不会对水环境造成不利影响。</w:t>
            </w:r>
          </w:p>
          <w:p>
            <w:pPr>
              <w:pStyle w:val="46"/>
              <w:ind w:firstLine="482"/>
              <w:rPr>
                <w:b/>
                <w:bCs/>
              </w:rPr>
            </w:pPr>
            <w:r>
              <w:rPr>
                <w:rFonts w:hint="eastAsia"/>
                <w:b/>
                <w:bCs/>
              </w:rPr>
              <w:t>3、大气污染防治措施</w:t>
            </w:r>
          </w:p>
          <w:p>
            <w:pPr>
              <w:pStyle w:val="46"/>
              <w:ind w:firstLine="480"/>
            </w:pPr>
            <w:r>
              <w:rPr>
                <w:rFonts w:hint="eastAsia"/>
              </w:rPr>
              <w:t>（1）使用符合国家标准的柴油，加强机械、车辆的维护。</w:t>
            </w:r>
          </w:p>
          <w:p>
            <w:pPr>
              <w:pStyle w:val="46"/>
              <w:ind w:firstLine="472"/>
              <w:rPr>
                <w:spacing w:val="-4"/>
              </w:rPr>
            </w:pPr>
            <w:r>
              <w:rPr>
                <w:rFonts w:hint="eastAsia"/>
                <w:spacing w:val="-4"/>
              </w:rPr>
              <w:t>（2）施工现场运输车辆应低速慢行，不得超载，并采取密闭或遮盖措施；车辆沿道路行驶，不得随意开设便道，控制车速；对易起尘物料进行遮盖。</w:t>
            </w:r>
          </w:p>
          <w:p>
            <w:pPr>
              <w:pStyle w:val="46"/>
              <w:ind w:firstLine="472"/>
              <w:rPr>
                <w:spacing w:val="-4"/>
              </w:rPr>
            </w:pPr>
            <w:r>
              <w:rPr>
                <w:rFonts w:hint="eastAsia"/>
                <w:spacing w:val="-4"/>
              </w:rPr>
              <w:t>（3）</w:t>
            </w:r>
            <w:r>
              <w:rPr>
                <w:rFonts w:hint="eastAsia"/>
                <w:spacing w:val="-4"/>
                <w:szCs w:val="21"/>
              </w:rPr>
              <w:t>试油期产生的伴生气量不稳定，无法进行回收利用，经排气管线燃烧后排放</w:t>
            </w:r>
            <w:r>
              <w:rPr>
                <w:rFonts w:hint="eastAsia"/>
                <w:spacing w:val="-4"/>
              </w:rPr>
              <w:t>；定期检查燃烧设备，加强燃烧设备的运营维护，确保伴生气充分燃烧。</w:t>
            </w:r>
          </w:p>
          <w:p>
            <w:pPr>
              <w:pStyle w:val="53"/>
              <w:ind w:firstLine="480"/>
            </w:pPr>
            <w:r>
              <w:t>以上防治措施，简单可行，具有可操作性，</w:t>
            </w:r>
            <w:r>
              <w:rPr>
                <w:rFonts w:hint="eastAsia"/>
              </w:rPr>
              <w:t>钻试期废气</w:t>
            </w:r>
            <w:r>
              <w:t>影响能够减缓到可以接受的程度</w:t>
            </w:r>
            <w:r>
              <w:rPr>
                <w:rFonts w:hint="eastAsia"/>
              </w:rPr>
              <w:t>。</w:t>
            </w:r>
          </w:p>
          <w:p>
            <w:pPr>
              <w:pStyle w:val="46"/>
              <w:ind w:firstLine="482"/>
              <w:rPr>
                <w:b/>
                <w:bCs/>
              </w:rPr>
            </w:pPr>
            <w:r>
              <w:rPr>
                <w:rFonts w:hint="eastAsia"/>
                <w:b/>
                <w:bCs/>
              </w:rPr>
              <w:t>4、声环境污染防治措施</w:t>
            </w:r>
          </w:p>
          <w:p>
            <w:pPr>
              <w:pStyle w:val="46"/>
              <w:ind w:firstLine="480"/>
            </w:pPr>
            <w:r>
              <w:rPr>
                <w:rFonts w:hint="eastAsia"/>
              </w:rPr>
              <w:t>施工机械采用低噪声设备,加强设备维护及保养，在设备底部进行基础减振处理。</w:t>
            </w:r>
          </w:p>
          <w:p>
            <w:pPr>
              <w:pStyle w:val="46"/>
              <w:ind w:firstLine="480"/>
            </w:pPr>
            <w:r>
              <w:rPr>
                <w:rFonts w:hint="eastAsia"/>
              </w:rPr>
              <w:t>以上措施技术经济条件可行，且优先从噪声源采取合理的技术措施，可实现噪声主动控制，减轻噪声对环境的影响。</w:t>
            </w:r>
          </w:p>
          <w:p>
            <w:pPr>
              <w:pStyle w:val="46"/>
              <w:ind w:firstLine="482"/>
              <w:rPr>
                <w:b/>
                <w:bCs/>
              </w:rPr>
            </w:pPr>
            <w:r>
              <w:rPr>
                <w:rFonts w:hint="eastAsia"/>
                <w:b/>
                <w:bCs/>
              </w:rPr>
              <w:t>5、固体废物处置措施</w:t>
            </w:r>
          </w:p>
          <w:p>
            <w:pPr>
              <w:snapToGrid w:val="0"/>
              <w:spacing w:line="500" w:lineRule="exact"/>
              <w:ind w:firstLine="480" w:firstLineChars="200"/>
              <w:rPr>
                <w:rFonts w:ascii="宋体" w:hAnsi="宋体" w:cs="宋体"/>
                <w:sz w:val="24"/>
              </w:rPr>
            </w:pPr>
            <w:r>
              <w:rPr>
                <w:rFonts w:hint="eastAsia" w:ascii="宋体" w:hAnsi="宋体" w:cs="宋体"/>
                <w:sz w:val="24"/>
              </w:rPr>
              <w:t>固体废物主要为生活垃圾、钻井岩屑以及废防渗材料。</w:t>
            </w:r>
          </w:p>
          <w:p>
            <w:pPr>
              <w:pStyle w:val="53"/>
              <w:ind w:firstLine="480"/>
            </w:pPr>
            <w:r>
              <w:rPr>
                <w:rFonts w:hint="eastAsia"/>
              </w:rPr>
              <w:t>（1）钻井岩屑处置措施</w:t>
            </w:r>
          </w:p>
          <w:p>
            <w:pPr>
              <w:pStyle w:val="53"/>
              <w:ind w:firstLine="480"/>
            </w:pPr>
            <w:r>
              <w:rPr>
                <w:rFonts w:hint="eastAsia"/>
              </w:rPr>
              <w:t>①水基钻井岩屑</w:t>
            </w:r>
          </w:p>
          <w:p>
            <w:pPr>
              <w:pStyle w:val="53"/>
              <w:ind w:firstLine="480"/>
            </w:pPr>
            <w:r>
              <w:rPr>
                <w:rFonts w:hint="eastAsia"/>
              </w:rPr>
              <w:t>一开钻井采用水基钻井液，钻井时井筒返排的钻井液及岩屑经固液分离装置进行分离，分离出的液相回用于钻井液配置，固相</w:t>
            </w:r>
            <w:r>
              <w:t>进岩屑专用方罐，</w:t>
            </w:r>
            <w:bookmarkStart w:id="43" w:name="_Hlk69139413"/>
            <w:r>
              <w:rPr>
                <w:rFonts w:hint="eastAsia"/>
              </w:rPr>
              <w:t>底部铺设2</w:t>
            </w:r>
            <w:r>
              <w:t>mm</w:t>
            </w:r>
            <w:r>
              <w:rPr>
                <w:rFonts w:hint="eastAsia"/>
              </w:rPr>
              <w:t>厚防渗系数不小于10</w:t>
            </w:r>
            <w:r>
              <w:rPr>
                <w:rFonts w:hint="eastAsia"/>
                <w:vertAlign w:val="superscript"/>
              </w:rPr>
              <w:t>-7</w:t>
            </w:r>
            <w:r>
              <w:rPr>
                <w:rFonts w:hint="eastAsia"/>
              </w:rPr>
              <w:t>cm/s的H</w:t>
            </w:r>
            <w:r>
              <w:t>DPE</w:t>
            </w:r>
            <w:r>
              <w:rPr>
                <w:rFonts w:hint="eastAsia"/>
              </w:rPr>
              <w:t>防渗膜。当方罐装满时</w:t>
            </w:r>
            <w:r>
              <w:t>由岩屑处置单位直接</w:t>
            </w:r>
            <w:r>
              <w:rPr>
                <w:rFonts w:hint="eastAsia"/>
              </w:rPr>
              <w:t>拉运</w:t>
            </w:r>
            <w:r>
              <w:t>进行处理</w:t>
            </w:r>
            <w:bookmarkEnd w:id="43"/>
            <w:r>
              <w:rPr>
                <w:rFonts w:hint="eastAsia"/>
              </w:rPr>
              <w:t>，满足《油气田钻井固体废物综合利用污染控制要求》（DB65/T3997-2017）中相关要求后，用于铺设服务油田生产的各种内部道路、铺垫井场等，</w:t>
            </w:r>
            <w:r>
              <w:rPr>
                <w:rFonts w:hint="eastAsia"/>
                <w:bCs/>
                <w:spacing w:val="-10"/>
              </w:rPr>
              <w:t>岩屑在井场临时贮存应满足《一般工业固体废物贮存和填埋污染控制标准》(GB18599-2020)中的相关要求。</w:t>
            </w:r>
            <w:r>
              <w:rPr>
                <w:rFonts w:hint="eastAsia"/>
              </w:rPr>
              <w:t>岩屑处理工艺流程见图</w:t>
            </w:r>
            <w:r>
              <w:t>2</w:t>
            </w:r>
            <w:r>
              <w:rPr>
                <w:rFonts w:hint="eastAsia"/>
              </w:rPr>
              <w:t>。</w:t>
            </w:r>
          </w:p>
          <w:p>
            <w:pPr>
              <w:pStyle w:val="53"/>
              <w:spacing w:line="480" w:lineRule="exact"/>
              <w:ind w:firstLine="480"/>
              <w:jc w:val="center"/>
              <w:rPr>
                <w:rFonts w:ascii="黑体" w:hAnsi="黑体" w:eastAsia="黑体" w:cs="Times New Roman"/>
                <w:kern w:val="2"/>
                <w:sz w:val="21"/>
              </w:rPr>
            </w:pPr>
            <w:bookmarkStart w:id="44" w:name="_Ref19646805"/>
            <w:bookmarkStart w:id="45" w:name="_Hlk530765038"/>
          </w:p>
          <w:p>
            <w:pPr>
              <w:pStyle w:val="53"/>
              <w:spacing w:line="480" w:lineRule="exact"/>
              <w:ind w:firstLine="420"/>
              <w:jc w:val="center"/>
              <w:rPr>
                <w:rFonts w:ascii="黑体" w:hAnsi="黑体" w:eastAsia="黑体" w:cs="Times New Roman"/>
                <w:kern w:val="2"/>
                <w:sz w:val="21"/>
              </w:rPr>
            </w:pPr>
          </w:p>
          <w:p>
            <w:pPr>
              <w:pStyle w:val="53"/>
              <w:spacing w:line="480" w:lineRule="exact"/>
              <w:ind w:firstLine="420"/>
              <w:jc w:val="center"/>
              <w:rPr>
                <w:rFonts w:ascii="黑体" w:hAnsi="黑体" w:eastAsia="黑体" w:cs="Times New Roman"/>
                <w:kern w:val="2"/>
                <w:sz w:val="21"/>
              </w:rPr>
            </w:pPr>
          </w:p>
          <w:p>
            <w:pPr>
              <w:pStyle w:val="53"/>
              <w:spacing w:line="480" w:lineRule="exact"/>
              <w:ind w:firstLine="420"/>
              <w:jc w:val="center"/>
            </w:pPr>
            <w:r>
              <w:rPr>
                <w:rFonts w:hint="eastAsia" w:ascii="黑体" w:hAnsi="黑体" w:eastAsia="黑体" w:cs="Times New Roman"/>
                <w:kern w:val="2"/>
                <w:sz w:val="21"/>
              </w:rPr>
              <w:t>图</w:t>
            </w:r>
            <w:bookmarkEnd w:id="44"/>
            <w:r>
              <w:rPr>
                <w:rFonts w:ascii="黑体" w:hAnsi="黑体" w:eastAsia="黑体" w:cs="Times New Roman"/>
                <w:kern w:val="2"/>
                <w:sz w:val="21"/>
              </w:rPr>
              <w:t xml:space="preserve">2  </w:t>
            </w:r>
            <w:r>
              <w:rPr>
                <w:rFonts w:hint="eastAsia" w:ascii="黑体" w:hAnsi="黑体" w:eastAsia="黑体" w:cs="Times New Roman"/>
                <w:kern w:val="2"/>
                <w:sz w:val="21"/>
              </w:rPr>
              <w:t>水基钻井岩屑井场处理工</w:t>
            </w:r>
            <w:r>
              <w:rPr>
                <w:rFonts w:hint="eastAsia" w:eastAsia="黑体" w:cs="Times New Roman"/>
                <w:kern w:val="2"/>
                <w:sz w:val="21"/>
              </w:rPr>
              <w:t>艺流程</w:t>
            </w:r>
            <w:bookmarkEnd w:id="45"/>
          </w:p>
          <w:p>
            <w:pPr>
              <w:pStyle w:val="53"/>
              <w:tabs>
                <w:tab w:val="left" w:pos="1420"/>
              </w:tabs>
              <w:ind w:firstLine="460"/>
              <w:rPr>
                <w:bCs/>
                <w:spacing w:val="-10"/>
              </w:rPr>
            </w:pPr>
            <w:r>
              <w:rPr>
                <w:rFonts w:hint="eastAsia"/>
                <w:bCs/>
                <w:spacing w:val="-10"/>
              </w:rPr>
              <w:t>②油基钻井岩屑</w:t>
            </w:r>
          </w:p>
          <w:p>
            <w:pPr>
              <w:snapToGrid w:val="0"/>
              <w:spacing w:line="500" w:lineRule="exact"/>
              <w:ind w:firstLine="480" w:firstLineChars="200"/>
              <w:rPr>
                <w:rFonts w:ascii="宋体" w:hAnsi="宋体" w:cs="宋体"/>
                <w:sz w:val="24"/>
              </w:rPr>
            </w:pPr>
            <w:r>
              <w:rPr>
                <w:rFonts w:hint="eastAsia" w:ascii="宋体" w:hAnsi="宋体" w:cs="宋体"/>
                <w:sz w:val="24"/>
              </w:rPr>
              <w:t>二开、三开钻井采用油基钻井液，钻井时井筒返排的钻井液及岩屑经井口振动筛、清洁器、离心机等设备进行初步分离后，进入不落地系统处理，固体经甩干机进行第一次固液分离，再由离心机对甩干机排出的液体进行第二次固液分离，实现深度分离，分离出的液相回用于钻井液配制，分离出的固相属于HW08类危险废物（废物代码：071-002-08），</w:t>
            </w:r>
            <w:bookmarkStart w:id="46" w:name="_Hlk79489344"/>
            <w:r>
              <w:rPr>
                <w:rFonts w:hint="eastAsia" w:ascii="宋体" w:hAnsi="宋体" w:cs="宋体"/>
                <w:sz w:val="24"/>
              </w:rPr>
              <w:t>采用专用的方罐进行收集，罐底底部铺设渗透系数不小于10</w:t>
            </w:r>
            <w:r>
              <w:rPr>
                <w:rFonts w:hint="eastAsia" w:ascii="宋体" w:hAnsi="宋体" w:cs="宋体"/>
                <w:sz w:val="24"/>
                <w:vertAlign w:val="superscript"/>
              </w:rPr>
              <w:t>-</w:t>
            </w:r>
            <w:r>
              <w:rPr>
                <w:rFonts w:ascii="宋体" w:hAnsi="宋体" w:cs="宋体"/>
                <w:sz w:val="24"/>
                <w:vertAlign w:val="superscript"/>
              </w:rPr>
              <w:t>10</w:t>
            </w:r>
            <w:r>
              <w:rPr>
                <w:rFonts w:hint="eastAsia" w:ascii="宋体" w:hAnsi="宋体" w:cs="宋体"/>
                <w:sz w:val="24"/>
              </w:rPr>
              <w:t>cm/s的防渗膜，待方罐盛满后交由</w:t>
            </w:r>
            <w:bookmarkStart w:id="47" w:name="_Hlk69139460"/>
            <w:r>
              <w:rPr>
                <w:rFonts w:hint="eastAsia" w:ascii="宋体" w:hAnsi="宋体" w:cs="宋体"/>
                <w:sz w:val="24"/>
              </w:rPr>
              <w:t>具有相关资质的危废处置单位进行接收、转运、处置</w:t>
            </w:r>
            <w:bookmarkEnd w:id="46"/>
            <w:bookmarkEnd w:id="47"/>
            <w:r>
              <w:rPr>
                <w:rFonts w:hint="eastAsia" w:ascii="宋体" w:hAnsi="宋体" w:cs="宋体"/>
                <w:sz w:val="24"/>
              </w:rPr>
              <w:t>。油基岩屑临时贮存应满足《危险废物贮存污染控制标准》（GB18597-2001）及其修改单中的防风、防雨、防晒、防渗等相关要求。施工结束后，钻井单位对防渗膜进行回收。本项目危险废物的收集、贮存及运输过程中应依据《危险废物收集贮存运输技术规范（HJ2025-2012）》的要求进行管理；转移过程应按《危险废物转移管理办法》办理危险废物转移联单。工艺流程见图3。</w:t>
            </w:r>
          </w:p>
          <w:p>
            <w:pPr>
              <w:widowControl/>
              <w:jc w:val="center"/>
            </w:pPr>
            <w:bookmarkStart w:id="48" w:name="_Ref62573507"/>
          </w:p>
          <w:p>
            <w:pPr>
              <w:snapToGrid w:val="0"/>
              <w:spacing w:line="500" w:lineRule="exact"/>
              <w:jc w:val="center"/>
              <w:rPr>
                <w:rFonts w:ascii="黑体" w:hAnsi="黑体" w:eastAsia="黑体" w:cs="黑体"/>
                <w:szCs w:val="21"/>
              </w:rPr>
            </w:pPr>
            <w:r>
              <w:rPr>
                <w:rFonts w:hint="eastAsia" w:ascii="黑体" w:hAnsi="黑体" w:eastAsia="黑体" w:cs="黑体"/>
                <w:szCs w:val="21"/>
              </w:rPr>
              <w:t>图</w:t>
            </w:r>
            <w:bookmarkEnd w:id="48"/>
            <w:r>
              <w:rPr>
                <w:rFonts w:hint="eastAsia" w:ascii="黑体" w:hAnsi="黑体" w:eastAsia="黑体" w:cs="黑体"/>
                <w:szCs w:val="21"/>
              </w:rPr>
              <w:t>3  油基钻井岩屑不落地处理工艺流程图</w:t>
            </w:r>
          </w:p>
          <w:p>
            <w:pPr>
              <w:pStyle w:val="53"/>
              <w:tabs>
                <w:tab w:val="left" w:pos="1420"/>
              </w:tabs>
              <w:ind w:firstLine="460"/>
              <w:rPr>
                <w:bCs/>
              </w:rPr>
            </w:pPr>
            <w:r>
              <w:rPr>
                <w:rFonts w:hint="eastAsia"/>
                <w:bCs/>
                <w:spacing w:val="-10"/>
              </w:rPr>
              <w:t>（2）</w:t>
            </w:r>
            <w:r>
              <w:rPr>
                <w:rFonts w:hint="eastAsia"/>
                <w:bCs/>
              </w:rPr>
              <w:t>废防渗材料处置措施</w:t>
            </w:r>
          </w:p>
          <w:p>
            <w:pPr>
              <w:pStyle w:val="46"/>
              <w:wordWrap w:val="0"/>
              <w:ind w:firstLine="480"/>
            </w:pPr>
            <w:r>
              <w:rPr>
                <w:rFonts w:hint="eastAsia"/>
              </w:rPr>
              <w:t>井场油罐、发电机、岩屑罐区、材料堆场等关键部位及生活污水储集防渗池均采用防渗膜防渗。场地清理时拆除的未破损的防渗膜由施工单位集中回收利用，破损的废防渗膜属于危险废物（HW08类危险废物，废物代码：900-249-08），危险特性为毒性和易燃性，集中收集后与油基钻井岩屑一同交由具有相关危险废物处置资质的单位接收、转运以及处置。</w:t>
            </w:r>
          </w:p>
          <w:p>
            <w:pPr>
              <w:pStyle w:val="53"/>
              <w:ind w:firstLine="480"/>
              <w:rPr>
                <w:bCs/>
              </w:rPr>
            </w:pPr>
            <w:r>
              <w:rPr>
                <w:rFonts w:hint="eastAsia"/>
                <w:bCs/>
              </w:rPr>
              <w:t>本项目施工期产生的固体废物中油基钻井岩屑及破损的废防渗膜均为危险废物，具体信息见表</w:t>
            </w:r>
            <w:r>
              <w:rPr>
                <w:bCs/>
              </w:rPr>
              <w:t>15</w:t>
            </w:r>
            <w:r>
              <w:rPr>
                <w:rFonts w:hint="eastAsia"/>
                <w:bCs/>
              </w:rPr>
              <w:t>。</w:t>
            </w:r>
          </w:p>
          <w:p>
            <w:pPr>
              <w:pStyle w:val="53"/>
              <w:ind w:firstLine="0" w:firstLineChars="0"/>
              <w:jc w:val="center"/>
              <w:rPr>
                <w:rFonts w:ascii="黑体" w:hAnsi="黑体" w:eastAsia="黑体"/>
                <w:sz w:val="21"/>
                <w:szCs w:val="21"/>
              </w:rPr>
            </w:pPr>
            <w:r>
              <w:rPr>
                <w:rFonts w:hint="eastAsia" w:ascii="黑体" w:hAnsi="黑体" w:eastAsia="黑体"/>
                <w:bCs/>
                <w:sz w:val="21"/>
                <w:szCs w:val="21"/>
              </w:rPr>
              <w:t>表</w:t>
            </w:r>
            <w:r>
              <w:rPr>
                <w:rFonts w:ascii="黑体" w:hAnsi="黑体" w:eastAsia="黑体"/>
                <w:bCs/>
                <w:sz w:val="21"/>
                <w:szCs w:val="21"/>
              </w:rPr>
              <w:t xml:space="preserve">15    </w:t>
            </w:r>
            <w:r>
              <w:rPr>
                <w:rFonts w:hint="eastAsia" w:ascii="黑体" w:hAnsi="黑体" w:eastAsia="黑体"/>
                <w:sz w:val="21"/>
                <w:szCs w:val="21"/>
              </w:rPr>
              <w:t>危险废物汇总样表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820"/>
              <w:gridCol w:w="816"/>
              <w:gridCol w:w="816"/>
              <w:gridCol w:w="682"/>
              <w:gridCol w:w="710"/>
              <w:gridCol w:w="853"/>
              <w:gridCol w:w="736"/>
              <w:gridCol w:w="682"/>
              <w:gridCol w:w="10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47"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序号</w:t>
                  </w:r>
                </w:p>
              </w:tc>
              <w:tc>
                <w:tcPr>
                  <w:tcW w:w="535"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危险废物名称</w:t>
                  </w:r>
                </w:p>
              </w:tc>
              <w:tc>
                <w:tcPr>
                  <w:tcW w:w="532"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危险废物类别</w:t>
                  </w:r>
                </w:p>
              </w:tc>
              <w:tc>
                <w:tcPr>
                  <w:tcW w:w="532"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危险废物代码</w:t>
                  </w:r>
                </w:p>
              </w:tc>
              <w:tc>
                <w:tcPr>
                  <w:tcW w:w="445"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产生工序</w:t>
                  </w:r>
                </w:p>
              </w:tc>
              <w:tc>
                <w:tcPr>
                  <w:tcW w:w="463"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形态</w:t>
                  </w:r>
                </w:p>
              </w:tc>
              <w:tc>
                <w:tcPr>
                  <w:tcW w:w="556"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主要成分</w:t>
                  </w:r>
                </w:p>
              </w:tc>
              <w:tc>
                <w:tcPr>
                  <w:tcW w:w="480"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有害成分</w:t>
                  </w:r>
                </w:p>
              </w:tc>
              <w:tc>
                <w:tcPr>
                  <w:tcW w:w="445"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危险</w:t>
                  </w:r>
                </w:p>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特性</w:t>
                  </w:r>
                </w:p>
              </w:tc>
              <w:tc>
                <w:tcPr>
                  <w:tcW w:w="666"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 w:type="pct"/>
                  <w:vAlign w:val="center"/>
                </w:tcPr>
                <w:p>
                  <w:pPr>
                    <w:wordWrap w:val="0"/>
                    <w:topLinePunct/>
                    <w:adjustRightInd w:val="0"/>
                    <w:snapToGrid w:val="0"/>
                    <w:spacing w:line="240" w:lineRule="exact"/>
                    <w:jc w:val="center"/>
                    <w:rPr>
                      <w:rFonts w:ascii="宋体" w:hAnsi="宋体"/>
                      <w:kern w:val="0"/>
                      <w:szCs w:val="21"/>
                    </w:rPr>
                  </w:pPr>
                  <w:r>
                    <w:rPr>
                      <w:rFonts w:ascii="宋体" w:hAnsi="宋体"/>
                      <w:kern w:val="0"/>
                      <w:szCs w:val="21"/>
                    </w:rPr>
                    <w:t>1</w:t>
                  </w:r>
                </w:p>
              </w:tc>
              <w:tc>
                <w:tcPr>
                  <w:tcW w:w="535"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油基钻井岩屑</w:t>
                  </w:r>
                </w:p>
              </w:tc>
              <w:tc>
                <w:tcPr>
                  <w:tcW w:w="532"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bCs/>
                      <w:kern w:val="0"/>
                      <w:szCs w:val="21"/>
                    </w:rPr>
                    <w:t>HW08</w:t>
                  </w:r>
                </w:p>
              </w:tc>
              <w:tc>
                <w:tcPr>
                  <w:tcW w:w="532"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071—002—08</w:t>
                  </w:r>
                </w:p>
              </w:tc>
              <w:tc>
                <w:tcPr>
                  <w:tcW w:w="445"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钻井过程</w:t>
                  </w:r>
                </w:p>
              </w:tc>
              <w:tc>
                <w:tcPr>
                  <w:tcW w:w="463"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固态</w:t>
                  </w:r>
                </w:p>
              </w:tc>
              <w:tc>
                <w:tcPr>
                  <w:tcW w:w="556"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柴油、岩石</w:t>
                  </w:r>
                </w:p>
              </w:tc>
              <w:tc>
                <w:tcPr>
                  <w:tcW w:w="480"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柴油</w:t>
                  </w:r>
                </w:p>
              </w:tc>
              <w:tc>
                <w:tcPr>
                  <w:tcW w:w="445"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毒性</w:t>
                  </w:r>
                </w:p>
              </w:tc>
              <w:tc>
                <w:tcPr>
                  <w:tcW w:w="666"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bCs/>
                      <w:kern w:val="0"/>
                      <w:szCs w:val="21"/>
                    </w:rPr>
                    <w:t>有相关危险废物处置资质的单位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 w:type="pct"/>
                  <w:vAlign w:val="center"/>
                </w:tcPr>
                <w:p>
                  <w:pPr>
                    <w:wordWrap w:val="0"/>
                    <w:topLinePunct/>
                    <w:adjustRightInd w:val="0"/>
                    <w:snapToGrid w:val="0"/>
                    <w:spacing w:line="240" w:lineRule="exact"/>
                    <w:jc w:val="center"/>
                    <w:rPr>
                      <w:rFonts w:ascii="宋体" w:hAnsi="宋体"/>
                      <w:kern w:val="0"/>
                      <w:szCs w:val="21"/>
                    </w:rPr>
                  </w:pPr>
                  <w:r>
                    <w:rPr>
                      <w:rFonts w:ascii="宋体" w:hAnsi="宋体"/>
                      <w:kern w:val="0"/>
                      <w:szCs w:val="21"/>
                    </w:rPr>
                    <w:t>2</w:t>
                  </w:r>
                </w:p>
              </w:tc>
              <w:tc>
                <w:tcPr>
                  <w:tcW w:w="535"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破损的废防渗膜</w:t>
                  </w:r>
                </w:p>
              </w:tc>
              <w:tc>
                <w:tcPr>
                  <w:tcW w:w="532"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bCs/>
                      <w:kern w:val="0"/>
                      <w:szCs w:val="21"/>
                    </w:rPr>
                    <w:t>HW08</w:t>
                  </w:r>
                </w:p>
              </w:tc>
              <w:tc>
                <w:tcPr>
                  <w:tcW w:w="532" w:type="pct"/>
                  <w:vAlign w:val="center"/>
                </w:tcPr>
                <w:p>
                  <w:pPr>
                    <w:wordWrap w:val="0"/>
                    <w:topLinePunct/>
                    <w:adjustRightInd w:val="0"/>
                    <w:snapToGrid w:val="0"/>
                    <w:spacing w:line="240" w:lineRule="exact"/>
                    <w:jc w:val="center"/>
                    <w:rPr>
                      <w:rFonts w:ascii="宋体" w:hAnsi="宋体"/>
                      <w:kern w:val="0"/>
                      <w:szCs w:val="21"/>
                    </w:rPr>
                  </w:pPr>
                  <w:r>
                    <w:rPr>
                      <w:rFonts w:ascii="宋体" w:hAnsi="宋体"/>
                      <w:bCs/>
                      <w:kern w:val="0"/>
                      <w:szCs w:val="21"/>
                    </w:rPr>
                    <w:t>900</w:t>
                  </w:r>
                  <w:r>
                    <w:rPr>
                      <w:rFonts w:hint="eastAsia" w:ascii="宋体" w:hAnsi="宋体"/>
                      <w:bCs/>
                      <w:kern w:val="0"/>
                      <w:szCs w:val="21"/>
                    </w:rPr>
                    <w:t>—</w:t>
                  </w:r>
                  <w:r>
                    <w:rPr>
                      <w:rFonts w:ascii="宋体" w:hAnsi="宋体"/>
                      <w:bCs/>
                      <w:kern w:val="0"/>
                      <w:szCs w:val="21"/>
                    </w:rPr>
                    <w:t>249</w:t>
                  </w:r>
                  <w:r>
                    <w:rPr>
                      <w:rFonts w:hint="eastAsia" w:ascii="宋体" w:hAnsi="宋体"/>
                      <w:bCs/>
                      <w:kern w:val="0"/>
                      <w:szCs w:val="21"/>
                    </w:rPr>
                    <w:t>—08</w:t>
                  </w:r>
                </w:p>
              </w:tc>
              <w:tc>
                <w:tcPr>
                  <w:tcW w:w="445"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钻试过程</w:t>
                  </w:r>
                </w:p>
              </w:tc>
              <w:tc>
                <w:tcPr>
                  <w:tcW w:w="463"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固态</w:t>
                  </w:r>
                </w:p>
              </w:tc>
              <w:tc>
                <w:tcPr>
                  <w:tcW w:w="556"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柴油、聚乙烯树脂</w:t>
                  </w:r>
                </w:p>
              </w:tc>
              <w:tc>
                <w:tcPr>
                  <w:tcW w:w="480"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柴油</w:t>
                  </w:r>
                </w:p>
              </w:tc>
              <w:tc>
                <w:tcPr>
                  <w:tcW w:w="445"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kern w:val="0"/>
                      <w:szCs w:val="21"/>
                    </w:rPr>
                    <w:t>毒性，</w:t>
                  </w:r>
                  <w:r>
                    <w:rPr>
                      <w:rFonts w:ascii="宋体" w:hAnsi="宋体"/>
                      <w:kern w:val="0"/>
                      <w:szCs w:val="21"/>
                    </w:rPr>
                    <w:t>易燃</w:t>
                  </w:r>
                  <w:r>
                    <w:rPr>
                      <w:rFonts w:hint="eastAsia" w:ascii="宋体" w:hAnsi="宋体"/>
                      <w:kern w:val="0"/>
                      <w:szCs w:val="21"/>
                    </w:rPr>
                    <w:t>性</w:t>
                  </w:r>
                </w:p>
              </w:tc>
              <w:tc>
                <w:tcPr>
                  <w:tcW w:w="666" w:type="pct"/>
                  <w:vAlign w:val="center"/>
                </w:tcPr>
                <w:p>
                  <w:pPr>
                    <w:wordWrap w:val="0"/>
                    <w:topLinePunct/>
                    <w:adjustRightInd w:val="0"/>
                    <w:snapToGrid w:val="0"/>
                    <w:spacing w:line="240" w:lineRule="exact"/>
                    <w:jc w:val="center"/>
                    <w:rPr>
                      <w:rFonts w:ascii="宋体" w:hAnsi="宋体"/>
                      <w:kern w:val="0"/>
                      <w:szCs w:val="21"/>
                    </w:rPr>
                  </w:pPr>
                  <w:r>
                    <w:rPr>
                      <w:rFonts w:hint="eastAsia" w:ascii="宋体" w:hAnsi="宋体"/>
                      <w:bCs/>
                      <w:kern w:val="0"/>
                      <w:szCs w:val="21"/>
                    </w:rPr>
                    <w:t>有相关危险废物处置资质的单位</w:t>
                  </w:r>
                </w:p>
              </w:tc>
            </w:tr>
          </w:tbl>
          <w:p>
            <w:pPr>
              <w:pStyle w:val="46"/>
              <w:wordWrap w:val="0"/>
              <w:ind w:firstLine="480"/>
            </w:pPr>
            <w:r>
              <w:rPr>
                <w:rFonts w:hint="eastAsia"/>
              </w:rPr>
              <w:t>综上所述，本项目产生的固体废物均可得到妥善处置，对环境质量造成的影响较小。</w:t>
            </w:r>
          </w:p>
          <w:p>
            <w:pPr>
              <w:pStyle w:val="53"/>
              <w:ind w:firstLine="480"/>
            </w:pPr>
            <w:r>
              <w:rPr>
                <w:rFonts w:hint="eastAsia"/>
              </w:rPr>
              <w:t>（</w:t>
            </w:r>
            <w:r>
              <w:t>3</w:t>
            </w:r>
            <w:r>
              <w:rPr>
                <w:rFonts w:hint="eastAsia"/>
              </w:rPr>
              <w:t>）生活垃圾处置措施</w:t>
            </w:r>
          </w:p>
          <w:p>
            <w:pPr>
              <w:pStyle w:val="53"/>
              <w:spacing w:line="460" w:lineRule="exact"/>
              <w:ind w:firstLine="480"/>
              <w:rPr>
                <w:bCs/>
              </w:rPr>
            </w:pPr>
            <w:r>
              <w:rPr>
                <w:rFonts w:hint="eastAsia"/>
                <w:bCs/>
              </w:rPr>
              <w:t>井场和生活营地设置生活垃圾收集箱，箱底铺设防渗膜，上部遮盖篷布。生活垃圾集中收集后清运至克拉玛依市生活垃圾填埋场。</w:t>
            </w:r>
            <w:bookmarkStart w:id="49" w:name="_Hlk117989196"/>
            <w:r>
              <w:rPr>
                <w:rFonts w:hint="eastAsia"/>
                <w:bCs/>
              </w:rPr>
              <w:t>本项目东北距克拉玛依市生活垃圾填埋场约8</w:t>
            </w:r>
            <w:r>
              <w:rPr>
                <w:bCs/>
              </w:rPr>
              <w:t>9.6km</w:t>
            </w:r>
            <w:r>
              <w:rPr>
                <w:rFonts w:hint="eastAsia"/>
                <w:bCs/>
              </w:rPr>
              <w:t>，具体见附图7。</w:t>
            </w:r>
          </w:p>
          <w:bookmarkEnd w:id="49"/>
          <w:p>
            <w:pPr>
              <w:pStyle w:val="53"/>
              <w:spacing w:line="460" w:lineRule="exact"/>
              <w:ind w:firstLine="480"/>
              <w:rPr>
                <w:bCs/>
              </w:rPr>
            </w:pPr>
            <w:r>
              <w:rPr>
                <w:rFonts w:hint="eastAsia"/>
                <w:bCs/>
              </w:rPr>
              <w:t>该生活垃圾填埋场环保手续履行情况详见</w:t>
            </w:r>
            <w:r>
              <w:rPr>
                <w:rStyle w:val="47"/>
                <w:rFonts w:hint="eastAsia"/>
              </w:rPr>
              <w:t>表</w:t>
            </w:r>
            <w:r>
              <w:rPr>
                <w:rStyle w:val="47"/>
              </w:rPr>
              <w:t>16</w:t>
            </w:r>
            <w:r>
              <w:rPr>
                <w:rFonts w:hint="eastAsia"/>
                <w:bCs/>
              </w:rPr>
              <w:t>。</w:t>
            </w:r>
          </w:p>
          <w:p>
            <w:pPr>
              <w:pStyle w:val="68"/>
              <w:rPr>
                <w:rFonts w:hAnsi="黑体" w:cs="宋体"/>
              </w:rPr>
            </w:pPr>
            <w:bookmarkStart w:id="50" w:name="_Ref107504266"/>
            <w:bookmarkEnd w:id="50"/>
            <w:r>
              <w:rPr>
                <w:rFonts w:hint="eastAsia"/>
              </w:rPr>
              <w:t>表1</w:t>
            </w:r>
            <w:r>
              <w:t xml:space="preserve">6    </w:t>
            </w:r>
            <w:r>
              <w:rPr>
                <w:rFonts w:hint="eastAsia" w:hAnsi="黑体" w:cs="宋体"/>
              </w:rPr>
              <w:t>生活垃圾填埋场环保手续履行情况一览表</w:t>
            </w:r>
          </w:p>
          <w:tbl>
            <w:tblPr>
              <w:tblStyle w:val="6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3067"/>
              <w:gridCol w:w="24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264" w:type="dxa"/>
                  <w:tcBorders>
                    <w:top w:val="single" w:color="auto" w:sz="12" w:space="0"/>
                    <w:left w:val="nil"/>
                    <w:bottom w:val="single" w:color="auto" w:sz="4" w:space="0"/>
                    <w:right w:val="single" w:color="auto" w:sz="4" w:space="0"/>
                  </w:tcBorders>
                  <w:tcMar>
                    <w:top w:w="0" w:type="dxa"/>
                    <w:left w:w="0" w:type="dxa"/>
                    <w:bottom w:w="0" w:type="dxa"/>
                    <w:right w:w="0" w:type="dxa"/>
                  </w:tcMar>
                  <w:vAlign w:val="center"/>
                </w:tcPr>
                <w:p>
                  <w:pPr>
                    <w:pStyle w:val="44"/>
                  </w:pPr>
                  <w:r>
                    <w:rPr>
                      <w:rFonts w:hint="eastAsia"/>
                    </w:rPr>
                    <w:t>环评文件</w:t>
                  </w:r>
                </w:p>
              </w:tc>
              <w:tc>
                <w:tcPr>
                  <w:tcW w:w="3256" w:type="dxa"/>
                  <w:tcBorders>
                    <w:top w:val="single" w:color="auto" w:sz="12"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44"/>
                  </w:pPr>
                  <w:r>
                    <w:rPr>
                      <w:rFonts w:hint="eastAsia"/>
                    </w:rPr>
                    <w:t>环评批复机关及批复文号</w:t>
                  </w:r>
                </w:p>
              </w:tc>
              <w:tc>
                <w:tcPr>
                  <w:tcW w:w="2640" w:type="dxa"/>
                  <w:tcBorders>
                    <w:top w:val="single" w:color="auto" w:sz="12" w:space="0"/>
                    <w:left w:val="single" w:color="auto" w:sz="4" w:space="0"/>
                    <w:bottom w:val="single" w:color="auto" w:sz="4" w:space="0"/>
                    <w:right w:val="nil"/>
                  </w:tcBorders>
                  <w:tcMar>
                    <w:top w:w="0" w:type="dxa"/>
                    <w:left w:w="0" w:type="dxa"/>
                    <w:bottom w:w="0" w:type="dxa"/>
                    <w:right w:w="0" w:type="dxa"/>
                  </w:tcMar>
                  <w:vAlign w:val="center"/>
                </w:tcPr>
                <w:p>
                  <w:pPr>
                    <w:pStyle w:val="44"/>
                  </w:pPr>
                  <w:r>
                    <w:rPr>
                      <w:rFonts w:hint="eastAsia"/>
                    </w:rPr>
                    <w:t>验收情况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4" w:type="dxa"/>
                  <w:tcBorders>
                    <w:top w:val="single" w:color="auto" w:sz="4" w:space="0"/>
                    <w:left w:val="nil"/>
                    <w:bottom w:val="single" w:color="auto" w:sz="12" w:space="0"/>
                    <w:right w:val="single" w:color="auto" w:sz="4" w:space="0"/>
                  </w:tcBorders>
                  <w:tcMar>
                    <w:top w:w="0" w:type="dxa"/>
                    <w:left w:w="0" w:type="dxa"/>
                    <w:bottom w:w="0" w:type="dxa"/>
                    <w:right w:w="0" w:type="dxa"/>
                  </w:tcMar>
                  <w:vAlign w:val="center"/>
                </w:tcPr>
                <w:p>
                  <w:pPr>
                    <w:pStyle w:val="44"/>
                  </w:pPr>
                  <w:r>
                    <w:rPr>
                      <w:rFonts w:hint="eastAsia"/>
                    </w:rPr>
                    <w:t>克拉玛依生活垃圾填埋场二期建设工程</w:t>
                  </w:r>
                </w:p>
              </w:tc>
              <w:tc>
                <w:tcPr>
                  <w:tcW w:w="3256"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pPr>
                    <w:pStyle w:val="44"/>
                  </w:pPr>
                  <w:r>
                    <w:rPr>
                      <w:rFonts w:hint="eastAsia"/>
                    </w:rPr>
                    <w:t>新疆维吾尔自治区环境保护厅</w:t>
                  </w:r>
                </w:p>
                <w:p>
                  <w:pPr>
                    <w:pStyle w:val="44"/>
                  </w:pPr>
                  <w:r>
                    <w:rPr>
                      <w:rFonts w:hint="eastAsia"/>
                    </w:rPr>
                    <w:t>新环评价函〔2012〕723号</w:t>
                  </w:r>
                </w:p>
              </w:tc>
              <w:tc>
                <w:tcPr>
                  <w:tcW w:w="2640" w:type="dxa"/>
                  <w:tcBorders>
                    <w:top w:val="single" w:color="auto" w:sz="4" w:space="0"/>
                    <w:left w:val="single" w:color="auto" w:sz="4" w:space="0"/>
                    <w:bottom w:val="single" w:color="auto" w:sz="12" w:space="0"/>
                    <w:right w:val="nil"/>
                  </w:tcBorders>
                  <w:tcMar>
                    <w:top w:w="0" w:type="dxa"/>
                    <w:left w:w="0" w:type="dxa"/>
                    <w:bottom w:w="0" w:type="dxa"/>
                    <w:right w:w="0" w:type="dxa"/>
                  </w:tcMar>
                  <w:vAlign w:val="center"/>
                </w:tcPr>
                <w:p>
                  <w:pPr>
                    <w:pStyle w:val="44"/>
                  </w:pPr>
                  <w:r>
                    <w:rPr>
                      <w:rFonts w:hint="eastAsia"/>
                    </w:rPr>
                    <w:t>原克拉玛依市环保局</w:t>
                  </w:r>
                </w:p>
                <w:p>
                  <w:pPr>
                    <w:pStyle w:val="44"/>
                  </w:pPr>
                  <w:r>
                    <w:rPr>
                      <w:rFonts w:hint="eastAsia"/>
                    </w:rPr>
                    <w:t>克环保函〔2017〕217号</w:t>
                  </w:r>
                </w:p>
              </w:tc>
            </w:tr>
          </w:tbl>
          <w:p>
            <w:pPr>
              <w:pStyle w:val="46"/>
              <w:ind w:firstLine="480"/>
            </w:pPr>
            <w:r>
              <w:rPr>
                <w:rFonts w:hint="eastAsia"/>
              </w:rPr>
              <w:t>克拉玛依市生活垃圾填埋场位于白碱滩区，该生活垃圾填埋场填埋区采用分层压实卫生填埋，其工艺主要包括垃圾堆放、铺平、碾压、覆土、在碾压、喷水降尘、灭虫等过程，设计处理能力570t/d，有效库容为223.6×10</w:t>
            </w:r>
            <w:r>
              <w:rPr>
                <w:rFonts w:hint="eastAsia"/>
                <w:vertAlign w:val="superscript"/>
              </w:rPr>
              <w:t>4</w:t>
            </w:r>
            <w:r>
              <w:rPr>
                <w:rFonts w:hint="eastAsia"/>
              </w:rPr>
              <w:t>m</w:t>
            </w:r>
            <w:r>
              <w:rPr>
                <w:rFonts w:hint="eastAsia"/>
                <w:vertAlign w:val="superscript"/>
              </w:rPr>
              <w:t>3</w:t>
            </w:r>
            <w:r>
              <w:rPr>
                <w:rFonts w:hint="eastAsia"/>
              </w:rPr>
              <w:t>。施工期间生活垃圾产生量为1.</w:t>
            </w:r>
            <w:r>
              <w:t>7</w:t>
            </w:r>
            <w:r>
              <w:rPr>
                <w:rFonts w:hint="eastAsia"/>
              </w:rPr>
              <w:t>t，相对于生活垃圾填埋场的总容积所占比例很小，可以满足井场生活营地生活垃圾处理的需求，依托可行。</w:t>
            </w:r>
          </w:p>
          <w:p>
            <w:pPr>
              <w:pStyle w:val="46"/>
              <w:ind w:firstLine="480"/>
            </w:pPr>
            <w:r>
              <w:rPr>
                <w:rFonts w:hint="eastAsia"/>
              </w:rPr>
              <w:t>上述固体废物处置措施均为技术可行和稳定可靠的成熟措施，钻试工程产生的固体废物均得到妥善处置，不会对环境造成不利影响。</w:t>
            </w:r>
          </w:p>
          <w:p>
            <w:pPr>
              <w:pStyle w:val="46"/>
              <w:ind w:firstLine="482"/>
              <w:rPr>
                <w:b/>
                <w:bCs/>
              </w:rPr>
            </w:pPr>
            <w:r>
              <w:rPr>
                <w:rFonts w:hint="eastAsia"/>
                <w:b/>
                <w:bCs/>
              </w:rPr>
              <w:t>6、环境风险防范措施及应急要求</w:t>
            </w:r>
          </w:p>
          <w:p>
            <w:pPr>
              <w:pStyle w:val="46"/>
              <w:ind w:firstLine="480"/>
            </w:pPr>
            <w:r>
              <w:rPr>
                <w:rFonts w:hint="eastAsia"/>
              </w:rPr>
              <w:t>（1）管理措施</w:t>
            </w:r>
          </w:p>
          <w:p>
            <w:pPr>
              <w:pStyle w:val="46"/>
              <w:ind w:firstLine="480"/>
            </w:pPr>
            <w:r>
              <w:rPr>
                <w:rFonts w:hint="eastAsia"/>
              </w:rPr>
              <w:t>建设单位以及施工钻井队结合行业作业规范，设置专职安全环保管理人员，把安全、环境管理纳入生产管理的各个环节，防止事故发生。现场作业严格按照《石油天然气钻井作业健康、安全与环境管理导则》（Q/SY08053-2017）的要求执行。</w:t>
            </w:r>
          </w:p>
          <w:p>
            <w:pPr>
              <w:pStyle w:val="46"/>
              <w:ind w:firstLine="480"/>
            </w:pPr>
            <w:r>
              <w:rPr>
                <w:rFonts w:hint="eastAsia"/>
              </w:rPr>
              <w:t>（</w:t>
            </w:r>
            <w:r>
              <w:t>2</w:t>
            </w:r>
            <w:r>
              <w:rPr>
                <w:rFonts w:hint="eastAsia"/>
              </w:rPr>
              <w:t>）井喷环境风险防范措施</w:t>
            </w:r>
          </w:p>
          <w:p>
            <w:pPr>
              <w:pStyle w:val="46"/>
              <w:ind w:firstLine="468"/>
              <w:rPr>
                <w:spacing w:val="-6"/>
              </w:rPr>
            </w:pPr>
            <w:r>
              <w:rPr>
                <w:rFonts w:hint="eastAsia"/>
                <w:spacing w:val="-6"/>
              </w:rPr>
              <w:t>①钻井工程中应确保钻井液密度及其它性能符合设计要求，并按设计要求储备压井液、加重剂、堵漏材料和其它处理剂，对储备加重钻井液定期循环处理，防止沉淀；各岗位必须按分工规定，对井控装置进行维护、保养、检查，保证井控装置及工具灵活好用，始终处于待命状态；落实溢流监测岗位、关井操作岗位和钻井队干部24h值班制度；严格执行钻开油层前的申报、审批制度。</w:t>
            </w:r>
          </w:p>
          <w:p>
            <w:pPr>
              <w:pStyle w:val="46"/>
              <w:ind w:firstLine="476"/>
              <w:rPr>
                <w:spacing w:val="-2"/>
              </w:rPr>
            </w:pPr>
            <w:r>
              <w:rPr>
                <w:rFonts w:hint="eastAsia"/>
                <w:spacing w:val="-2"/>
              </w:rPr>
              <w:t>②钻遇油层后应落实专人坐岗观察井口和钻井液循环池液面变化，发现溢流、井漏及油气显示等异常情况，应立即报告司钻；每次起下钻（活动时间间隔超过5d）对闸板防喷器及手动锁紧装置开关活动一次，定期对井控装置进行试压；起钻杆时每3～5柱向环空灌满泥浆，起钻铤要连续灌浆，作好记录、校核，若灌入泥浆量大于或小于应灌入量，均应停止起钻作业，进行观察。如有溢流，应及时关井。如有井漏，应及时采取相应措施。安排专人观察出口管钻井液返出情况，严禁在空井情况下检修设备；所有车辆应停放在距井口3</w:t>
            </w:r>
            <w:r>
              <w:rPr>
                <w:spacing w:val="-2"/>
              </w:rPr>
              <w:t>0</w:t>
            </w:r>
            <w:r>
              <w:rPr>
                <w:rFonts w:hint="eastAsia"/>
                <w:spacing w:val="-2"/>
              </w:rPr>
              <w:t>m以外，必须进入距井口30m以内的车辆，应安装阻火器，车头朝外停放。</w:t>
            </w:r>
          </w:p>
          <w:p>
            <w:pPr>
              <w:pStyle w:val="46"/>
              <w:spacing w:line="480" w:lineRule="exact"/>
              <w:ind w:firstLine="480"/>
            </w:pPr>
            <w:r>
              <w:rPr>
                <w:rFonts w:hint="eastAsia"/>
              </w:rPr>
              <w:t>③最大允许关井套压不得超过井口装置额定工作压力、套管抗内压强度的80%和薄弱地层破裂压力所允许关井套压三者中的最小值。在允许关井套压内严禁放喷。天然气溢流不允许长时间关井而不作处理。在等候加重材料或在加重过程中，视情况间隔一段时间向井内灌注加重钻井液，同时用节流管汇控制回压，保持井底压力略大于地层压力，排放井口附近含气钻井液。若等候时间长，应及时实施司钻法第一步排除溢流，防止井口压力过高。空井溢流关井后，根据溢流的严重程度，可采用强行下钻分段压井法、置换法、压回法等方法进行处理。</w:t>
            </w:r>
          </w:p>
          <w:p>
            <w:pPr>
              <w:pStyle w:val="46"/>
              <w:spacing w:line="480" w:lineRule="exact"/>
              <w:ind w:firstLine="480"/>
            </w:pPr>
            <w:r>
              <w:rPr>
                <w:rFonts w:hint="eastAsia"/>
              </w:rPr>
              <w:t>④测井、固井、完井等作业时，要严格执行安全操作规程和井控措施，避免发生井下复杂情况和井喷失控事故。测井队到井后应向井队了解井况，确认后效时间，电测时发生溢流应立即停止电测，尽快起出井内电缆，当不具备起出电缆条件，钻井液涌出转盘面时，可以在井口实施剪断电缆。由钻井队队长决定何时切断电缆并进行关井作业，测井队专用剪切工具应放置在钻台上，测井中随时处于待命状态，测井队队长负责实施剪断电缆工作。</w:t>
            </w:r>
          </w:p>
          <w:p>
            <w:pPr>
              <w:pStyle w:val="46"/>
              <w:spacing w:line="480" w:lineRule="exact"/>
              <w:ind w:firstLine="480"/>
            </w:pPr>
            <w:r>
              <w:rPr>
                <w:rFonts w:hint="eastAsia"/>
              </w:rPr>
              <w:t>⑤一旦有井喷迹象出现，应立即启动相应的环境突发事件专项应急预案，立即关闭井口切断污染源，建设应急放喷池（20m×10m），控制污染面积，对放喷液进行集中收集处理，同时及时通知可能受影响的人员进行疏散。切断一切可能扩大污染范围的环节，严防污染区域的扩大。采取围、堵等措施限制固体废弃物和溢油扩散范围；将溢油最大限度地回收，对少量确实无法回收的油，采用铲除油泥层等有效方法，以降低残油对生态环境的污染程度；迅速布点监测，在第一时间确定污染物种类和浓度，出具监测数据，测量水体流速，评估污染物转移、扩散速率；对污染状况进行跟踪调查，根据监测数据分析，预测污染迁移强度、速度和影响范围及时调整对策。</w:t>
            </w:r>
          </w:p>
          <w:p>
            <w:pPr>
              <w:pStyle w:val="46"/>
              <w:spacing w:line="480" w:lineRule="exact"/>
              <w:ind w:firstLine="480"/>
            </w:pPr>
            <w:r>
              <w:rPr>
                <w:rFonts w:hint="eastAsia"/>
              </w:rPr>
              <w:t>（</w:t>
            </w:r>
            <w:r>
              <w:t>3</w:t>
            </w:r>
            <w:r>
              <w:rPr>
                <w:rFonts w:hint="eastAsia"/>
              </w:rPr>
              <w:t>）储罐泄漏环境风险防范措施</w:t>
            </w:r>
          </w:p>
          <w:p>
            <w:pPr>
              <w:pStyle w:val="46"/>
              <w:spacing w:line="480" w:lineRule="exact"/>
              <w:ind w:firstLine="476"/>
              <w:rPr>
                <w:spacing w:val="-2"/>
              </w:rPr>
            </w:pPr>
            <w:r>
              <w:rPr>
                <w:rFonts w:hint="eastAsia"/>
                <w:spacing w:val="-2"/>
              </w:rPr>
              <w:t>①选用质量、防腐措施合格的储罐。安装过程中焊接要经过1</w:t>
            </w:r>
            <w:r>
              <w:rPr>
                <w:spacing w:val="-2"/>
              </w:rPr>
              <w:t>00</w:t>
            </w:r>
            <w:r>
              <w:rPr>
                <w:rFonts w:hint="eastAsia"/>
                <w:spacing w:val="-2"/>
              </w:rPr>
              <w:t>%的探伤，安装时应选择刚性不燃的坚固基础作为罐体基础。储罐在投用前，必须严格按照《压力容器安全技术监察规程》进行强度和气密性试验。</w:t>
            </w:r>
          </w:p>
          <w:p>
            <w:pPr>
              <w:pStyle w:val="46"/>
              <w:spacing w:line="480" w:lineRule="exact"/>
              <w:ind w:firstLine="480"/>
            </w:pPr>
            <w:r>
              <w:rPr>
                <w:rFonts w:hint="eastAsia"/>
              </w:rPr>
              <w:t>②在储罐区严格用火管理，采用有效的避雷装置和接地装置等防止雷电的措施。</w:t>
            </w:r>
          </w:p>
          <w:p>
            <w:pPr>
              <w:pStyle w:val="46"/>
              <w:spacing w:line="480" w:lineRule="exact"/>
              <w:ind w:firstLine="480"/>
            </w:pPr>
            <w:r>
              <w:rPr>
                <w:rFonts w:hint="eastAsia"/>
              </w:rPr>
              <w:t>③加强储罐和管线接口的检查工作，防止腐蚀穿孔。定期进行壁厚检测，腐蚀余量低于规定的允许值时，要及时进行检修和更换。</w:t>
            </w:r>
          </w:p>
          <w:p>
            <w:pPr>
              <w:pStyle w:val="46"/>
              <w:spacing w:line="480" w:lineRule="exact"/>
              <w:ind w:firstLine="480"/>
            </w:pPr>
            <w:r>
              <w:rPr>
                <w:rFonts w:hint="eastAsia"/>
              </w:rPr>
              <w:t>④加强消防安全管理</w:t>
            </w:r>
          </w:p>
          <w:p>
            <w:pPr>
              <w:pStyle w:val="46"/>
              <w:spacing w:line="480" w:lineRule="exact"/>
              <w:ind w:firstLine="480"/>
            </w:pPr>
            <w:r>
              <w:rPr>
                <w:rFonts w:hint="eastAsia"/>
              </w:rPr>
              <w:t>定期进行消防培训与实战演练，要求岗位工作人员具有较强的消防安全意识，加强巡检，确保无异常情况出现。</w:t>
            </w:r>
          </w:p>
          <w:p>
            <w:pPr>
              <w:pStyle w:val="46"/>
              <w:spacing w:line="480" w:lineRule="exact"/>
              <w:ind w:firstLine="480"/>
            </w:pPr>
            <w:r>
              <w:rPr>
                <w:rFonts w:hint="eastAsia"/>
              </w:rPr>
              <w:t>（</w:t>
            </w:r>
            <w:r>
              <w:t>4</w:t>
            </w:r>
            <w:r>
              <w:rPr>
                <w:rFonts w:hint="eastAsia"/>
              </w:rPr>
              <w:t>）硫化氢防范措施</w:t>
            </w:r>
          </w:p>
          <w:p>
            <w:pPr>
              <w:pStyle w:val="46"/>
              <w:spacing w:line="480" w:lineRule="exact"/>
              <w:ind w:firstLine="480"/>
            </w:pPr>
            <w:r>
              <w:rPr>
                <w:rFonts w:hint="eastAsia"/>
              </w:rPr>
              <w:t>①在钻井、试油作业过程中配备便携式硫化氢监测仪，做好硫化氢监测预警工作，并制定防硫化氢应急预案。当监测到硫化氢浓度大于75mg/m</w:t>
            </w:r>
            <w:r>
              <w:rPr>
                <w:rFonts w:hint="eastAsia"/>
                <w:vertAlign w:val="superscript"/>
              </w:rPr>
              <w:t>3</w:t>
            </w:r>
            <w:r>
              <w:rPr>
                <w:rFonts w:hint="eastAsia"/>
              </w:rPr>
              <w:t>（50ppm）时，按照含硫油气井作业规程执行。</w:t>
            </w:r>
          </w:p>
          <w:p>
            <w:pPr>
              <w:pStyle w:val="46"/>
              <w:spacing w:line="480" w:lineRule="exact"/>
              <w:ind w:firstLine="480"/>
            </w:pPr>
            <w:r>
              <w:rPr>
                <w:rFonts w:hint="eastAsia"/>
              </w:rPr>
              <w:t>②钻井期在作业现场显著位置设置5处风向标；试油期设置2处风向标，并在不同方向上划定2个紧急集合点，并规划撤离路线，发生紧急情况时向上风向撤离。</w:t>
            </w:r>
          </w:p>
          <w:p>
            <w:pPr>
              <w:pStyle w:val="46"/>
              <w:ind w:firstLine="480"/>
            </w:pPr>
            <w:bookmarkStart w:id="51" w:name="_Hlk118018643"/>
            <w:r>
              <w:rPr>
                <w:rFonts w:hint="eastAsia"/>
              </w:rPr>
              <w:t>（</w:t>
            </w:r>
            <w:r>
              <w:t>5</w:t>
            </w:r>
            <w:r>
              <w:rPr>
                <w:rFonts w:hint="eastAsia"/>
              </w:rPr>
              <w:t>）拉运风险防范措施</w:t>
            </w:r>
          </w:p>
          <w:p>
            <w:pPr>
              <w:pStyle w:val="46"/>
              <w:ind w:firstLine="480"/>
            </w:pPr>
            <w:bookmarkStart w:id="52" w:name="_Hlk87544013"/>
            <w:r>
              <w:rPr>
                <w:rFonts w:hint="eastAsia"/>
              </w:rPr>
              <w:t>试油废水及采出液运输出车前必须对车辆的安全技术状况进行认真检查，发现故障排除后方可投入运行。要保持驾驶室干净，不得有发火用具，危险品标志灯、标志牌要完好。参照《汽车运输危险货物规则》</w:t>
            </w:r>
            <w:r>
              <w:t>(JT617-2004)配装表中进行。承载易燃易爆的采出液时，车辆排气管应安装隔热和熄灭火星装置，并配装符合JT230规定的导静电橡胶拖地带装置。罐体装采出液时，应预留容积不得少于罐体总容量5%的膨胀余量。</w:t>
            </w:r>
            <w:r>
              <w:rPr>
                <w:rFonts w:hint="eastAsia"/>
              </w:rPr>
              <w:t>行车途中要勤于检查。当行驶一定时间后要查看一下车箱底部四周有无泄漏液体，若有原油泄漏，应查找泄漏点，采取相应的应急措施，防止液体继续泄漏，将受到污染的土壤要全部回收，由具有相应危废处置资质的单位进行接收、转运和处置。要检查随车配备的消防器材的数量及有效性。要随车携带不发火的工具、专业堵漏设备、劳动防护用品，不得穿钉子鞋和化纤服装。运输过程中如发生事故时，驾驶员应立即向安全生产管理部门、环境保护部门、质检部门报告，并应看护好车辆，共同配合采取一切可能的警示、救援措施。</w:t>
            </w:r>
          </w:p>
          <w:bookmarkEnd w:id="51"/>
          <w:bookmarkEnd w:id="52"/>
          <w:p>
            <w:pPr>
              <w:pStyle w:val="46"/>
              <w:spacing w:line="480" w:lineRule="exact"/>
              <w:ind w:firstLine="480"/>
            </w:pPr>
            <w:r>
              <w:rPr>
                <w:rFonts w:hint="eastAsia"/>
              </w:rPr>
              <w:t>（</w:t>
            </w:r>
            <w:r>
              <w:t>6</w:t>
            </w:r>
            <w:r>
              <w:rPr>
                <w:rFonts w:hint="eastAsia"/>
              </w:rPr>
              <w:t>）</w:t>
            </w:r>
            <w:r>
              <w:rPr>
                <w:rFonts w:hint="eastAsia"/>
                <w:bCs/>
              </w:rPr>
              <w:t>环境风险应急预案</w:t>
            </w:r>
          </w:p>
          <w:p>
            <w:pPr>
              <w:pStyle w:val="46"/>
              <w:spacing w:line="480" w:lineRule="exact"/>
              <w:ind w:firstLine="480"/>
            </w:pPr>
            <w:r>
              <w:rPr>
                <w:rFonts w:hint="eastAsia"/>
              </w:rPr>
              <w:t>项目属于中国石油新疆油田分公司勘探事业部管理，应纳入《新疆油田分公司勘探事业部突发环境事件应急预案》。</w:t>
            </w:r>
          </w:p>
          <w:p>
            <w:pPr>
              <w:pStyle w:val="46"/>
              <w:spacing w:line="480" w:lineRule="exact"/>
              <w:ind w:firstLine="480"/>
            </w:pPr>
            <w:r>
              <w:rPr>
                <w:rFonts w:hint="eastAsia"/>
              </w:rPr>
              <w:t>（</w:t>
            </w:r>
            <w:r>
              <w:t>7</w:t>
            </w:r>
            <w:r>
              <w:rPr>
                <w:rFonts w:hint="eastAsia"/>
              </w:rPr>
              <w:t>）结论</w:t>
            </w:r>
          </w:p>
          <w:p>
            <w:pPr>
              <w:pStyle w:val="46"/>
              <w:spacing w:line="480" w:lineRule="exact"/>
              <w:ind w:firstLine="480"/>
            </w:pPr>
            <w:r>
              <w:rPr>
                <w:rFonts w:hint="eastAsia"/>
              </w:rPr>
              <w:t>本项目发生风险事故的概率较小，且制定了较为周全的风险防范和应急措施，当发生风险事故时立即启动事故应急预案，确保事故不扩大，避免对周边环境造成较大危害。在严格落实风险防范和应急措施的前提下，钻试过程中的环境风险可控。</w:t>
            </w:r>
          </w:p>
          <w:p>
            <w:pPr>
              <w:pStyle w:val="46"/>
              <w:spacing w:line="480" w:lineRule="exact"/>
              <w:ind w:firstLine="480"/>
            </w:pPr>
          </w:p>
          <w:p>
            <w:pPr>
              <w:pStyle w:val="46"/>
              <w:spacing w:line="480" w:lineRule="exact"/>
              <w:ind w:firstLine="480"/>
            </w:pPr>
          </w:p>
          <w:p>
            <w:pPr>
              <w:pStyle w:val="46"/>
              <w:spacing w:line="480" w:lineRule="exact"/>
              <w:ind w:firstLine="480"/>
            </w:pPr>
          </w:p>
          <w:p>
            <w:pPr>
              <w:pStyle w:val="46"/>
              <w:spacing w:line="480" w:lineRule="exact"/>
              <w:ind w:firstLine="480"/>
            </w:pPr>
          </w:p>
          <w:p>
            <w:pPr>
              <w:pStyle w:val="46"/>
              <w:spacing w:line="480" w:lineRule="exact"/>
              <w:ind w:firstLine="480"/>
            </w:pPr>
          </w:p>
          <w:p>
            <w:pPr>
              <w:pStyle w:val="46"/>
              <w:spacing w:line="480" w:lineRule="exact"/>
              <w:ind w:firstLine="4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1" w:hRule="atLeast"/>
          <w:jc w:val="center"/>
        </w:trPr>
        <w:tc>
          <w:tcPr>
            <w:tcW w:w="753" w:type="dxa"/>
            <w:tcMar>
              <w:left w:w="28" w:type="dxa"/>
              <w:right w:w="28" w:type="dxa"/>
            </w:tcMar>
            <w:vAlign w:val="center"/>
          </w:tcPr>
          <w:p>
            <w:pPr>
              <w:adjustRightInd w:val="0"/>
              <w:snapToGrid w:val="0"/>
              <w:jc w:val="center"/>
              <w:rPr>
                <w:rFonts w:ascii="宋体" w:hAnsi="宋体" w:cs="宋体"/>
                <w:bCs/>
                <w:spacing w:val="10"/>
                <w:sz w:val="24"/>
              </w:rPr>
            </w:pPr>
            <w:r>
              <w:rPr>
                <w:rFonts w:hint="eastAsia" w:ascii="宋体" w:hAnsi="宋体" w:cs="宋体"/>
                <w:bCs/>
                <w:spacing w:val="10"/>
                <w:sz w:val="24"/>
              </w:rPr>
              <w:t>运营期生态环境保护措施</w:t>
            </w:r>
          </w:p>
        </w:tc>
        <w:tc>
          <w:tcPr>
            <w:tcW w:w="7884" w:type="dxa"/>
            <w:vAlign w:val="center"/>
          </w:tcPr>
          <w:p>
            <w:pPr>
              <w:pStyle w:val="46"/>
              <w:ind w:firstLine="472"/>
            </w:pPr>
            <w:r>
              <w:rPr>
                <w:rFonts w:hint="eastAsia"/>
                <w:spacing w:val="-4"/>
              </w:rPr>
              <w:t>本项目无运营期，无需提出环境保护措施及环境监测计划。根据试采结果决定新钻井是否转为生产井，若可转为生产井，则应当在产能开发建设前开展其环境影响评价工作，编制环境影响评价文件，若不具备转产条件，则应封井。</w:t>
            </w:r>
            <w:bookmarkStart w:id="53" w:name="_Hlk117988937"/>
            <w:r>
              <w:rPr>
                <w:rFonts w:hint="eastAsia"/>
              </w:rPr>
              <w:t>封井应根据《废弃井封井回填技术指南（试行）》《矿山生态环境保护与恢复治理技术规范（试行）（H</w:t>
            </w:r>
            <w:r>
              <w:t>J 651</w:t>
            </w:r>
            <w:r>
              <w:rPr>
                <w:rFonts w:hint="eastAsia"/>
              </w:rPr>
              <w:t>—2</w:t>
            </w:r>
            <w:r>
              <w:t>013</w:t>
            </w:r>
            <w:r>
              <w:rPr>
                <w:rFonts w:hint="eastAsia"/>
              </w:rPr>
              <w:t>）》以及《陆上石油天然气开采业绿色矿山建设规范（D</w:t>
            </w:r>
            <w:r>
              <w:t>Z/T0317</w:t>
            </w:r>
            <w:r>
              <w:rPr>
                <w:rFonts w:hint="eastAsia"/>
              </w:rPr>
              <w:t>—</w:t>
            </w:r>
            <w:r>
              <w:t>2018</w:t>
            </w:r>
            <w:r>
              <w:rPr>
                <w:rFonts w:hint="eastAsia"/>
              </w:rPr>
              <w:t>）》等相关要求，执行以下封井生态恢复措施：</w:t>
            </w:r>
          </w:p>
          <w:p>
            <w:pPr>
              <w:pStyle w:val="53"/>
              <w:adjustRightInd w:val="0"/>
              <w:snapToGrid w:val="0"/>
              <w:spacing w:line="480" w:lineRule="exact"/>
              <w:ind w:firstLine="480"/>
            </w:pPr>
            <w:r>
              <w:rPr>
                <w:rFonts w:hint="eastAsia"/>
              </w:rPr>
              <w:t>（1）</w:t>
            </w:r>
            <w:r>
              <w:t>回填材料应无污染，不得使用可能对地下水造成污染的材料</w:t>
            </w:r>
            <w:r>
              <w:rPr>
                <w:rFonts w:hint="eastAsia"/>
              </w:rPr>
              <w:t>。</w:t>
            </w:r>
          </w:p>
          <w:p>
            <w:pPr>
              <w:pStyle w:val="53"/>
              <w:adjustRightInd w:val="0"/>
              <w:snapToGrid w:val="0"/>
              <w:spacing w:line="480" w:lineRule="exact"/>
              <w:ind w:firstLine="480"/>
            </w:pPr>
            <w:r>
              <w:rPr>
                <w:rFonts w:hint="eastAsia"/>
              </w:rPr>
              <w:t>（2）</w:t>
            </w:r>
            <w:r>
              <w:t>应开展井盖封堵或密闭填充，确保地表污染物不进入井内，各层位地下水不连通</w:t>
            </w:r>
            <w:r>
              <w:rPr>
                <w:rFonts w:hint="eastAsia"/>
              </w:rPr>
              <w:t>。</w:t>
            </w:r>
          </w:p>
          <w:p>
            <w:pPr>
              <w:pStyle w:val="53"/>
              <w:adjustRightInd w:val="0"/>
              <w:snapToGrid w:val="0"/>
              <w:spacing w:line="480" w:lineRule="exact"/>
              <w:ind w:firstLine="480"/>
            </w:pPr>
            <w:r>
              <w:rPr>
                <w:rFonts w:hint="eastAsia"/>
              </w:rPr>
              <w:t>（3）井口</w:t>
            </w:r>
            <w:r>
              <w:t>构筑物和基础设施应全部拆除确保固井质量和封井质量合格</w:t>
            </w:r>
            <w:r>
              <w:rPr>
                <w:rFonts w:hint="eastAsia"/>
              </w:rPr>
              <w:t>。</w:t>
            </w:r>
          </w:p>
          <w:p>
            <w:pPr>
              <w:pStyle w:val="53"/>
              <w:adjustRightInd w:val="0"/>
              <w:snapToGrid w:val="0"/>
              <w:spacing w:line="480" w:lineRule="exact"/>
              <w:ind w:firstLine="480"/>
            </w:pPr>
            <w:r>
              <w:rPr>
                <w:rFonts w:hint="eastAsia"/>
              </w:rPr>
              <w:t>（4）封井作业</w:t>
            </w:r>
            <w:r>
              <w:t>结束后及时清理作业现场，做到“工完、料尽、场地清”，确保采取的封井措施有效可行</w:t>
            </w:r>
            <w:r>
              <w:rPr>
                <w:rFonts w:hint="eastAsia"/>
              </w:rPr>
              <w:t>。</w:t>
            </w:r>
          </w:p>
          <w:p>
            <w:pPr>
              <w:pStyle w:val="53"/>
              <w:adjustRightInd w:val="0"/>
              <w:snapToGrid w:val="0"/>
              <w:spacing w:line="480" w:lineRule="exact"/>
              <w:ind w:firstLine="472"/>
              <w:rPr>
                <w:spacing w:val="-4"/>
              </w:rPr>
            </w:pPr>
            <w:r>
              <w:rPr>
                <w:rFonts w:hint="eastAsia"/>
                <w:spacing w:val="-4"/>
              </w:rPr>
              <w:t>（</w:t>
            </w:r>
            <w:r>
              <w:rPr>
                <w:spacing w:val="-4"/>
              </w:rPr>
              <w:t>5</w:t>
            </w:r>
            <w:r>
              <w:rPr>
                <w:rFonts w:hint="eastAsia"/>
                <w:spacing w:val="-4"/>
              </w:rPr>
              <w:t>）运输车辆和施工机械使用符合国家标准的油品；选用低噪声机械和车辆，设备检查维修，保证其正常运行。</w:t>
            </w:r>
          </w:p>
          <w:p>
            <w:pPr>
              <w:pStyle w:val="53"/>
              <w:adjustRightInd w:val="0"/>
              <w:snapToGrid w:val="0"/>
              <w:spacing w:line="480" w:lineRule="exact"/>
              <w:ind w:firstLine="472"/>
              <w:rPr>
                <w:spacing w:val="-4"/>
              </w:rPr>
            </w:pPr>
            <w:r>
              <w:rPr>
                <w:rFonts w:hint="eastAsia"/>
                <w:spacing w:val="-4"/>
              </w:rPr>
              <w:t>（</w:t>
            </w:r>
            <w:r>
              <w:rPr>
                <w:spacing w:val="-4"/>
              </w:rPr>
              <w:t>6</w:t>
            </w:r>
            <w:r>
              <w:rPr>
                <w:rFonts w:hint="eastAsia"/>
                <w:spacing w:val="-4"/>
              </w:rPr>
              <w:t>）地面设备设施拆除过程中产生部分管线和废弃建筑残渣等固体废物，建筑垃圾送至当地建筑垃圾填埋场进行填埋处理。管线外运经清洗后可回收再利用。</w:t>
            </w:r>
            <w:bookmarkEnd w:id="5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adjustRightInd w:val="0"/>
              <w:snapToGrid w:val="0"/>
              <w:jc w:val="center"/>
              <w:rPr>
                <w:rFonts w:ascii="宋体" w:hAnsi="宋体" w:cs="宋体"/>
                <w:bCs/>
                <w:spacing w:val="10"/>
                <w:sz w:val="24"/>
              </w:rPr>
            </w:pPr>
            <w:r>
              <w:rPr>
                <w:rFonts w:hint="eastAsia" w:ascii="宋体" w:hAnsi="宋体"/>
                <w:bCs/>
                <w:sz w:val="24"/>
              </w:rPr>
              <w:t>其他</w:t>
            </w:r>
          </w:p>
        </w:tc>
        <w:tc>
          <w:tcPr>
            <w:tcW w:w="7884" w:type="dxa"/>
            <w:vAlign w:val="center"/>
          </w:tcPr>
          <w:p>
            <w:pPr>
              <w:pStyle w:val="46"/>
              <w:ind w:firstLine="480"/>
            </w:pPr>
            <w:r>
              <w:rPr>
                <w:rFonts w:hint="eastAsia"/>
              </w:rPr>
              <w:t>本项目实施过程中，将根据中国石油新疆油田分公司在环境管理上建立的健康、安全与环境管理体系（HSE管理体系），落实各项环保和安全措施，减少项目开发对周围环境的影响。本报告提出的环境管理主要内容见表1</w:t>
            </w:r>
            <w:r>
              <w:t>7</w:t>
            </w:r>
            <w:r>
              <w:rPr>
                <w:rFonts w:hint="eastAsia"/>
              </w:rPr>
              <w:t>。</w:t>
            </w:r>
            <w:bookmarkStart w:id="54" w:name="_Ref70449414"/>
            <w:bookmarkEnd w:id="54"/>
          </w:p>
          <w:p>
            <w:pPr>
              <w:pStyle w:val="6"/>
              <w:keepNext/>
            </w:pPr>
            <w:bookmarkStart w:id="55" w:name="_Ref107504285"/>
            <w:r>
              <w:rPr>
                <w:rFonts w:hint="eastAsia"/>
              </w:rPr>
              <w:t>表</w:t>
            </w:r>
            <w:bookmarkEnd w:id="55"/>
            <w:r>
              <w:t xml:space="preserve">17  </w:t>
            </w:r>
            <w:r>
              <w:rPr>
                <w:rFonts w:cs="黑体"/>
              </w:rPr>
              <w:t xml:space="preserve"> </w:t>
            </w:r>
            <w:r>
              <w:rPr>
                <w:rFonts w:hint="eastAsia" w:cs="黑体"/>
              </w:rPr>
              <w:t xml:space="preserve"> 施工期环境保护行动计划</w:t>
            </w:r>
          </w:p>
          <w:tbl>
            <w:tblPr>
              <w:tblStyle w:val="17"/>
              <w:tblW w:w="495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957"/>
              <w:gridCol w:w="61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28" w:type="pct"/>
                  <w:tcMar>
                    <w:left w:w="0" w:type="dxa"/>
                    <w:right w:w="0" w:type="dxa"/>
                  </w:tcMar>
                  <w:vAlign w:val="center"/>
                </w:tcPr>
                <w:p>
                  <w:pPr>
                    <w:pStyle w:val="49"/>
                    <w:spacing w:line="280" w:lineRule="exact"/>
                    <w:rPr>
                      <w:rFonts w:cs="宋体"/>
                    </w:rPr>
                  </w:pPr>
                  <w:r>
                    <w:rPr>
                      <w:rFonts w:hint="eastAsia" w:cs="宋体"/>
                    </w:rPr>
                    <w:t>序号</w:t>
                  </w:r>
                </w:p>
              </w:tc>
              <w:tc>
                <w:tcPr>
                  <w:tcW w:w="630" w:type="pct"/>
                  <w:tcMar>
                    <w:left w:w="0" w:type="dxa"/>
                    <w:right w:w="0" w:type="dxa"/>
                  </w:tcMar>
                  <w:vAlign w:val="center"/>
                </w:tcPr>
                <w:p>
                  <w:pPr>
                    <w:pStyle w:val="49"/>
                    <w:spacing w:line="280" w:lineRule="exact"/>
                    <w:rPr>
                      <w:rFonts w:cs="宋体"/>
                    </w:rPr>
                  </w:pPr>
                  <w:r>
                    <w:rPr>
                      <w:rFonts w:hint="eastAsia" w:cs="宋体"/>
                    </w:rPr>
                    <w:t>影响因素</w:t>
                  </w:r>
                </w:p>
              </w:tc>
              <w:tc>
                <w:tcPr>
                  <w:tcW w:w="4042" w:type="pct"/>
                  <w:tcMar>
                    <w:left w:w="0" w:type="dxa"/>
                    <w:right w:w="0" w:type="dxa"/>
                  </w:tcMar>
                  <w:vAlign w:val="center"/>
                </w:tcPr>
                <w:p>
                  <w:pPr>
                    <w:pStyle w:val="49"/>
                    <w:spacing w:line="280" w:lineRule="exact"/>
                    <w:rPr>
                      <w:rFonts w:cs="宋体"/>
                    </w:rPr>
                  </w:pPr>
                  <w:r>
                    <w:rPr>
                      <w:rFonts w:hint="eastAsia" w:cs="宋体"/>
                    </w:rPr>
                    <w:t>环保措施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28" w:type="pct"/>
                  <w:tcMar>
                    <w:left w:w="0" w:type="dxa"/>
                    <w:right w:w="0" w:type="dxa"/>
                  </w:tcMar>
                  <w:vAlign w:val="center"/>
                </w:tcPr>
                <w:p>
                  <w:pPr>
                    <w:pStyle w:val="49"/>
                    <w:spacing w:line="280" w:lineRule="exact"/>
                    <w:rPr>
                      <w:rFonts w:cs="宋体"/>
                    </w:rPr>
                  </w:pPr>
                  <w:r>
                    <w:rPr>
                      <w:rFonts w:hint="eastAsia" w:cs="宋体"/>
                    </w:rPr>
                    <w:t>1</w:t>
                  </w:r>
                </w:p>
              </w:tc>
              <w:tc>
                <w:tcPr>
                  <w:tcW w:w="630" w:type="pct"/>
                  <w:tcMar>
                    <w:left w:w="0" w:type="dxa"/>
                    <w:right w:w="0" w:type="dxa"/>
                  </w:tcMar>
                  <w:vAlign w:val="center"/>
                </w:tcPr>
                <w:p>
                  <w:pPr>
                    <w:pStyle w:val="49"/>
                    <w:spacing w:line="280" w:lineRule="exact"/>
                    <w:rPr>
                      <w:rFonts w:cs="宋体"/>
                    </w:rPr>
                  </w:pPr>
                  <w:r>
                    <w:rPr>
                      <w:rFonts w:hint="eastAsia" w:cs="宋体"/>
                    </w:rPr>
                    <w:t>大气环境</w:t>
                  </w:r>
                </w:p>
              </w:tc>
              <w:tc>
                <w:tcPr>
                  <w:tcW w:w="4042" w:type="pct"/>
                  <w:tcMar>
                    <w:left w:w="0" w:type="dxa"/>
                    <w:right w:w="0" w:type="dxa"/>
                  </w:tcMar>
                  <w:vAlign w:val="center"/>
                </w:tcPr>
                <w:p>
                  <w:pPr>
                    <w:pStyle w:val="49"/>
                    <w:spacing w:line="280" w:lineRule="exact"/>
                    <w:jc w:val="both"/>
                    <w:rPr>
                      <w:rFonts w:cs="宋体"/>
                    </w:rPr>
                  </w:pPr>
                  <w:r>
                    <w:rPr>
                      <w:rFonts w:hint="eastAsia" w:cs="宋体"/>
                    </w:rPr>
                    <w:t>施工单位在钻井时应使用符合国家标准的柴油，并定期对设备进行保养维护，柴油机燃烧充分，合理匹配载荷。逸散性材料在井场堆放时，采用苫布遮盖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28" w:type="pct"/>
                  <w:tcMar>
                    <w:left w:w="0" w:type="dxa"/>
                    <w:right w:w="0" w:type="dxa"/>
                  </w:tcMar>
                  <w:vAlign w:val="center"/>
                </w:tcPr>
                <w:p>
                  <w:pPr>
                    <w:pStyle w:val="49"/>
                    <w:spacing w:line="280" w:lineRule="exact"/>
                    <w:rPr>
                      <w:rFonts w:cs="宋体"/>
                    </w:rPr>
                  </w:pPr>
                  <w:r>
                    <w:rPr>
                      <w:rFonts w:hint="eastAsia" w:cs="宋体"/>
                    </w:rPr>
                    <w:t>2</w:t>
                  </w:r>
                </w:p>
              </w:tc>
              <w:tc>
                <w:tcPr>
                  <w:tcW w:w="630" w:type="pct"/>
                  <w:tcMar>
                    <w:left w:w="0" w:type="dxa"/>
                    <w:right w:w="0" w:type="dxa"/>
                  </w:tcMar>
                  <w:vAlign w:val="center"/>
                </w:tcPr>
                <w:p>
                  <w:pPr>
                    <w:pStyle w:val="49"/>
                    <w:spacing w:line="280" w:lineRule="exact"/>
                    <w:rPr>
                      <w:rFonts w:cs="宋体"/>
                    </w:rPr>
                  </w:pPr>
                  <w:r>
                    <w:rPr>
                      <w:rFonts w:hint="eastAsia" w:cs="宋体"/>
                    </w:rPr>
                    <w:t>声环境</w:t>
                  </w:r>
                </w:p>
              </w:tc>
              <w:tc>
                <w:tcPr>
                  <w:tcW w:w="4042" w:type="pct"/>
                  <w:tcMar>
                    <w:left w:w="0" w:type="dxa"/>
                    <w:right w:w="0" w:type="dxa"/>
                  </w:tcMar>
                  <w:vAlign w:val="center"/>
                </w:tcPr>
                <w:p>
                  <w:pPr>
                    <w:pStyle w:val="49"/>
                    <w:spacing w:line="280" w:lineRule="exact"/>
                    <w:jc w:val="both"/>
                    <w:rPr>
                      <w:rFonts w:cs="宋体"/>
                    </w:rPr>
                  </w:pPr>
                  <w:r>
                    <w:rPr>
                      <w:rFonts w:hint="eastAsia" w:cs="宋体"/>
                    </w:rPr>
                    <w:t>施工单位应使用低噪声的施工设备、机械，并定期进行检修和维护，使其处于运行良好的状态</w:t>
                  </w:r>
                </w:p>
              </w:tc>
            </w:tr>
          </w:tbl>
          <w:p>
            <w:pPr>
              <w:pStyle w:val="6"/>
              <w:keepNext/>
              <w:contextualSpacing/>
            </w:pPr>
            <w:r>
              <w:rPr>
                <w:rFonts w:hint="eastAsia"/>
              </w:rPr>
              <w:t>续表1</w:t>
            </w:r>
            <w:r>
              <w:t xml:space="preserve">7  </w:t>
            </w:r>
            <w:r>
              <w:rPr>
                <w:rFonts w:cs="黑体"/>
              </w:rPr>
              <w:t xml:space="preserve"> </w:t>
            </w:r>
            <w:r>
              <w:rPr>
                <w:rFonts w:hint="eastAsia" w:cs="黑体"/>
              </w:rPr>
              <w:t xml:space="preserve"> 施工期环境保护行动计划</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9"/>
              <w:gridCol w:w="948"/>
              <w:gridCol w:w="11"/>
              <w:gridCol w:w="17"/>
              <w:gridCol w:w="6116"/>
              <w:gridCol w:w="6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gridAfter w:val="1"/>
                <w:wAfter w:w="45" w:type="pct"/>
                <w:trHeight w:val="340" w:hRule="atLeast"/>
                <w:jc w:val="center"/>
              </w:trPr>
              <w:tc>
                <w:tcPr>
                  <w:tcW w:w="325" w:type="pct"/>
                  <w:tcMar>
                    <w:left w:w="0" w:type="dxa"/>
                    <w:right w:w="0" w:type="dxa"/>
                  </w:tcMar>
                  <w:vAlign w:val="center"/>
                </w:tcPr>
                <w:p>
                  <w:pPr>
                    <w:pStyle w:val="49"/>
                    <w:spacing w:line="280" w:lineRule="exact"/>
                    <w:rPr>
                      <w:rFonts w:cs="宋体"/>
                    </w:rPr>
                  </w:pPr>
                  <w:r>
                    <w:rPr>
                      <w:rFonts w:hint="eastAsia" w:cs="宋体"/>
                    </w:rPr>
                    <w:t>序号</w:t>
                  </w:r>
                </w:p>
              </w:tc>
              <w:tc>
                <w:tcPr>
                  <w:tcW w:w="624" w:type="pct"/>
                  <w:gridSpan w:val="2"/>
                  <w:tcMar>
                    <w:left w:w="0" w:type="dxa"/>
                    <w:right w:w="0" w:type="dxa"/>
                  </w:tcMar>
                  <w:vAlign w:val="center"/>
                </w:tcPr>
                <w:p>
                  <w:pPr>
                    <w:pStyle w:val="49"/>
                    <w:spacing w:line="280" w:lineRule="exact"/>
                    <w:rPr>
                      <w:rFonts w:cs="宋体"/>
                    </w:rPr>
                  </w:pPr>
                  <w:r>
                    <w:rPr>
                      <w:rFonts w:hint="eastAsia" w:cs="宋体"/>
                    </w:rPr>
                    <w:t>影响因素</w:t>
                  </w:r>
                </w:p>
              </w:tc>
              <w:tc>
                <w:tcPr>
                  <w:tcW w:w="4006" w:type="pct"/>
                  <w:gridSpan w:val="3"/>
                  <w:tcMar>
                    <w:left w:w="0" w:type="dxa"/>
                    <w:right w:w="0" w:type="dxa"/>
                  </w:tcMar>
                  <w:vAlign w:val="center"/>
                </w:tcPr>
                <w:p>
                  <w:pPr>
                    <w:pStyle w:val="49"/>
                    <w:spacing w:line="280" w:lineRule="exact"/>
                    <w:rPr>
                      <w:rFonts w:cs="宋体"/>
                    </w:rPr>
                  </w:pPr>
                  <w:r>
                    <w:rPr>
                      <w:rFonts w:hint="eastAsia" w:cs="宋体"/>
                    </w:rPr>
                    <w:t>环保措施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331" w:type="pct"/>
                  <w:gridSpan w:val="2"/>
                  <w:tcMar>
                    <w:left w:w="0" w:type="dxa"/>
                    <w:right w:w="0" w:type="dxa"/>
                  </w:tcMar>
                  <w:vAlign w:val="center"/>
                </w:tcPr>
                <w:p>
                  <w:pPr>
                    <w:pStyle w:val="49"/>
                    <w:spacing w:line="280" w:lineRule="exact"/>
                    <w:rPr>
                      <w:rFonts w:cs="宋体"/>
                    </w:rPr>
                  </w:pPr>
                  <w:r>
                    <w:rPr>
                      <w:rFonts w:hint="eastAsia" w:cs="宋体"/>
                    </w:rPr>
                    <w:t>3</w:t>
                  </w:r>
                </w:p>
              </w:tc>
              <w:tc>
                <w:tcPr>
                  <w:tcW w:w="636" w:type="pct"/>
                  <w:gridSpan w:val="3"/>
                  <w:tcMar>
                    <w:left w:w="0" w:type="dxa"/>
                    <w:right w:w="0" w:type="dxa"/>
                  </w:tcMar>
                  <w:vAlign w:val="center"/>
                </w:tcPr>
                <w:p>
                  <w:pPr>
                    <w:pStyle w:val="49"/>
                    <w:spacing w:line="280" w:lineRule="exact"/>
                    <w:rPr>
                      <w:rFonts w:cs="宋体"/>
                    </w:rPr>
                  </w:pPr>
                  <w:r>
                    <w:rPr>
                      <w:rFonts w:hint="eastAsia" w:cs="宋体"/>
                    </w:rPr>
                    <w:t>水环境</w:t>
                  </w:r>
                </w:p>
              </w:tc>
              <w:tc>
                <w:tcPr>
                  <w:tcW w:w="4033" w:type="pct"/>
                  <w:gridSpan w:val="2"/>
                  <w:tcMar>
                    <w:left w:w="0" w:type="dxa"/>
                    <w:right w:w="0" w:type="dxa"/>
                  </w:tcMar>
                  <w:vAlign w:val="center"/>
                </w:tcPr>
                <w:p>
                  <w:pPr>
                    <w:pStyle w:val="49"/>
                    <w:spacing w:line="280" w:lineRule="exact"/>
                    <w:jc w:val="both"/>
                    <w:rPr>
                      <w:rFonts w:cs="宋体"/>
                      <w:spacing w:val="-8"/>
                    </w:rPr>
                  </w:pPr>
                  <w:r>
                    <w:rPr>
                      <w:rFonts w:hint="eastAsia" w:cs="宋体"/>
                    </w:rPr>
                    <w:t>洗井废水和压裂返排液收集至地面方罐中，集中收集后由罐车拉运至车89集中处理站；生活污水排至</w:t>
                  </w:r>
                  <w:r>
                    <w:rPr>
                      <w:rFonts w:hint="eastAsia"/>
                    </w:rPr>
                    <w:t>临时生活污水储集防渗池</w:t>
                  </w:r>
                  <w:r>
                    <w:rPr>
                      <w:rFonts w:hint="eastAsia" w:cs="宋体"/>
                    </w:rPr>
                    <w:t>，由吸污车清运至克拉玛依市第二污水处理厂处理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331" w:type="pct"/>
                  <w:gridSpan w:val="2"/>
                  <w:tcMar>
                    <w:left w:w="0" w:type="dxa"/>
                    <w:right w:w="0" w:type="dxa"/>
                  </w:tcMar>
                  <w:vAlign w:val="center"/>
                </w:tcPr>
                <w:p>
                  <w:pPr>
                    <w:pStyle w:val="49"/>
                    <w:spacing w:line="280" w:lineRule="exact"/>
                    <w:rPr>
                      <w:rFonts w:cs="宋体"/>
                    </w:rPr>
                  </w:pPr>
                  <w:r>
                    <w:rPr>
                      <w:rFonts w:hint="eastAsia" w:cs="宋体"/>
                    </w:rPr>
                    <w:t>4</w:t>
                  </w:r>
                </w:p>
              </w:tc>
              <w:tc>
                <w:tcPr>
                  <w:tcW w:w="636" w:type="pct"/>
                  <w:gridSpan w:val="3"/>
                  <w:tcMar>
                    <w:left w:w="0" w:type="dxa"/>
                    <w:right w:w="0" w:type="dxa"/>
                  </w:tcMar>
                  <w:vAlign w:val="center"/>
                </w:tcPr>
                <w:p>
                  <w:pPr>
                    <w:pStyle w:val="49"/>
                    <w:spacing w:line="280" w:lineRule="exact"/>
                    <w:rPr>
                      <w:rFonts w:cs="宋体"/>
                    </w:rPr>
                  </w:pPr>
                  <w:r>
                    <w:rPr>
                      <w:rFonts w:hint="eastAsia" w:cs="宋体"/>
                    </w:rPr>
                    <w:t>固体废物</w:t>
                  </w:r>
                </w:p>
              </w:tc>
              <w:tc>
                <w:tcPr>
                  <w:tcW w:w="4033" w:type="pct"/>
                  <w:gridSpan w:val="2"/>
                  <w:tcMar>
                    <w:left w:w="0" w:type="dxa"/>
                    <w:right w:w="0" w:type="dxa"/>
                  </w:tcMar>
                  <w:vAlign w:val="center"/>
                </w:tcPr>
                <w:p>
                  <w:pPr>
                    <w:pStyle w:val="49"/>
                    <w:spacing w:line="280" w:lineRule="exact"/>
                    <w:jc w:val="both"/>
                    <w:rPr>
                      <w:rFonts w:cs="宋体"/>
                      <w:spacing w:val="-8"/>
                    </w:rPr>
                  </w:pPr>
                  <w:r>
                    <w:rPr>
                      <w:rFonts w:hint="eastAsia" w:cs="宋体"/>
                    </w:rPr>
                    <w:t>生活垃圾集中收集后清运至克拉玛依市生活垃圾填埋场。钻井期产生的水基钻井岩屑、油基钻井岩屑分别暂存于专用储罐，水基钻井岩屑委托岩屑处置单位处置；油基钻井岩屑和沾油废防渗膜委托具有相应危废处理资质的单位负责接收、转运、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331" w:type="pct"/>
                  <w:gridSpan w:val="2"/>
                  <w:tcMar>
                    <w:left w:w="0" w:type="dxa"/>
                    <w:right w:w="0" w:type="dxa"/>
                  </w:tcMar>
                  <w:vAlign w:val="center"/>
                </w:tcPr>
                <w:p>
                  <w:pPr>
                    <w:pStyle w:val="49"/>
                    <w:spacing w:line="280" w:lineRule="exact"/>
                    <w:rPr>
                      <w:rFonts w:cs="宋体"/>
                    </w:rPr>
                  </w:pPr>
                  <w:r>
                    <w:rPr>
                      <w:rFonts w:hint="eastAsia" w:cs="宋体"/>
                    </w:rPr>
                    <w:t>5</w:t>
                  </w:r>
                </w:p>
              </w:tc>
              <w:tc>
                <w:tcPr>
                  <w:tcW w:w="636" w:type="pct"/>
                  <w:gridSpan w:val="3"/>
                  <w:tcMar>
                    <w:left w:w="0" w:type="dxa"/>
                    <w:right w:w="0" w:type="dxa"/>
                  </w:tcMar>
                  <w:vAlign w:val="center"/>
                </w:tcPr>
                <w:p>
                  <w:pPr>
                    <w:pStyle w:val="49"/>
                    <w:spacing w:line="280" w:lineRule="exact"/>
                    <w:rPr>
                      <w:rFonts w:cs="宋体"/>
                    </w:rPr>
                  </w:pPr>
                  <w:r>
                    <w:rPr>
                      <w:rFonts w:hint="eastAsia" w:cs="宋体"/>
                    </w:rPr>
                    <w:t>生态环境</w:t>
                  </w:r>
                </w:p>
              </w:tc>
              <w:tc>
                <w:tcPr>
                  <w:tcW w:w="4033" w:type="pct"/>
                  <w:gridSpan w:val="2"/>
                  <w:tcMar>
                    <w:left w:w="0" w:type="dxa"/>
                    <w:right w:w="0" w:type="dxa"/>
                  </w:tcMar>
                  <w:vAlign w:val="center"/>
                </w:tcPr>
                <w:p>
                  <w:pPr>
                    <w:pStyle w:val="49"/>
                    <w:spacing w:line="280" w:lineRule="exact"/>
                    <w:jc w:val="both"/>
                    <w:rPr>
                      <w:rFonts w:cs="宋体"/>
                      <w:spacing w:val="-8"/>
                    </w:rPr>
                  </w:pPr>
                  <w:r>
                    <w:rPr>
                      <w:rFonts w:hint="eastAsia" w:cs="宋体"/>
                      <w:spacing w:val="-8"/>
                    </w:rPr>
                    <w:t>用地面积按实际征地面积划定，严格控制临时占地面积，不得超过规定面积。施工车辆严格按规定路线行驶，严禁随意开道，碾压植被、扰动土壤避免造成水土流失；严禁破坏植被、捕杀野生动物。施工结束后应对施工场地进行平整，以便自然恢复。选址选线过程中应尽量避开野生植物特别是新疆维吾尔自治区一级保护植物—梭梭生长密集的地带，最大限度减少对荒漠植物以及野生动物的活动场所和生存环境的破坏。对于无法避让的情况，应及时缴纳生态补偿费。严格按照有关规定办理用地审批手续，并对因项目实施造成的生态损失予以经济补偿，足额缴纳生态经济补偿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325" w:type="pct"/>
                  <w:tcMar>
                    <w:left w:w="0" w:type="dxa"/>
                    <w:right w:w="0" w:type="dxa"/>
                  </w:tcMar>
                  <w:vAlign w:val="center"/>
                </w:tcPr>
                <w:p>
                  <w:pPr>
                    <w:pStyle w:val="49"/>
                    <w:spacing w:line="280" w:lineRule="exact"/>
                    <w:rPr>
                      <w:rFonts w:cs="宋体"/>
                    </w:rPr>
                  </w:pPr>
                  <w:r>
                    <w:rPr>
                      <w:rFonts w:hint="eastAsia" w:cs="宋体"/>
                    </w:rPr>
                    <w:t>6</w:t>
                  </w:r>
                </w:p>
              </w:tc>
              <w:tc>
                <w:tcPr>
                  <w:tcW w:w="631" w:type="pct"/>
                  <w:gridSpan w:val="3"/>
                  <w:tcMar>
                    <w:left w:w="0" w:type="dxa"/>
                    <w:right w:w="0" w:type="dxa"/>
                  </w:tcMar>
                  <w:vAlign w:val="center"/>
                </w:tcPr>
                <w:p>
                  <w:pPr>
                    <w:pStyle w:val="49"/>
                    <w:spacing w:line="280" w:lineRule="exact"/>
                    <w:rPr>
                      <w:rFonts w:cs="宋体"/>
                    </w:rPr>
                  </w:pPr>
                  <w:r>
                    <w:rPr>
                      <w:rFonts w:hint="eastAsia" w:cs="宋体"/>
                    </w:rPr>
                    <w:t>环境管理</w:t>
                  </w:r>
                </w:p>
              </w:tc>
              <w:tc>
                <w:tcPr>
                  <w:tcW w:w="4044" w:type="pct"/>
                  <w:gridSpan w:val="3"/>
                  <w:tcMar>
                    <w:left w:w="0" w:type="dxa"/>
                    <w:right w:w="0" w:type="dxa"/>
                  </w:tcMar>
                  <w:vAlign w:val="center"/>
                </w:tcPr>
                <w:p>
                  <w:pPr>
                    <w:pStyle w:val="49"/>
                    <w:spacing w:line="280" w:lineRule="exact"/>
                    <w:jc w:val="both"/>
                    <w:rPr>
                      <w:rFonts w:cs="宋体"/>
                    </w:rPr>
                  </w:pPr>
                  <w:r>
                    <w:rPr>
                      <w:rFonts w:hint="eastAsia" w:cs="宋体"/>
                    </w:rPr>
                    <w:t>施工单位应建立环境保护档案，保存施工前后项目区的影像资料，使施工全过程各类污染物产生、去向和各个污染措施及实施情况均记录在案。建设单位要求施工单位在钻井工程开工前进行环保自查，建设单位对施工单位钻井期间进行环保日常检查并做好记录；完工交井前，建设单位主管部门现场验收，合格后方可记录为完工，做到工完料净场地清，并做好记录</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adjustRightInd w:val="0"/>
              <w:snapToGrid w:val="0"/>
              <w:jc w:val="center"/>
              <w:rPr>
                <w:rFonts w:ascii="宋体" w:hAnsi="宋体" w:cs="宋体"/>
                <w:bCs/>
                <w:spacing w:val="10"/>
                <w:sz w:val="24"/>
              </w:rPr>
            </w:pPr>
            <w:r>
              <w:rPr>
                <w:rFonts w:hint="eastAsia" w:ascii="宋体" w:hAnsi="宋体"/>
                <w:bCs/>
                <w:sz w:val="24"/>
              </w:rPr>
              <w:t>环保投资</w:t>
            </w:r>
          </w:p>
        </w:tc>
        <w:tc>
          <w:tcPr>
            <w:tcW w:w="7884" w:type="dxa"/>
            <w:vAlign w:val="center"/>
          </w:tcPr>
          <w:p>
            <w:pPr>
              <w:pStyle w:val="46"/>
              <w:ind w:firstLine="480"/>
            </w:pPr>
            <w:r>
              <w:rPr>
                <w:rFonts w:hint="eastAsia"/>
              </w:rPr>
              <w:t>项目总投资约为</w:t>
            </w:r>
            <w:r>
              <w:t>1500</w:t>
            </w:r>
            <w:r>
              <w:rPr>
                <w:rFonts w:hint="eastAsia"/>
              </w:rPr>
              <w:t>万元，环保投资共为</w:t>
            </w:r>
            <w:r>
              <w:t>130.4万元</w:t>
            </w:r>
            <w:r>
              <w:rPr>
                <w:rFonts w:hint="eastAsia"/>
              </w:rPr>
              <w:t>，占总投资的</w:t>
            </w:r>
            <w:r>
              <w:t>8.69</w:t>
            </w:r>
            <w:r>
              <w:rPr>
                <w:rFonts w:hint="eastAsia"/>
              </w:rPr>
              <w:t>%，详见表1</w:t>
            </w:r>
            <w:r>
              <w:t>8</w:t>
            </w:r>
            <w:r>
              <w:rPr>
                <w:rFonts w:hint="eastAsia"/>
              </w:rPr>
              <w:t>。</w:t>
            </w:r>
          </w:p>
          <w:p>
            <w:pPr>
              <w:pStyle w:val="6"/>
              <w:keepNext/>
            </w:pPr>
            <w:bookmarkStart w:id="56" w:name="_Ref107503148"/>
            <w:r>
              <w:rPr>
                <w:rFonts w:hint="eastAsia"/>
              </w:rPr>
              <w:t>表</w:t>
            </w:r>
            <w:bookmarkEnd w:id="56"/>
            <w:r>
              <w:t xml:space="preserve">18    </w:t>
            </w:r>
            <w:r>
              <w:rPr>
                <w:szCs w:val="21"/>
              </w:rPr>
              <w:t>环保治理设施环保投资表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120"/>
              <w:gridCol w:w="5145"/>
              <w:gridCol w:w="8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0" w:type="pct"/>
                  <w:tcMar>
                    <w:left w:w="0" w:type="dxa"/>
                    <w:right w:w="0" w:type="dxa"/>
                  </w:tcMar>
                  <w:vAlign w:val="center"/>
                </w:tcPr>
                <w:p>
                  <w:pPr>
                    <w:pStyle w:val="44"/>
                    <w:spacing w:line="260" w:lineRule="exact"/>
                  </w:pPr>
                  <w:r>
                    <w:rPr>
                      <w:rFonts w:hint="eastAsia"/>
                    </w:rPr>
                    <w:t>序号</w:t>
                  </w:r>
                </w:p>
              </w:tc>
              <w:tc>
                <w:tcPr>
                  <w:tcW w:w="730" w:type="pct"/>
                  <w:tcMar>
                    <w:left w:w="0" w:type="dxa"/>
                    <w:right w:w="0" w:type="dxa"/>
                  </w:tcMar>
                  <w:vAlign w:val="center"/>
                </w:tcPr>
                <w:p>
                  <w:pPr>
                    <w:pStyle w:val="44"/>
                    <w:spacing w:line="260" w:lineRule="exact"/>
                  </w:pPr>
                  <w:r>
                    <w:rPr>
                      <w:rFonts w:hint="eastAsia"/>
                    </w:rPr>
                    <w:t>工程名称</w:t>
                  </w:r>
                </w:p>
              </w:tc>
              <w:tc>
                <w:tcPr>
                  <w:tcW w:w="3355" w:type="pct"/>
                  <w:tcMar>
                    <w:left w:w="0" w:type="dxa"/>
                    <w:right w:w="0" w:type="dxa"/>
                  </w:tcMar>
                  <w:vAlign w:val="center"/>
                </w:tcPr>
                <w:p>
                  <w:pPr>
                    <w:pStyle w:val="44"/>
                    <w:spacing w:line="260" w:lineRule="exact"/>
                  </w:pPr>
                  <w:r>
                    <w:rPr>
                      <w:rFonts w:hint="eastAsia"/>
                    </w:rPr>
                    <w:t>预计效果</w:t>
                  </w:r>
                </w:p>
              </w:tc>
              <w:tc>
                <w:tcPr>
                  <w:tcW w:w="585" w:type="pct"/>
                  <w:tcMar>
                    <w:left w:w="0" w:type="dxa"/>
                    <w:right w:w="0" w:type="dxa"/>
                  </w:tcMar>
                  <w:vAlign w:val="center"/>
                </w:tcPr>
                <w:p>
                  <w:pPr>
                    <w:pStyle w:val="44"/>
                    <w:spacing w:line="260" w:lineRule="exact"/>
                  </w:pPr>
                  <w:r>
                    <w:rPr>
                      <w:rFonts w:hint="eastAsia"/>
                    </w:rPr>
                    <w:t>投资</w:t>
                  </w:r>
                </w:p>
                <w:p>
                  <w:pPr>
                    <w:pStyle w:val="44"/>
                    <w:spacing w:line="260" w:lineRule="exact"/>
                  </w:pPr>
                  <w:r>
                    <w:rPr>
                      <w:rFonts w:hint="eastAsia"/>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0" w:type="pct"/>
                  <w:vMerge w:val="restart"/>
                  <w:tcMar>
                    <w:left w:w="0" w:type="dxa"/>
                    <w:right w:w="0" w:type="dxa"/>
                  </w:tcMar>
                  <w:vAlign w:val="center"/>
                </w:tcPr>
                <w:p>
                  <w:pPr>
                    <w:pStyle w:val="44"/>
                    <w:spacing w:line="260" w:lineRule="exact"/>
                  </w:pPr>
                  <w:r>
                    <w:rPr>
                      <w:rFonts w:hint="eastAsia"/>
                    </w:rPr>
                    <w:t>1</w:t>
                  </w:r>
                </w:p>
              </w:tc>
              <w:tc>
                <w:tcPr>
                  <w:tcW w:w="730" w:type="pct"/>
                  <w:vMerge w:val="restart"/>
                  <w:tcMar>
                    <w:left w:w="0" w:type="dxa"/>
                    <w:right w:w="0" w:type="dxa"/>
                  </w:tcMar>
                  <w:vAlign w:val="center"/>
                </w:tcPr>
                <w:p>
                  <w:pPr>
                    <w:pStyle w:val="44"/>
                    <w:spacing w:line="260" w:lineRule="exact"/>
                  </w:pPr>
                  <w:r>
                    <w:rPr>
                      <w:rFonts w:hint="eastAsia"/>
                    </w:rPr>
                    <w:t>固体废物</w:t>
                  </w:r>
                </w:p>
                <w:p>
                  <w:pPr>
                    <w:pStyle w:val="44"/>
                    <w:spacing w:line="260" w:lineRule="exact"/>
                  </w:pPr>
                  <w:r>
                    <w:rPr>
                      <w:rFonts w:hint="eastAsia"/>
                    </w:rPr>
                    <w:t>处置</w:t>
                  </w:r>
                </w:p>
              </w:tc>
              <w:tc>
                <w:tcPr>
                  <w:tcW w:w="3355" w:type="pct"/>
                  <w:tcMar>
                    <w:left w:w="0" w:type="dxa"/>
                    <w:right w:w="0" w:type="dxa"/>
                  </w:tcMar>
                  <w:vAlign w:val="center"/>
                </w:tcPr>
                <w:p>
                  <w:pPr>
                    <w:pStyle w:val="44"/>
                    <w:spacing w:line="260" w:lineRule="exact"/>
                  </w:pPr>
                  <w:r>
                    <w:rPr>
                      <w:rFonts w:hint="eastAsia"/>
                    </w:rPr>
                    <w:t>岩屑经不落地系统处理后，水基钻井岩屑交由岩屑处置单位处置；油基钻井岩屑委托具有相应危废处理资质的单位负责接收、转运、处置</w:t>
                  </w:r>
                </w:p>
              </w:tc>
              <w:tc>
                <w:tcPr>
                  <w:tcW w:w="585" w:type="pct"/>
                  <w:tcMar>
                    <w:left w:w="0" w:type="dxa"/>
                    <w:right w:w="0" w:type="dxa"/>
                  </w:tcMar>
                  <w:vAlign w:val="center"/>
                </w:tcPr>
                <w:p>
                  <w:pPr>
                    <w:pStyle w:val="44"/>
                    <w:spacing w:line="260" w:lineRule="exact"/>
                  </w:pPr>
                  <w:r>
                    <w:t>106.4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0" w:type="pct"/>
                  <w:vMerge w:val="continue"/>
                  <w:tcMar>
                    <w:left w:w="0" w:type="dxa"/>
                    <w:right w:w="0" w:type="dxa"/>
                  </w:tcMar>
                  <w:vAlign w:val="center"/>
                </w:tcPr>
                <w:p>
                  <w:pPr>
                    <w:pStyle w:val="44"/>
                    <w:spacing w:line="260" w:lineRule="exact"/>
                  </w:pPr>
                </w:p>
              </w:tc>
              <w:tc>
                <w:tcPr>
                  <w:tcW w:w="730" w:type="pct"/>
                  <w:vMerge w:val="continue"/>
                  <w:tcMar>
                    <w:left w:w="0" w:type="dxa"/>
                    <w:right w:w="0" w:type="dxa"/>
                  </w:tcMar>
                  <w:vAlign w:val="center"/>
                </w:tcPr>
                <w:p>
                  <w:pPr>
                    <w:pStyle w:val="44"/>
                    <w:spacing w:line="260" w:lineRule="exact"/>
                  </w:pPr>
                </w:p>
              </w:tc>
              <w:tc>
                <w:tcPr>
                  <w:tcW w:w="3355" w:type="pct"/>
                  <w:tcMar>
                    <w:left w:w="0" w:type="dxa"/>
                    <w:right w:w="0" w:type="dxa"/>
                  </w:tcMar>
                  <w:vAlign w:val="center"/>
                </w:tcPr>
                <w:p>
                  <w:pPr>
                    <w:pStyle w:val="44"/>
                    <w:spacing w:line="260" w:lineRule="exact"/>
                  </w:pPr>
                  <w:r>
                    <w:rPr>
                      <w:rFonts w:hint="eastAsia"/>
                    </w:rPr>
                    <w:t>生活垃圾集中收集后定期送至克拉玛依市生活垃圾填埋场填埋处置</w:t>
                  </w:r>
                </w:p>
              </w:tc>
              <w:tc>
                <w:tcPr>
                  <w:tcW w:w="585" w:type="pct"/>
                  <w:tcMar>
                    <w:left w:w="0" w:type="dxa"/>
                    <w:right w:w="0" w:type="dxa"/>
                  </w:tcMar>
                  <w:vAlign w:val="center"/>
                </w:tcPr>
                <w:p>
                  <w:pPr>
                    <w:pStyle w:val="44"/>
                    <w:spacing w:line="260" w:lineRule="exact"/>
                  </w:pPr>
                  <w: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0" w:type="pct"/>
                  <w:vMerge w:val="continue"/>
                  <w:tcMar>
                    <w:left w:w="0" w:type="dxa"/>
                    <w:right w:w="0" w:type="dxa"/>
                  </w:tcMar>
                  <w:vAlign w:val="center"/>
                </w:tcPr>
                <w:p>
                  <w:pPr>
                    <w:pStyle w:val="44"/>
                    <w:spacing w:line="260" w:lineRule="exact"/>
                  </w:pPr>
                </w:p>
              </w:tc>
              <w:tc>
                <w:tcPr>
                  <w:tcW w:w="730" w:type="pct"/>
                  <w:vMerge w:val="continue"/>
                  <w:tcMar>
                    <w:left w:w="0" w:type="dxa"/>
                    <w:right w:w="0" w:type="dxa"/>
                  </w:tcMar>
                  <w:vAlign w:val="center"/>
                </w:tcPr>
                <w:p>
                  <w:pPr>
                    <w:pStyle w:val="44"/>
                    <w:spacing w:line="260" w:lineRule="exact"/>
                  </w:pPr>
                </w:p>
              </w:tc>
              <w:tc>
                <w:tcPr>
                  <w:tcW w:w="3355" w:type="pct"/>
                  <w:tcMar>
                    <w:left w:w="0" w:type="dxa"/>
                    <w:right w:w="0" w:type="dxa"/>
                  </w:tcMar>
                  <w:vAlign w:val="center"/>
                </w:tcPr>
                <w:p>
                  <w:pPr>
                    <w:pStyle w:val="44"/>
                    <w:spacing w:line="260" w:lineRule="exact"/>
                  </w:pPr>
                  <w:r>
                    <w:rPr>
                      <w:rFonts w:hint="eastAsia" w:cs="宋体"/>
                    </w:rPr>
                    <w:t>废防渗材料交由具有相应危废处置资质的单位处置</w:t>
                  </w:r>
                </w:p>
              </w:tc>
              <w:tc>
                <w:tcPr>
                  <w:tcW w:w="585" w:type="pct"/>
                  <w:tcMar>
                    <w:left w:w="0" w:type="dxa"/>
                    <w:right w:w="0" w:type="dxa"/>
                  </w:tcMar>
                  <w:vAlign w:val="center"/>
                </w:tcPr>
                <w:p>
                  <w:pPr>
                    <w:pStyle w:val="44"/>
                    <w:spacing w:line="260" w:lineRule="exact"/>
                  </w:pPr>
                  <w: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0" w:type="pct"/>
                  <w:tcMar>
                    <w:left w:w="0" w:type="dxa"/>
                    <w:right w:w="0" w:type="dxa"/>
                  </w:tcMar>
                  <w:vAlign w:val="center"/>
                </w:tcPr>
                <w:p>
                  <w:pPr>
                    <w:pStyle w:val="44"/>
                    <w:spacing w:line="260" w:lineRule="exact"/>
                  </w:pPr>
                  <w:r>
                    <w:t>2</w:t>
                  </w:r>
                </w:p>
              </w:tc>
              <w:tc>
                <w:tcPr>
                  <w:tcW w:w="730" w:type="pct"/>
                  <w:tcMar>
                    <w:left w:w="0" w:type="dxa"/>
                    <w:right w:w="0" w:type="dxa"/>
                  </w:tcMar>
                  <w:vAlign w:val="center"/>
                </w:tcPr>
                <w:p>
                  <w:pPr>
                    <w:pStyle w:val="44"/>
                    <w:spacing w:line="260" w:lineRule="exact"/>
                  </w:pPr>
                  <w:r>
                    <w:rPr>
                      <w:rFonts w:hint="eastAsia"/>
                    </w:rPr>
                    <w:t>井控装置</w:t>
                  </w:r>
                </w:p>
              </w:tc>
              <w:tc>
                <w:tcPr>
                  <w:tcW w:w="3355" w:type="pct"/>
                  <w:tcMar>
                    <w:left w:w="0" w:type="dxa"/>
                    <w:right w:w="0" w:type="dxa"/>
                  </w:tcMar>
                  <w:vAlign w:val="center"/>
                </w:tcPr>
                <w:p>
                  <w:pPr>
                    <w:pStyle w:val="44"/>
                    <w:spacing w:line="260" w:lineRule="exact"/>
                  </w:pPr>
                  <w:r>
                    <w:rPr>
                      <w:rFonts w:hint="eastAsia"/>
                    </w:rPr>
                    <w:t>防止井喷</w:t>
                  </w:r>
                </w:p>
              </w:tc>
              <w:tc>
                <w:tcPr>
                  <w:tcW w:w="585" w:type="pct"/>
                  <w:tcMar>
                    <w:left w:w="0" w:type="dxa"/>
                    <w:right w:w="0" w:type="dxa"/>
                  </w:tcMar>
                  <w:vAlign w:val="center"/>
                </w:tcPr>
                <w:p>
                  <w:pPr>
                    <w:pStyle w:val="44"/>
                    <w:spacing w:line="260" w:lineRule="exact"/>
                  </w:pPr>
                  <w: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0" w:type="pct"/>
                  <w:tcMar>
                    <w:left w:w="0" w:type="dxa"/>
                    <w:right w:w="0" w:type="dxa"/>
                  </w:tcMar>
                  <w:vAlign w:val="center"/>
                </w:tcPr>
                <w:p>
                  <w:pPr>
                    <w:pStyle w:val="44"/>
                    <w:spacing w:line="260" w:lineRule="exact"/>
                  </w:pPr>
                  <w:r>
                    <w:rPr>
                      <w:rFonts w:hint="eastAsia"/>
                    </w:rPr>
                    <w:t>3</w:t>
                  </w:r>
                </w:p>
              </w:tc>
              <w:tc>
                <w:tcPr>
                  <w:tcW w:w="730" w:type="pct"/>
                  <w:tcMar>
                    <w:left w:w="0" w:type="dxa"/>
                    <w:right w:w="0" w:type="dxa"/>
                  </w:tcMar>
                  <w:vAlign w:val="center"/>
                </w:tcPr>
                <w:p>
                  <w:pPr>
                    <w:pStyle w:val="44"/>
                    <w:spacing w:line="260" w:lineRule="exact"/>
                  </w:pPr>
                  <w:r>
                    <w:rPr>
                      <w:rFonts w:hint="eastAsia"/>
                    </w:rPr>
                    <w:t>生活污水</w:t>
                  </w:r>
                </w:p>
              </w:tc>
              <w:tc>
                <w:tcPr>
                  <w:tcW w:w="3355" w:type="pct"/>
                  <w:tcMar>
                    <w:left w:w="0" w:type="dxa"/>
                    <w:right w:w="0" w:type="dxa"/>
                  </w:tcMar>
                  <w:vAlign w:val="center"/>
                </w:tcPr>
                <w:p>
                  <w:pPr>
                    <w:pStyle w:val="44"/>
                    <w:spacing w:line="260" w:lineRule="exact"/>
                  </w:pPr>
                  <w:r>
                    <w:rPr>
                      <w:rFonts w:hint="eastAsia"/>
                    </w:rPr>
                    <w:t>生活污水排至防渗池，最终清运至克拉玛依市第二污水处理厂处理</w:t>
                  </w:r>
                </w:p>
              </w:tc>
              <w:tc>
                <w:tcPr>
                  <w:tcW w:w="585" w:type="pct"/>
                  <w:tcMar>
                    <w:left w:w="0" w:type="dxa"/>
                    <w:right w:w="0" w:type="dxa"/>
                  </w:tcMar>
                  <w:vAlign w:val="center"/>
                </w:tcPr>
                <w:p>
                  <w:pPr>
                    <w:pStyle w:val="44"/>
                    <w:spacing w:line="260" w:lineRule="exact"/>
                  </w:pPr>
                  <w: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0" w:type="pct"/>
                  <w:tcMar>
                    <w:left w:w="0" w:type="dxa"/>
                    <w:right w:w="0" w:type="dxa"/>
                  </w:tcMar>
                  <w:vAlign w:val="center"/>
                </w:tcPr>
                <w:p>
                  <w:pPr>
                    <w:pStyle w:val="44"/>
                    <w:spacing w:line="260" w:lineRule="exact"/>
                  </w:pPr>
                  <w:r>
                    <w:rPr>
                      <w:rFonts w:hint="eastAsia"/>
                    </w:rPr>
                    <w:t>4</w:t>
                  </w:r>
                </w:p>
              </w:tc>
              <w:tc>
                <w:tcPr>
                  <w:tcW w:w="730" w:type="pct"/>
                  <w:tcMar>
                    <w:left w:w="0" w:type="dxa"/>
                    <w:right w:w="0" w:type="dxa"/>
                  </w:tcMar>
                  <w:vAlign w:val="center"/>
                </w:tcPr>
                <w:p>
                  <w:pPr>
                    <w:pStyle w:val="44"/>
                    <w:spacing w:line="260" w:lineRule="exact"/>
                  </w:pPr>
                  <w:r>
                    <w:rPr>
                      <w:rFonts w:hint="eastAsia"/>
                    </w:rPr>
                    <w:t>洗井废水和压裂返排液</w:t>
                  </w:r>
                </w:p>
              </w:tc>
              <w:tc>
                <w:tcPr>
                  <w:tcW w:w="3355" w:type="pct"/>
                  <w:tcMar>
                    <w:left w:w="0" w:type="dxa"/>
                    <w:right w:w="0" w:type="dxa"/>
                  </w:tcMar>
                  <w:vAlign w:val="center"/>
                </w:tcPr>
                <w:p>
                  <w:pPr>
                    <w:pStyle w:val="44"/>
                    <w:spacing w:line="260" w:lineRule="exact"/>
                  </w:pPr>
                  <w:r>
                    <w:rPr>
                      <w:rFonts w:hint="eastAsia"/>
                    </w:rPr>
                    <w:t>拉运至车89集中处理站</w:t>
                  </w:r>
                </w:p>
              </w:tc>
              <w:tc>
                <w:tcPr>
                  <w:tcW w:w="585" w:type="pct"/>
                  <w:tcMar>
                    <w:left w:w="0" w:type="dxa"/>
                    <w:right w:w="0" w:type="dxa"/>
                  </w:tcMar>
                  <w:vAlign w:val="center"/>
                </w:tcPr>
                <w:p>
                  <w:pPr>
                    <w:pStyle w:val="44"/>
                    <w:spacing w:line="260" w:lineRule="exact"/>
                  </w:pPr>
                  <w: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0" w:type="pct"/>
                  <w:tcMar>
                    <w:left w:w="0" w:type="dxa"/>
                    <w:right w:w="0" w:type="dxa"/>
                  </w:tcMar>
                  <w:vAlign w:val="center"/>
                </w:tcPr>
                <w:p>
                  <w:pPr>
                    <w:pStyle w:val="44"/>
                    <w:spacing w:line="260" w:lineRule="exact"/>
                  </w:pPr>
                  <w:r>
                    <w:rPr>
                      <w:rFonts w:hint="eastAsia"/>
                    </w:rPr>
                    <w:t>5</w:t>
                  </w:r>
                </w:p>
              </w:tc>
              <w:tc>
                <w:tcPr>
                  <w:tcW w:w="730" w:type="pct"/>
                  <w:tcMar>
                    <w:left w:w="0" w:type="dxa"/>
                    <w:right w:w="0" w:type="dxa"/>
                  </w:tcMar>
                  <w:vAlign w:val="center"/>
                </w:tcPr>
                <w:p>
                  <w:pPr>
                    <w:pStyle w:val="44"/>
                    <w:spacing w:line="260" w:lineRule="exact"/>
                  </w:pPr>
                  <w:r>
                    <w:rPr>
                      <w:rFonts w:hint="eastAsia"/>
                    </w:rPr>
                    <w:t>硫化氢监测</w:t>
                  </w:r>
                </w:p>
              </w:tc>
              <w:tc>
                <w:tcPr>
                  <w:tcW w:w="3355" w:type="pct"/>
                  <w:tcMar>
                    <w:left w:w="0" w:type="dxa"/>
                    <w:right w:w="0" w:type="dxa"/>
                  </w:tcMar>
                  <w:vAlign w:val="center"/>
                </w:tcPr>
                <w:p>
                  <w:pPr>
                    <w:pStyle w:val="44"/>
                    <w:spacing w:line="260" w:lineRule="exact"/>
                  </w:pPr>
                  <w:r>
                    <w:rPr>
                      <w:rStyle w:val="48"/>
                      <w:rFonts w:hint="eastAsia"/>
                    </w:rPr>
                    <w:t>对硫化氢气体浓度进行监控</w:t>
                  </w:r>
                </w:p>
              </w:tc>
              <w:tc>
                <w:tcPr>
                  <w:tcW w:w="585" w:type="pct"/>
                  <w:tcMar>
                    <w:left w:w="0" w:type="dxa"/>
                    <w:right w:w="0" w:type="dxa"/>
                  </w:tcMar>
                  <w:vAlign w:val="center"/>
                </w:tcPr>
                <w:p>
                  <w:pPr>
                    <w:pStyle w:val="44"/>
                    <w:spacing w:line="260" w:lineRule="exact"/>
                  </w:pPr>
                  <w: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0" w:type="pct"/>
                  <w:tcMar>
                    <w:left w:w="0" w:type="dxa"/>
                    <w:right w:w="0" w:type="dxa"/>
                  </w:tcMar>
                  <w:vAlign w:val="center"/>
                </w:tcPr>
                <w:p>
                  <w:pPr>
                    <w:pStyle w:val="44"/>
                    <w:spacing w:line="260" w:lineRule="exact"/>
                  </w:pPr>
                  <w:r>
                    <w:rPr>
                      <w:rFonts w:hint="eastAsia"/>
                    </w:rPr>
                    <w:t>6</w:t>
                  </w:r>
                </w:p>
              </w:tc>
              <w:tc>
                <w:tcPr>
                  <w:tcW w:w="730" w:type="pct"/>
                  <w:tcMar>
                    <w:left w:w="0" w:type="dxa"/>
                    <w:right w:w="0" w:type="dxa"/>
                  </w:tcMar>
                  <w:vAlign w:val="center"/>
                </w:tcPr>
                <w:p>
                  <w:pPr>
                    <w:pStyle w:val="44"/>
                    <w:spacing w:line="260" w:lineRule="exact"/>
                  </w:pPr>
                  <w:r>
                    <w:rPr>
                      <w:rFonts w:hint="eastAsia"/>
                    </w:rPr>
                    <w:t>完井后恢复</w:t>
                  </w:r>
                </w:p>
              </w:tc>
              <w:tc>
                <w:tcPr>
                  <w:tcW w:w="3355" w:type="pct"/>
                  <w:tcMar>
                    <w:left w:w="0" w:type="dxa"/>
                    <w:right w:w="0" w:type="dxa"/>
                  </w:tcMar>
                  <w:vAlign w:val="center"/>
                </w:tcPr>
                <w:p>
                  <w:pPr>
                    <w:pStyle w:val="44"/>
                    <w:spacing w:line="260" w:lineRule="exact"/>
                  </w:pPr>
                  <w:r>
                    <w:rPr>
                      <w:rFonts w:hint="eastAsia"/>
                    </w:rPr>
                    <w:t>场地清理，恢复平整，项目占地范围内植被自然恢复，办理征地手续，缴纳经济补偿费，专款用于植被恢复</w:t>
                  </w:r>
                </w:p>
              </w:tc>
              <w:tc>
                <w:tcPr>
                  <w:tcW w:w="585" w:type="pct"/>
                  <w:tcMar>
                    <w:left w:w="0" w:type="dxa"/>
                    <w:right w:w="0" w:type="dxa"/>
                  </w:tcMar>
                  <w:vAlign w:val="center"/>
                </w:tcPr>
                <w:p>
                  <w:pPr>
                    <w:pStyle w:val="44"/>
                    <w:spacing w:line="260" w:lineRule="exact"/>
                  </w:pPr>
                  <w: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0" w:type="pct"/>
                  <w:tcMar>
                    <w:left w:w="0" w:type="dxa"/>
                    <w:right w:w="0" w:type="dxa"/>
                  </w:tcMar>
                  <w:vAlign w:val="center"/>
                </w:tcPr>
                <w:p>
                  <w:pPr>
                    <w:pStyle w:val="44"/>
                    <w:spacing w:line="260" w:lineRule="exact"/>
                  </w:pPr>
                  <w:r>
                    <w:rPr>
                      <w:rFonts w:hint="eastAsia"/>
                    </w:rPr>
                    <w:t>合计</w:t>
                  </w:r>
                </w:p>
              </w:tc>
              <w:tc>
                <w:tcPr>
                  <w:tcW w:w="730" w:type="pct"/>
                  <w:tcMar>
                    <w:left w:w="0" w:type="dxa"/>
                    <w:right w:w="0" w:type="dxa"/>
                  </w:tcMar>
                  <w:vAlign w:val="center"/>
                </w:tcPr>
                <w:p>
                  <w:pPr>
                    <w:pStyle w:val="44"/>
                    <w:spacing w:line="260" w:lineRule="exact"/>
                  </w:pPr>
                  <w:r>
                    <w:rPr>
                      <w:rFonts w:hint="eastAsia"/>
                    </w:rPr>
                    <w:t>/</w:t>
                  </w:r>
                </w:p>
              </w:tc>
              <w:tc>
                <w:tcPr>
                  <w:tcW w:w="3355" w:type="pct"/>
                  <w:tcMar>
                    <w:left w:w="0" w:type="dxa"/>
                    <w:right w:w="0" w:type="dxa"/>
                  </w:tcMar>
                  <w:vAlign w:val="center"/>
                </w:tcPr>
                <w:p>
                  <w:pPr>
                    <w:pStyle w:val="44"/>
                    <w:spacing w:line="260" w:lineRule="exact"/>
                  </w:pPr>
                  <w:r>
                    <w:rPr>
                      <w:rFonts w:hint="eastAsia"/>
                    </w:rPr>
                    <w:t>/</w:t>
                  </w:r>
                </w:p>
              </w:tc>
              <w:tc>
                <w:tcPr>
                  <w:tcW w:w="585" w:type="pct"/>
                  <w:tcMar>
                    <w:left w:w="0" w:type="dxa"/>
                    <w:right w:w="0" w:type="dxa"/>
                  </w:tcMar>
                  <w:vAlign w:val="center"/>
                </w:tcPr>
                <w:p>
                  <w:pPr>
                    <w:pStyle w:val="44"/>
                    <w:spacing w:line="260" w:lineRule="exact"/>
                  </w:pPr>
                  <w:r>
                    <w:t>130.4</w:t>
                  </w:r>
                </w:p>
              </w:tc>
            </w:tr>
          </w:tbl>
          <w:p>
            <w:pPr>
              <w:rPr>
                <w:rFonts w:ascii="宋体" w:hAnsi="宋体" w:cs="宋体"/>
                <w:szCs w:val="21"/>
              </w:rPr>
            </w:pPr>
          </w:p>
        </w:tc>
      </w:tr>
    </w:tbl>
    <w:p>
      <w:pPr>
        <w:sectPr>
          <w:pgSz w:w="11907" w:h="16840"/>
          <w:pgMar w:top="1440" w:right="1797" w:bottom="1440" w:left="1797" w:header="851" w:footer="1077" w:gutter="0"/>
          <w:cols w:space="720" w:num="1"/>
          <w:docGrid w:linePitch="312" w:charSpace="0"/>
        </w:sectPr>
      </w:pPr>
    </w:p>
    <w:p>
      <w:pPr>
        <w:pStyle w:val="14"/>
        <w:spacing w:before="0" w:beforeAutospacing="0" w:after="0" w:afterAutospacing="0" w:line="500" w:lineRule="exact"/>
        <w:jc w:val="center"/>
        <w:outlineLvl w:val="0"/>
        <w:rPr>
          <w:rFonts w:ascii="黑体" w:hAnsi="黑体" w:eastAsia="黑体"/>
          <w:snapToGrid w:val="0"/>
          <w:sz w:val="30"/>
          <w:szCs w:val="30"/>
        </w:rPr>
      </w:pPr>
      <w:r>
        <w:rPr>
          <w:rFonts w:hint="eastAsia" w:ascii="黑体" w:hAnsi="黑体" w:eastAsia="黑体"/>
          <w:snapToGrid w:val="0"/>
          <w:sz w:val="30"/>
          <w:szCs w:val="30"/>
        </w:rPr>
        <w:t>六、生态环境保护措施监督检查清单</w:t>
      </w:r>
    </w:p>
    <w:tbl>
      <w:tblPr>
        <w:tblStyle w:val="17"/>
        <w:tblW w:w="52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66"/>
        <w:gridCol w:w="4621"/>
        <w:gridCol w:w="1761"/>
        <w:gridCol w:w="708"/>
        <w:gridCol w:w="5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Merge w:val="restart"/>
            <w:tcBorders>
              <w:tl2br w:val="single" w:color="auto" w:sz="4" w:space="0"/>
            </w:tcBorders>
          </w:tcPr>
          <w:p>
            <w:pPr>
              <w:pStyle w:val="14"/>
              <w:adjustRightInd w:val="0"/>
              <w:snapToGrid w:val="0"/>
              <w:spacing w:before="93" w:beforeLines="30" w:beforeAutospacing="0" w:after="0" w:afterAutospacing="0" w:line="240" w:lineRule="exact"/>
              <w:jc w:val="right"/>
              <w:rPr>
                <w:rFonts w:cs="宋体"/>
                <w:kern w:val="2"/>
                <w:sz w:val="21"/>
                <w:szCs w:val="21"/>
              </w:rPr>
            </w:pPr>
            <w:r>
              <w:rPr>
                <w:rFonts w:hint="eastAsia" w:cs="宋体"/>
                <w:kern w:val="2"/>
                <w:sz w:val="21"/>
                <w:szCs w:val="21"/>
              </w:rPr>
              <w:t>内容</w:t>
            </w:r>
          </w:p>
          <w:p>
            <w:pPr>
              <w:pStyle w:val="14"/>
              <w:adjustRightInd w:val="0"/>
              <w:snapToGrid w:val="0"/>
              <w:spacing w:before="0" w:beforeAutospacing="0" w:after="0" w:afterAutospacing="0" w:line="240" w:lineRule="exact"/>
              <w:rPr>
                <w:rFonts w:cs="宋体"/>
                <w:kern w:val="2"/>
                <w:sz w:val="21"/>
                <w:szCs w:val="21"/>
              </w:rPr>
            </w:pPr>
            <w:r>
              <w:rPr>
                <w:rFonts w:hint="eastAsia" w:cs="宋体"/>
                <w:kern w:val="2"/>
                <w:sz w:val="21"/>
                <w:szCs w:val="21"/>
              </w:rPr>
              <w:t xml:space="preserve">  </w:t>
            </w:r>
          </w:p>
          <w:p>
            <w:pPr>
              <w:pStyle w:val="14"/>
              <w:adjustRightInd w:val="0"/>
              <w:snapToGrid w:val="0"/>
              <w:spacing w:before="0" w:beforeAutospacing="0" w:after="0" w:afterAutospacing="0" w:line="240" w:lineRule="exact"/>
              <w:jc w:val="both"/>
              <w:rPr>
                <w:rFonts w:cs="宋体"/>
                <w:kern w:val="2"/>
                <w:sz w:val="21"/>
                <w:szCs w:val="21"/>
              </w:rPr>
            </w:pPr>
            <w:r>
              <w:rPr>
                <w:rFonts w:hint="eastAsia" w:cs="宋体"/>
                <w:kern w:val="2"/>
                <w:sz w:val="21"/>
                <w:szCs w:val="21"/>
              </w:rPr>
              <w:t>要素</w:t>
            </w:r>
          </w:p>
        </w:tc>
        <w:tc>
          <w:tcPr>
            <w:tcW w:w="3650" w:type="pct"/>
            <w:gridSpan w:val="2"/>
            <w:vAlign w:val="center"/>
          </w:tcPr>
          <w:p>
            <w:pPr>
              <w:pStyle w:val="14"/>
              <w:adjustRightInd w:val="0"/>
              <w:snapToGrid w:val="0"/>
              <w:spacing w:before="0" w:beforeAutospacing="0" w:after="0" w:afterAutospacing="0" w:line="240" w:lineRule="exact"/>
              <w:jc w:val="center"/>
              <w:rPr>
                <w:rFonts w:cs="宋体"/>
                <w:kern w:val="2"/>
                <w:sz w:val="21"/>
                <w:szCs w:val="21"/>
              </w:rPr>
            </w:pPr>
            <w:r>
              <w:rPr>
                <w:rFonts w:hint="eastAsia" w:cs="宋体"/>
                <w:kern w:val="2"/>
                <w:sz w:val="21"/>
                <w:szCs w:val="21"/>
              </w:rPr>
              <w:t>施工期</w:t>
            </w:r>
          </w:p>
        </w:tc>
        <w:tc>
          <w:tcPr>
            <w:tcW w:w="740" w:type="pct"/>
            <w:gridSpan w:val="2"/>
            <w:vAlign w:val="center"/>
          </w:tcPr>
          <w:p>
            <w:pPr>
              <w:pStyle w:val="14"/>
              <w:adjustRightInd w:val="0"/>
              <w:snapToGrid w:val="0"/>
              <w:spacing w:before="0" w:beforeAutospacing="0" w:after="0" w:afterAutospacing="0" w:line="240" w:lineRule="exact"/>
              <w:jc w:val="center"/>
              <w:rPr>
                <w:rFonts w:cs="宋体"/>
                <w:kern w:val="2"/>
                <w:sz w:val="21"/>
                <w:szCs w:val="21"/>
              </w:rPr>
            </w:pPr>
            <w:r>
              <w:rPr>
                <w:rFonts w:hint="eastAsia" w:cs="宋体"/>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Merge w:val="continue"/>
          </w:tcPr>
          <w:p>
            <w:pPr>
              <w:pStyle w:val="14"/>
              <w:adjustRightInd w:val="0"/>
              <w:snapToGrid w:val="0"/>
              <w:spacing w:before="0" w:beforeAutospacing="0" w:after="0" w:afterAutospacing="0" w:line="240" w:lineRule="exact"/>
              <w:ind w:firstLine="840"/>
              <w:jc w:val="center"/>
              <w:rPr>
                <w:rFonts w:cs="宋体"/>
                <w:kern w:val="2"/>
                <w:sz w:val="21"/>
                <w:szCs w:val="21"/>
              </w:rPr>
            </w:pPr>
          </w:p>
        </w:tc>
        <w:tc>
          <w:tcPr>
            <w:tcW w:w="2643" w:type="pct"/>
            <w:vAlign w:val="center"/>
          </w:tcPr>
          <w:p>
            <w:pPr>
              <w:pStyle w:val="14"/>
              <w:adjustRightInd w:val="0"/>
              <w:snapToGrid w:val="0"/>
              <w:spacing w:before="0" w:beforeAutospacing="0" w:after="0" w:afterAutospacing="0" w:line="240" w:lineRule="exact"/>
              <w:jc w:val="center"/>
              <w:rPr>
                <w:rFonts w:cs="宋体"/>
                <w:kern w:val="2"/>
                <w:sz w:val="21"/>
                <w:szCs w:val="21"/>
              </w:rPr>
            </w:pPr>
            <w:r>
              <w:rPr>
                <w:rFonts w:hint="eastAsia" w:cs="宋体"/>
                <w:kern w:val="2"/>
                <w:sz w:val="21"/>
                <w:szCs w:val="21"/>
              </w:rPr>
              <w:t>环境保护措施</w:t>
            </w:r>
          </w:p>
        </w:tc>
        <w:tc>
          <w:tcPr>
            <w:tcW w:w="1007" w:type="pct"/>
            <w:vAlign w:val="center"/>
          </w:tcPr>
          <w:p>
            <w:pPr>
              <w:pStyle w:val="14"/>
              <w:adjustRightInd w:val="0"/>
              <w:snapToGrid w:val="0"/>
              <w:spacing w:before="0" w:beforeAutospacing="0" w:after="0" w:afterAutospacing="0" w:line="240" w:lineRule="exact"/>
              <w:jc w:val="center"/>
              <w:rPr>
                <w:rFonts w:cs="宋体"/>
                <w:kern w:val="2"/>
                <w:sz w:val="21"/>
                <w:szCs w:val="21"/>
              </w:rPr>
            </w:pPr>
            <w:r>
              <w:rPr>
                <w:rFonts w:hint="eastAsia" w:cs="宋体"/>
                <w:kern w:val="2"/>
                <w:sz w:val="21"/>
                <w:szCs w:val="21"/>
              </w:rPr>
              <w:t>验收要求</w:t>
            </w:r>
          </w:p>
        </w:tc>
        <w:tc>
          <w:tcPr>
            <w:tcW w:w="405" w:type="pct"/>
            <w:vAlign w:val="center"/>
          </w:tcPr>
          <w:p>
            <w:pPr>
              <w:pStyle w:val="14"/>
              <w:adjustRightInd w:val="0"/>
              <w:snapToGrid w:val="0"/>
              <w:spacing w:before="0" w:beforeAutospacing="0" w:after="0" w:afterAutospacing="0" w:line="240" w:lineRule="exact"/>
              <w:jc w:val="center"/>
              <w:rPr>
                <w:rFonts w:cs="宋体"/>
                <w:kern w:val="2"/>
                <w:sz w:val="21"/>
                <w:szCs w:val="21"/>
              </w:rPr>
            </w:pPr>
            <w:r>
              <w:rPr>
                <w:rFonts w:hint="eastAsia" w:cs="宋体"/>
                <w:kern w:val="2"/>
                <w:sz w:val="21"/>
                <w:szCs w:val="21"/>
              </w:rPr>
              <w:t>环境保护措施</w:t>
            </w:r>
          </w:p>
        </w:tc>
        <w:tc>
          <w:tcPr>
            <w:tcW w:w="335" w:type="pct"/>
            <w:vAlign w:val="center"/>
          </w:tcPr>
          <w:p>
            <w:pPr>
              <w:pStyle w:val="14"/>
              <w:adjustRightInd w:val="0"/>
              <w:snapToGrid w:val="0"/>
              <w:spacing w:before="0" w:beforeAutospacing="0" w:after="0" w:afterAutospacing="0" w:line="240" w:lineRule="exact"/>
              <w:jc w:val="center"/>
              <w:rPr>
                <w:rFonts w:cs="宋体"/>
                <w:kern w:val="2"/>
                <w:sz w:val="21"/>
                <w:szCs w:val="21"/>
              </w:rPr>
            </w:pPr>
            <w:r>
              <w:rPr>
                <w:rFonts w:hint="eastAsia" w:cs="宋体"/>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陆生生态</w:t>
            </w:r>
          </w:p>
        </w:tc>
        <w:tc>
          <w:tcPr>
            <w:tcW w:w="2643" w:type="pct"/>
            <w:vAlign w:val="center"/>
          </w:tcPr>
          <w:p>
            <w:pPr>
              <w:adjustRightInd w:val="0"/>
              <w:snapToGrid w:val="0"/>
              <w:spacing w:line="240" w:lineRule="exact"/>
              <w:rPr>
                <w:rFonts w:ascii="宋体" w:hAnsi="宋体" w:cs="宋体"/>
                <w:szCs w:val="21"/>
              </w:rPr>
            </w:pPr>
            <w:bookmarkStart w:id="57" w:name="_Hlk117960002"/>
            <w:r>
              <w:rPr>
                <w:rFonts w:hint="eastAsia" w:ascii="宋体" w:hAnsi="宋体" w:cs="宋体"/>
                <w:szCs w:val="21"/>
              </w:rPr>
              <w:t>确保各环保设施正常运行，避免各种污染物对土壤环境的影响。严格控制占地，严格遵守油田环境保护规章制度，严格划定路线，禁止乱碾乱轧；严格规定各类工作人员的活动范围。完井后施工设备及时撤离，固体废物全部妥善处置，现场禁止遗留，占地应清理平整，尽量利用井场及临时道路施工时产生的表层土对临时占地进行覆盖。按用地审批手续足额缴纳经济补偿费</w:t>
            </w:r>
            <w:bookmarkEnd w:id="57"/>
          </w:p>
        </w:tc>
        <w:tc>
          <w:tcPr>
            <w:tcW w:w="1007" w:type="pct"/>
            <w:vAlign w:val="center"/>
          </w:tcPr>
          <w:p>
            <w:pPr>
              <w:rPr>
                <w:szCs w:val="21"/>
              </w:rPr>
            </w:pPr>
            <w:r>
              <w:rPr>
                <w:rFonts w:hint="eastAsia" w:ascii="宋体" w:hAnsi="宋体"/>
              </w:rPr>
              <w:t>生态保护措施落实情况；井场及周边占地恢复情况</w:t>
            </w:r>
          </w:p>
          <w:p>
            <w:pPr>
              <w:adjustRightInd w:val="0"/>
              <w:snapToGrid w:val="0"/>
              <w:spacing w:line="240" w:lineRule="exact"/>
              <w:rPr>
                <w:rFonts w:ascii="宋体" w:hAnsi="宋体" w:cs="宋体"/>
                <w:szCs w:val="21"/>
              </w:rPr>
            </w:pPr>
          </w:p>
        </w:tc>
        <w:tc>
          <w:tcPr>
            <w:tcW w:w="40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33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水生生态</w:t>
            </w:r>
          </w:p>
        </w:tc>
        <w:tc>
          <w:tcPr>
            <w:tcW w:w="2643" w:type="pct"/>
            <w:vAlign w:val="center"/>
          </w:tcPr>
          <w:p>
            <w:pPr>
              <w:adjustRightInd w:val="0"/>
              <w:snapToGrid w:val="0"/>
              <w:spacing w:line="240" w:lineRule="exact"/>
              <w:jc w:val="center"/>
              <w:rPr>
                <w:rFonts w:ascii="宋体" w:hAnsi="宋体" w:cs="宋体"/>
                <w:szCs w:val="21"/>
              </w:rPr>
            </w:pPr>
          </w:p>
        </w:tc>
        <w:tc>
          <w:tcPr>
            <w:tcW w:w="1007" w:type="pct"/>
            <w:vAlign w:val="center"/>
          </w:tcPr>
          <w:p>
            <w:pPr>
              <w:adjustRightInd w:val="0"/>
              <w:snapToGrid w:val="0"/>
              <w:spacing w:line="240" w:lineRule="exact"/>
              <w:jc w:val="center"/>
              <w:rPr>
                <w:rFonts w:ascii="宋体" w:hAnsi="宋体" w:cs="宋体"/>
                <w:szCs w:val="21"/>
              </w:rPr>
            </w:pPr>
          </w:p>
        </w:tc>
        <w:tc>
          <w:tcPr>
            <w:tcW w:w="405" w:type="pct"/>
            <w:vAlign w:val="center"/>
          </w:tcPr>
          <w:p>
            <w:pPr>
              <w:adjustRightInd w:val="0"/>
              <w:snapToGrid w:val="0"/>
              <w:spacing w:line="240" w:lineRule="exact"/>
              <w:jc w:val="center"/>
              <w:rPr>
                <w:rFonts w:ascii="宋体" w:hAnsi="宋体" w:cs="宋体"/>
                <w:szCs w:val="21"/>
              </w:rPr>
            </w:pPr>
          </w:p>
        </w:tc>
        <w:tc>
          <w:tcPr>
            <w:tcW w:w="335" w:type="pct"/>
            <w:vAlign w:val="center"/>
          </w:tcPr>
          <w:p>
            <w:pPr>
              <w:adjustRightInd w:val="0"/>
              <w:snapToGrid w:val="0"/>
              <w:spacing w:line="24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Align w:val="center"/>
          </w:tcPr>
          <w:p>
            <w:pPr>
              <w:adjustRightInd w:val="0"/>
              <w:snapToGrid w:val="0"/>
              <w:spacing w:line="240" w:lineRule="exact"/>
              <w:jc w:val="center"/>
              <w:rPr>
                <w:rFonts w:ascii="宋体" w:hAnsi="宋体" w:cs="宋体"/>
                <w:spacing w:val="-10"/>
                <w:szCs w:val="21"/>
              </w:rPr>
            </w:pPr>
            <w:r>
              <w:rPr>
                <w:rFonts w:hint="eastAsia" w:ascii="宋体" w:hAnsi="宋体" w:cs="宋体"/>
                <w:spacing w:val="-10"/>
                <w:szCs w:val="21"/>
              </w:rPr>
              <w:t>地表水环境</w:t>
            </w:r>
          </w:p>
        </w:tc>
        <w:tc>
          <w:tcPr>
            <w:tcW w:w="2643"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007"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40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33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地下水及土壤环境</w:t>
            </w:r>
          </w:p>
        </w:tc>
        <w:tc>
          <w:tcPr>
            <w:tcW w:w="2643" w:type="pct"/>
            <w:vAlign w:val="center"/>
          </w:tcPr>
          <w:p>
            <w:pPr>
              <w:adjustRightInd w:val="0"/>
              <w:snapToGrid w:val="0"/>
              <w:spacing w:line="240" w:lineRule="exact"/>
              <w:rPr>
                <w:rFonts w:ascii="宋体" w:hAnsi="宋体" w:cs="宋体"/>
                <w:szCs w:val="21"/>
              </w:rPr>
            </w:pPr>
            <w:r>
              <w:rPr>
                <w:rFonts w:hint="eastAsia" w:ascii="宋体" w:hAnsi="宋体" w:cs="宋体"/>
                <w:szCs w:val="21"/>
              </w:rPr>
              <w:t>生活污水：排至</w:t>
            </w:r>
            <w:r>
              <w:rPr>
                <w:rFonts w:hint="eastAsia"/>
              </w:rPr>
              <w:t>临时生活污水储集防渗池</w:t>
            </w:r>
            <w:r>
              <w:rPr>
                <w:rFonts w:hint="eastAsia" w:ascii="宋体" w:hAnsi="宋体" w:cs="宋体"/>
                <w:szCs w:val="21"/>
              </w:rPr>
              <w:t>，定期清运至克拉玛依市第二污水处理厂处理；洗井废水和压裂返排液集中收集后送至车89集中处理站</w:t>
            </w:r>
          </w:p>
        </w:tc>
        <w:tc>
          <w:tcPr>
            <w:tcW w:w="1007" w:type="pct"/>
            <w:vAlign w:val="center"/>
          </w:tcPr>
          <w:p>
            <w:pPr>
              <w:adjustRightInd w:val="0"/>
              <w:snapToGrid w:val="0"/>
              <w:spacing w:line="240" w:lineRule="exact"/>
              <w:rPr>
                <w:rFonts w:ascii="宋体" w:hAnsi="宋体" w:cs="宋体"/>
                <w:szCs w:val="21"/>
              </w:rPr>
            </w:pPr>
            <w:r>
              <w:rPr>
                <w:rFonts w:hint="eastAsia" w:ascii="宋体" w:hAnsi="宋体"/>
                <w:szCs w:val="21"/>
              </w:rPr>
              <w:t>生活污水签订清运协议；</w:t>
            </w:r>
            <w:r>
              <w:rPr>
                <w:rFonts w:hint="eastAsia" w:ascii="宋体" w:hAnsi="宋体" w:cs="宋体"/>
                <w:szCs w:val="21"/>
              </w:rPr>
              <w:t>洗井废水和压裂返排液不外排</w:t>
            </w:r>
          </w:p>
        </w:tc>
        <w:tc>
          <w:tcPr>
            <w:tcW w:w="40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33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声环境</w:t>
            </w:r>
          </w:p>
        </w:tc>
        <w:tc>
          <w:tcPr>
            <w:tcW w:w="2643" w:type="pct"/>
            <w:vAlign w:val="center"/>
          </w:tcPr>
          <w:p>
            <w:pPr>
              <w:adjustRightInd w:val="0"/>
              <w:snapToGrid w:val="0"/>
              <w:spacing w:line="240" w:lineRule="exact"/>
              <w:rPr>
                <w:rFonts w:ascii="宋体" w:hAnsi="宋体" w:cs="宋体"/>
                <w:szCs w:val="21"/>
              </w:rPr>
            </w:pPr>
            <w:r>
              <w:rPr>
                <w:rFonts w:hint="eastAsia" w:ascii="宋体" w:hAnsi="宋体" w:cs="宋体"/>
                <w:szCs w:val="21"/>
              </w:rPr>
              <w:t>选用低噪声设备，设备底部进行基础减震</w:t>
            </w:r>
          </w:p>
        </w:tc>
        <w:tc>
          <w:tcPr>
            <w:tcW w:w="1007"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40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33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振动</w:t>
            </w:r>
          </w:p>
        </w:tc>
        <w:tc>
          <w:tcPr>
            <w:tcW w:w="2643"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007"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40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33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大气环境</w:t>
            </w:r>
          </w:p>
        </w:tc>
        <w:tc>
          <w:tcPr>
            <w:tcW w:w="2643" w:type="pct"/>
            <w:vAlign w:val="center"/>
          </w:tcPr>
          <w:p>
            <w:pPr>
              <w:adjustRightInd w:val="0"/>
              <w:snapToGrid w:val="0"/>
              <w:spacing w:line="240" w:lineRule="exact"/>
              <w:rPr>
                <w:rFonts w:ascii="宋体" w:hAnsi="宋体" w:cs="宋体"/>
                <w:spacing w:val="-2"/>
                <w:szCs w:val="21"/>
              </w:rPr>
            </w:pPr>
            <w:r>
              <w:rPr>
                <w:rFonts w:hint="eastAsia" w:ascii="宋体" w:hAnsi="宋体" w:cs="宋体"/>
                <w:spacing w:val="-2"/>
                <w:szCs w:val="21"/>
              </w:rPr>
              <w:t>使用符合国家标准油品，加强设备维护；试油期产生的伴生气不稳定无法进行回收，经排气管线燃烧后排放；对易起尘物料遮盖，加强车辆管理</w:t>
            </w:r>
          </w:p>
        </w:tc>
        <w:tc>
          <w:tcPr>
            <w:tcW w:w="1007" w:type="pct"/>
            <w:vAlign w:val="center"/>
          </w:tcPr>
          <w:p>
            <w:pPr>
              <w:adjustRightInd w:val="0"/>
              <w:snapToGrid w:val="0"/>
              <w:spacing w:line="240" w:lineRule="exact"/>
              <w:rPr>
                <w:rFonts w:ascii="宋体" w:hAnsi="宋体" w:cs="宋体"/>
                <w:szCs w:val="21"/>
              </w:rPr>
            </w:pPr>
            <w:r>
              <w:rPr>
                <w:rFonts w:hint="eastAsia" w:ascii="宋体" w:hAnsi="宋体" w:cs="宋体"/>
                <w:szCs w:val="21"/>
              </w:rPr>
              <w:t>/</w:t>
            </w:r>
          </w:p>
        </w:tc>
        <w:tc>
          <w:tcPr>
            <w:tcW w:w="40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33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固体废物</w:t>
            </w:r>
          </w:p>
        </w:tc>
        <w:tc>
          <w:tcPr>
            <w:tcW w:w="2643" w:type="pct"/>
            <w:vAlign w:val="center"/>
          </w:tcPr>
          <w:p>
            <w:pPr>
              <w:adjustRightInd w:val="0"/>
              <w:snapToGrid w:val="0"/>
              <w:spacing w:line="240" w:lineRule="exact"/>
              <w:rPr>
                <w:rFonts w:ascii="宋体" w:hAnsi="宋体" w:cs="宋体"/>
                <w:spacing w:val="-2"/>
                <w:szCs w:val="21"/>
              </w:rPr>
            </w:pPr>
            <w:r>
              <w:rPr>
                <w:rFonts w:hint="eastAsia" w:ascii="宋体" w:hAnsi="宋体" w:cs="宋体"/>
                <w:spacing w:val="-2"/>
                <w:szCs w:val="21"/>
              </w:rPr>
              <w:t>①钻井岩屑采用不落地系统进行处理，水基钻井岩屑委托岩屑处置单位定期拉运、处置，油基钻井岩屑委托具有相应危废处理资质的单位负责接收、转运、处置；②废防渗材料：</w:t>
            </w:r>
            <w:r>
              <w:rPr>
                <w:rFonts w:hint="eastAsia"/>
              </w:rPr>
              <w:t>井场铺设的防渗膜</w:t>
            </w:r>
            <w:r>
              <w:rPr>
                <w:rFonts w:hint="eastAsia" w:cs="宋体"/>
              </w:rPr>
              <w:t>由施工单位回收利用，沾油的废防渗材料</w:t>
            </w:r>
            <w:r>
              <w:rPr>
                <w:rFonts w:hint="eastAsia"/>
              </w:rPr>
              <w:t>由危废处置单位负责</w:t>
            </w:r>
            <w:r>
              <w:rPr>
                <w:rFonts w:hint="eastAsia" w:cs="宋体"/>
              </w:rPr>
              <w:t>接收、转运和处置</w:t>
            </w:r>
            <w:r>
              <w:rPr>
                <w:rFonts w:hint="eastAsia" w:ascii="宋体" w:hAnsi="宋体" w:cs="宋体"/>
                <w:spacing w:val="-2"/>
                <w:szCs w:val="21"/>
              </w:rPr>
              <w:t>；③生活垃圾：集中收集后定期送至克拉玛依市生活垃圾填埋场填埋处置</w:t>
            </w:r>
          </w:p>
        </w:tc>
        <w:tc>
          <w:tcPr>
            <w:tcW w:w="1007" w:type="pct"/>
            <w:vAlign w:val="center"/>
          </w:tcPr>
          <w:p>
            <w:pPr>
              <w:adjustRightInd w:val="0"/>
              <w:snapToGrid w:val="0"/>
              <w:spacing w:line="240" w:lineRule="exact"/>
              <w:rPr>
                <w:rFonts w:ascii="宋体" w:hAnsi="宋体" w:cs="宋体"/>
                <w:spacing w:val="16"/>
                <w:szCs w:val="21"/>
              </w:rPr>
            </w:pPr>
            <w:r>
              <w:rPr>
                <w:rFonts w:hint="eastAsia" w:ascii="宋体" w:hAnsi="宋体" w:cs="宋体"/>
                <w:spacing w:val="16"/>
                <w:szCs w:val="21"/>
              </w:rPr>
              <w:t>①钻井岩屑签订处置协议；</w:t>
            </w:r>
            <w:r>
              <w:rPr>
                <w:rFonts w:hint="eastAsia" w:hAnsi="宋体" w:cs="宋体"/>
                <w:szCs w:val="21"/>
              </w:rPr>
              <w:t>②查阅危险废物台账，检查现场是否有遗留；</w:t>
            </w:r>
            <w:r>
              <w:rPr>
                <w:rFonts w:hint="eastAsia" w:ascii="宋体" w:hAnsi="宋体" w:cs="宋体"/>
                <w:szCs w:val="21"/>
              </w:rPr>
              <w:t>③废防渗材料签订处置协议</w:t>
            </w:r>
            <w:r>
              <w:rPr>
                <w:rFonts w:hint="eastAsia"/>
              </w:rPr>
              <w:t>。</w:t>
            </w:r>
            <w:r>
              <w:rPr>
                <w:rFonts w:hint="eastAsia" w:hAnsi="宋体" w:cs="宋体"/>
                <w:szCs w:val="21"/>
              </w:rPr>
              <w:t>查阅危险废物台账，检查现场是否有遗留；</w:t>
            </w:r>
            <w:r>
              <w:rPr>
                <w:rFonts w:hint="eastAsia" w:ascii="宋体" w:hAnsi="宋体" w:cs="宋体"/>
                <w:spacing w:val="16"/>
                <w:szCs w:val="21"/>
              </w:rPr>
              <w:t>④生活垃圾签订接收协议</w:t>
            </w:r>
          </w:p>
        </w:tc>
        <w:tc>
          <w:tcPr>
            <w:tcW w:w="40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33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电磁环境</w:t>
            </w:r>
          </w:p>
        </w:tc>
        <w:tc>
          <w:tcPr>
            <w:tcW w:w="2643"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007"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40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33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环境风险</w:t>
            </w:r>
          </w:p>
        </w:tc>
        <w:tc>
          <w:tcPr>
            <w:tcW w:w="2643" w:type="pct"/>
            <w:vAlign w:val="center"/>
          </w:tcPr>
          <w:p>
            <w:pPr>
              <w:adjustRightInd w:val="0"/>
              <w:snapToGrid w:val="0"/>
              <w:spacing w:line="240" w:lineRule="exact"/>
              <w:ind w:left="105" w:hanging="105" w:hangingChars="50"/>
              <w:rPr>
                <w:rFonts w:ascii="宋体" w:hAnsi="宋体" w:cs="宋体"/>
                <w:szCs w:val="21"/>
              </w:rPr>
            </w:pPr>
            <w:r>
              <w:rPr>
                <w:rFonts w:hint="eastAsia" w:ascii="宋体" w:hAnsi="宋体" w:cs="宋体"/>
                <w:szCs w:val="21"/>
              </w:rPr>
              <w:t>施工时应严格执行相关风险防范措施和规章制度，严禁违规操作加强设备维修与巡检，避免储罐泄漏事故的发生。应将本项目纳入《新疆油田分公司勘探事业部突发环境事件应急预案》</w:t>
            </w:r>
          </w:p>
        </w:tc>
        <w:tc>
          <w:tcPr>
            <w:tcW w:w="1007"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40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33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0"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环境监测</w:t>
            </w:r>
          </w:p>
        </w:tc>
        <w:tc>
          <w:tcPr>
            <w:tcW w:w="2643"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1007"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40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33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82" w:hRule="atLeast"/>
          <w:jc w:val="center"/>
        </w:trPr>
        <w:tc>
          <w:tcPr>
            <w:tcW w:w="610"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其他</w:t>
            </w:r>
          </w:p>
        </w:tc>
        <w:tc>
          <w:tcPr>
            <w:tcW w:w="2643" w:type="pct"/>
            <w:vAlign w:val="center"/>
          </w:tcPr>
          <w:p>
            <w:pPr>
              <w:adjustRightInd w:val="0"/>
              <w:snapToGrid w:val="0"/>
              <w:spacing w:line="240" w:lineRule="exact"/>
              <w:rPr>
                <w:rFonts w:ascii="宋体" w:hAnsi="宋体" w:cs="宋体"/>
                <w:szCs w:val="21"/>
              </w:rPr>
            </w:pPr>
            <w:r>
              <w:rPr>
                <w:rFonts w:ascii="宋体" w:hAnsi="宋体" w:cs="宋体"/>
                <w:szCs w:val="21"/>
              </w:rPr>
              <w:t>施工单位应建立环境保护档案，保存施工前后项目区的影像资料，使施工全过程各类污染物产生、去向和各个污染措施及实施情况均记录在案。建设单位对施工单位钻井期间进行环保日常检查并做好记录；完工交井前，建设单位主管部门现场验收，合格后方可记录为完工，做到工完料净场地清，并做好记录</w:t>
            </w:r>
          </w:p>
        </w:tc>
        <w:tc>
          <w:tcPr>
            <w:tcW w:w="1007" w:type="pct"/>
            <w:vAlign w:val="center"/>
          </w:tcPr>
          <w:p>
            <w:pPr>
              <w:adjustRightInd w:val="0"/>
              <w:snapToGrid w:val="0"/>
              <w:spacing w:line="240" w:lineRule="exact"/>
              <w:rPr>
                <w:rFonts w:ascii="宋体" w:hAnsi="宋体" w:cs="宋体"/>
                <w:szCs w:val="21"/>
              </w:rPr>
            </w:pPr>
            <w:r>
              <w:rPr>
                <w:rFonts w:hint="eastAsia" w:ascii="宋体" w:hAnsi="宋体" w:cs="宋体"/>
                <w:szCs w:val="21"/>
              </w:rPr>
              <w:t>环境管理制度是否建立并完善，环保机构及人员是否设置到位；是否保留必要的影像资料</w:t>
            </w:r>
          </w:p>
        </w:tc>
        <w:tc>
          <w:tcPr>
            <w:tcW w:w="40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c>
          <w:tcPr>
            <w:tcW w:w="335" w:type="pct"/>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w:t>
            </w:r>
          </w:p>
        </w:tc>
      </w:tr>
    </w:tbl>
    <w:p>
      <w:pPr>
        <w:pStyle w:val="14"/>
        <w:spacing w:before="249" w:beforeLines="80" w:beforeAutospacing="0"/>
        <w:jc w:val="center"/>
        <w:outlineLvl w:val="0"/>
        <w:rPr>
          <w:rFonts w:ascii="黑体" w:hAnsi="黑体" w:eastAsia="黑体"/>
          <w:snapToGrid w:val="0"/>
          <w:sz w:val="30"/>
          <w:szCs w:val="30"/>
        </w:rPr>
      </w:pPr>
      <w:r>
        <w:rPr>
          <w:rFonts w:hint="eastAsia" w:ascii="黑体" w:hAnsi="黑体" w:eastAsia="黑体"/>
          <w:snapToGrid w:val="0"/>
          <w:sz w:val="30"/>
          <w:szCs w:val="30"/>
        </w:rPr>
        <w:t>七、结论</w:t>
      </w:r>
    </w:p>
    <w:tbl>
      <w:tblPr>
        <w:tblStyle w:val="17"/>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8779" w:type="dxa"/>
          </w:tcPr>
          <w:p>
            <w:pPr>
              <w:pStyle w:val="46"/>
              <w:ind w:firstLine="480"/>
              <w:rPr>
                <w:rFonts w:cs="宋体"/>
                <w:szCs w:val="21"/>
              </w:rPr>
            </w:pPr>
            <w:r>
              <w:rPr>
                <w:rFonts w:hint="eastAsia"/>
              </w:rPr>
              <w:t>本项目符合国家产业政策</w:t>
            </w:r>
            <w:r>
              <w:rPr>
                <w:rFonts w:hint="eastAsia" w:cs="宋体"/>
              </w:rPr>
              <w:t>、“三线一单”和相关规划</w:t>
            </w:r>
            <w:r>
              <w:rPr>
                <w:rFonts w:hint="eastAsia"/>
              </w:rPr>
              <w:t>，选址选线合理，在严格执行已有各项环保政策、规定，认真落实报告表中提出的污染防治措施和生态影响减缓措施的前提下，从生态环境保护角度分析建设可行。</w:t>
            </w:r>
          </w:p>
        </w:tc>
      </w:tr>
    </w:tbl>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33</w:t>
    </w:r>
    <w:r>
      <w:rPr>
        <w:rStyle w:val="24"/>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678521"/>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5940702"/>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p>
    <w:pPr>
      <w:pStyle w:val="12"/>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trackedChanges"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OTIwNmZkZDZhZWZhNDk2NzhjNDFiMDFlMDI5OWMifQ=="/>
  </w:docVars>
  <w:rsids>
    <w:rsidRoot w:val="00A14947"/>
    <w:rsid w:val="00001CED"/>
    <w:rsid w:val="00001E67"/>
    <w:rsid w:val="0000246F"/>
    <w:rsid w:val="0000290E"/>
    <w:rsid w:val="000033D4"/>
    <w:rsid w:val="00003422"/>
    <w:rsid w:val="00003B91"/>
    <w:rsid w:val="00003CD8"/>
    <w:rsid w:val="0000642B"/>
    <w:rsid w:val="000065E5"/>
    <w:rsid w:val="00007E84"/>
    <w:rsid w:val="00010CF3"/>
    <w:rsid w:val="0001115A"/>
    <w:rsid w:val="000111E7"/>
    <w:rsid w:val="000130BC"/>
    <w:rsid w:val="00014965"/>
    <w:rsid w:val="0001523A"/>
    <w:rsid w:val="000153AC"/>
    <w:rsid w:val="00015952"/>
    <w:rsid w:val="000164F1"/>
    <w:rsid w:val="00016B41"/>
    <w:rsid w:val="00016ECB"/>
    <w:rsid w:val="00017A36"/>
    <w:rsid w:val="000203B2"/>
    <w:rsid w:val="00020F05"/>
    <w:rsid w:val="00023D50"/>
    <w:rsid w:val="000240C5"/>
    <w:rsid w:val="000254C1"/>
    <w:rsid w:val="00025BE6"/>
    <w:rsid w:val="00026684"/>
    <w:rsid w:val="000269F6"/>
    <w:rsid w:val="0002709D"/>
    <w:rsid w:val="00030585"/>
    <w:rsid w:val="00031939"/>
    <w:rsid w:val="00031A7D"/>
    <w:rsid w:val="00031D50"/>
    <w:rsid w:val="0003201E"/>
    <w:rsid w:val="00032769"/>
    <w:rsid w:val="00032D25"/>
    <w:rsid w:val="00033725"/>
    <w:rsid w:val="00035854"/>
    <w:rsid w:val="00036828"/>
    <w:rsid w:val="00036A77"/>
    <w:rsid w:val="000400B9"/>
    <w:rsid w:val="00040BA0"/>
    <w:rsid w:val="00040FA5"/>
    <w:rsid w:val="000420C7"/>
    <w:rsid w:val="00042F5D"/>
    <w:rsid w:val="00046BB1"/>
    <w:rsid w:val="00047E4D"/>
    <w:rsid w:val="00051554"/>
    <w:rsid w:val="0005219D"/>
    <w:rsid w:val="00054288"/>
    <w:rsid w:val="00054B0F"/>
    <w:rsid w:val="0005568F"/>
    <w:rsid w:val="000567BB"/>
    <w:rsid w:val="00057445"/>
    <w:rsid w:val="0005783C"/>
    <w:rsid w:val="00057D99"/>
    <w:rsid w:val="00057EB0"/>
    <w:rsid w:val="00060B22"/>
    <w:rsid w:val="0006153D"/>
    <w:rsid w:val="00061B1F"/>
    <w:rsid w:val="0006360E"/>
    <w:rsid w:val="0006389D"/>
    <w:rsid w:val="00064592"/>
    <w:rsid w:val="00064ACE"/>
    <w:rsid w:val="00064BFD"/>
    <w:rsid w:val="000655B3"/>
    <w:rsid w:val="00065FED"/>
    <w:rsid w:val="000664DB"/>
    <w:rsid w:val="000665A2"/>
    <w:rsid w:val="000669D7"/>
    <w:rsid w:val="00067DA1"/>
    <w:rsid w:val="0007127D"/>
    <w:rsid w:val="00071363"/>
    <w:rsid w:val="00071AE5"/>
    <w:rsid w:val="00074783"/>
    <w:rsid w:val="00076632"/>
    <w:rsid w:val="00077995"/>
    <w:rsid w:val="000779AD"/>
    <w:rsid w:val="000779F4"/>
    <w:rsid w:val="0008001C"/>
    <w:rsid w:val="0008011B"/>
    <w:rsid w:val="000801E0"/>
    <w:rsid w:val="00080AC5"/>
    <w:rsid w:val="00080E2A"/>
    <w:rsid w:val="00081260"/>
    <w:rsid w:val="0008140F"/>
    <w:rsid w:val="00082A29"/>
    <w:rsid w:val="00082B31"/>
    <w:rsid w:val="00082BAA"/>
    <w:rsid w:val="0008331D"/>
    <w:rsid w:val="000833EA"/>
    <w:rsid w:val="00083695"/>
    <w:rsid w:val="0008376B"/>
    <w:rsid w:val="00083C18"/>
    <w:rsid w:val="00084C01"/>
    <w:rsid w:val="00085283"/>
    <w:rsid w:val="00090462"/>
    <w:rsid w:val="000906CC"/>
    <w:rsid w:val="000908FE"/>
    <w:rsid w:val="00091CEE"/>
    <w:rsid w:val="0009262E"/>
    <w:rsid w:val="00092899"/>
    <w:rsid w:val="000934C6"/>
    <w:rsid w:val="00094299"/>
    <w:rsid w:val="000947CB"/>
    <w:rsid w:val="0009646D"/>
    <w:rsid w:val="00097858"/>
    <w:rsid w:val="000A0A9C"/>
    <w:rsid w:val="000A1121"/>
    <w:rsid w:val="000A178E"/>
    <w:rsid w:val="000A19D8"/>
    <w:rsid w:val="000A21C6"/>
    <w:rsid w:val="000A297B"/>
    <w:rsid w:val="000A2D93"/>
    <w:rsid w:val="000A40A1"/>
    <w:rsid w:val="000A441F"/>
    <w:rsid w:val="000A45C3"/>
    <w:rsid w:val="000A4741"/>
    <w:rsid w:val="000A557E"/>
    <w:rsid w:val="000A5B94"/>
    <w:rsid w:val="000A6A18"/>
    <w:rsid w:val="000A6AFF"/>
    <w:rsid w:val="000A7D80"/>
    <w:rsid w:val="000B0246"/>
    <w:rsid w:val="000B058F"/>
    <w:rsid w:val="000B0CF3"/>
    <w:rsid w:val="000B0D1C"/>
    <w:rsid w:val="000B1C48"/>
    <w:rsid w:val="000B1D52"/>
    <w:rsid w:val="000B423D"/>
    <w:rsid w:val="000B54B1"/>
    <w:rsid w:val="000B557A"/>
    <w:rsid w:val="000B67C6"/>
    <w:rsid w:val="000B693F"/>
    <w:rsid w:val="000B71F0"/>
    <w:rsid w:val="000C09AC"/>
    <w:rsid w:val="000C0A63"/>
    <w:rsid w:val="000C1F4B"/>
    <w:rsid w:val="000C2869"/>
    <w:rsid w:val="000C437E"/>
    <w:rsid w:val="000C52FD"/>
    <w:rsid w:val="000C61D6"/>
    <w:rsid w:val="000C6AF9"/>
    <w:rsid w:val="000C7594"/>
    <w:rsid w:val="000C7A85"/>
    <w:rsid w:val="000D000D"/>
    <w:rsid w:val="000D01FA"/>
    <w:rsid w:val="000D0BD6"/>
    <w:rsid w:val="000D0E71"/>
    <w:rsid w:val="000D4169"/>
    <w:rsid w:val="000D46EE"/>
    <w:rsid w:val="000D6189"/>
    <w:rsid w:val="000D62CA"/>
    <w:rsid w:val="000D6AD2"/>
    <w:rsid w:val="000D7600"/>
    <w:rsid w:val="000E21A8"/>
    <w:rsid w:val="000E2694"/>
    <w:rsid w:val="000E2DFD"/>
    <w:rsid w:val="000E40E3"/>
    <w:rsid w:val="000E45A3"/>
    <w:rsid w:val="000E55FD"/>
    <w:rsid w:val="000E5862"/>
    <w:rsid w:val="000E5F16"/>
    <w:rsid w:val="000F118E"/>
    <w:rsid w:val="000F1200"/>
    <w:rsid w:val="000F1A2E"/>
    <w:rsid w:val="000F21C1"/>
    <w:rsid w:val="000F4452"/>
    <w:rsid w:val="000F6DA1"/>
    <w:rsid w:val="000F701B"/>
    <w:rsid w:val="00100317"/>
    <w:rsid w:val="001004C7"/>
    <w:rsid w:val="00100DAB"/>
    <w:rsid w:val="00101164"/>
    <w:rsid w:val="00101235"/>
    <w:rsid w:val="001035A3"/>
    <w:rsid w:val="00103690"/>
    <w:rsid w:val="0010403A"/>
    <w:rsid w:val="001042E3"/>
    <w:rsid w:val="0010561F"/>
    <w:rsid w:val="001056A0"/>
    <w:rsid w:val="00105992"/>
    <w:rsid w:val="001067A0"/>
    <w:rsid w:val="001113B0"/>
    <w:rsid w:val="001126FD"/>
    <w:rsid w:val="00113C1D"/>
    <w:rsid w:val="00114101"/>
    <w:rsid w:val="00114FE9"/>
    <w:rsid w:val="00115279"/>
    <w:rsid w:val="00115697"/>
    <w:rsid w:val="00115ABF"/>
    <w:rsid w:val="00116D18"/>
    <w:rsid w:val="00117459"/>
    <w:rsid w:val="0011749A"/>
    <w:rsid w:val="00120FF7"/>
    <w:rsid w:val="0012126B"/>
    <w:rsid w:val="0012175E"/>
    <w:rsid w:val="0012261A"/>
    <w:rsid w:val="00122A7B"/>
    <w:rsid w:val="00123121"/>
    <w:rsid w:val="00125185"/>
    <w:rsid w:val="00125423"/>
    <w:rsid w:val="00125F06"/>
    <w:rsid w:val="0012611D"/>
    <w:rsid w:val="00127A68"/>
    <w:rsid w:val="00130D2C"/>
    <w:rsid w:val="00131BD8"/>
    <w:rsid w:val="001324B4"/>
    <w:rsid w:val="001327F7"/>
    <w:rsid w:val="00140B13"/>
    <w:rsid w:val="00140B52"/>
    <w:rsid w:val="00140E49"/>
    <w:rsid w:val="001411A8"/>
    <w:rsid w:val="001413B5"/>
    <w:rsid w:val="00141945"/>
    <w:rsid w:val="00141B68"/>
    <w:rsid w:val="0014292D"/>
    <w:rsid w:val="00143C59"/>
    <w:rsid w:val="00145ABA"/>
    <w:rsid w:val="0014618C"/>
    <w:rsid w:val="001466DA"/>
    <w:rsid w:val="00150145"/>
    <w:rsid w:val="00150866"/>
    <w:rsid w:val="0015112F"/>
    <w:rsid w:val="00151749"/>
    <w:rsid w:val="001521FE"/>
    <w:rsid w:val="00152FCB"/>
    <w:rsid w:val="00154DE1"/>
    <w:rsid w:val="00155386"/>
    <w:rsid w:val="00155B40"/>
    <w:rsid w:val="001562D0"/>
    <w:rsid w:val="00157435"/>
    <w:rsid w:val="001617FA"/>
    <w:rsid w:val="00162C03"/>
    <w:rsid w:val="00162C8B"/>
    <w:rsid w:val="00163EEA"/>
    <w:rsid w:val="001647D9"/>
    <w:rsid w:val="00164899"/>
    <w:rsid w:val="0016492C"/>
    <w:rsid w:val="00165D4A"/>
    <w:rsid w:val="00165E33"/>
    <w:rsid w:val="00167A07"/>
    <w:rsid w:val="0017046A"/>
    <w:rsid w:val="001704A3"/>
    <w:rsid w:val="00172291"/>
    <w:rsid w:val="00172693"/>
    <w:rsid w:val="00173555"/>
    <w:rsid w:val="001735A9"/>
    <w:rsid w:val="001742FB"/>
    <w:rsid w:val="001743B9"/>
    <w:rsid w:val="001744DD"/>
    <w:rsid w:val="00174675"/>
    <w:rsid w:val="00174BD3"/>
    <w:rsid w:val="00174EAE"/>
    <w:rsid w:val="0017504D"/>
    <w:rsid w:val="00177422"/>
    <w:rsid w:val="00177D99"/>
    <w:rsid w:val="001800F6"/>
    <w:rsid w:val="001808D3"/>
    <w:rsid w:val="00180BD4"/>
    <w:rsid w:val="00180FFE"/>
    <w:rsid w:val="00181214"/>
    <w:rsid w:val="00182446"/>
    <w:rsid w:val="00183803"/>
    <w:rsid w:val="00183966"/>
    <w:rsid w:val="00183BE2"/>
    <w:rsid w:val="00184F10"/>
    <w:rsid w:val="00185546"/>
    <w:rsid w:val="00186441"/>
    <w:rsid w:val="001866AE"/>
    <w:rsid w:val="00186801"/>
    <w:rsid w:val="00186955"/>
    <w:rsid w:val="00186AAD"/>
    <w:rsid w:val="00190A52"/>
    <w:rsid w:val="0019146B"/>
    <w:rsid w:val="001931B9"/>
    <w:rsid w:val="00194398"/>
    <w:rsid w:val="00194E09"/>
    <w:rsid w:val="001950F3"/>
    <w:rsid w:val="00195EB1"/>
    <w:rsid w:val="00195F19"/>
    <w:rsid w:val="00195F75"/>
    <w:rsid w:val="001960E6"/>
    <w:rsid w:val="0019642B"/>
    <w:rsid w:val="001A0FFE"/>
    <w:rsid w:val="001A26A1"/>
    <w:rsid w:val="001A2A2C"/>
    <w:rsid w:val="001A4336"/>
    <w:rsid w:val="001A462A"/>
    <w:rsid w:val="001A5105"/>
    <w:rsid w:val="001A6C5B"/>
    <w:rsid w:val="001A7600"/>
    <w:rsid w:val="001A7D2A"/>
    <w:rsid w:val="001A7F98"/>
    <w:rsid w:val="001B02A4"/>
    <w:rsid w:val="001B111A"/>
    <w:rsid w:val="001B11F2"/>
    <w:rsid w:val="001B1BA3"/>
    <w:rsid w:val="001B1D3C"/>
    <w:rsid w:val="001B206B"/>
    <w:rsid w:val="001B30F8"/>
    <w:rsid w:val="001B39F5"/>
    <w:rsid w:val="001B553E"/>
    <w:rsid w:val="001B574C"/>
    <w:rsid w:val="001B636D"/>
    <w:rsid w:val="001B7898"/>
    <w:rsid w:val="001C0AF9"/>
    <w:rsid w:val="001C0DBF"/>
    <w:rsid w:val="001C155A"/>
    <w:rsid w:val="001C2227"/>
    <w:rsid w:val="001C22EE"/>
    <w:rsid w:val="001C232A"/>
    <w:rsid w:val="001C2DE7"/>
    <w:rsid w:val="001C3246"/>
    <w:rsid w:val="001C33A6"/>
    <w:rsid w:val="001C4204"/>
    <w:rsid w:val="001C48C0"/>
    <w:rsid w:val="001C4BE9"/>
    <w:rsid w:val="001C5DE7"/>
    <w:rsid w:val="001C5F23"/>
    <w:rsid w:val="001C6B2E"/>
    <w:rsid w:val="001D003F"/>
    <w:rsid w:val="001D0B02"/>
    <w:rsid w:val="001D0B06"/>
    <w:rsid w:val="001D2383"/>
    <w:rsid w:val="001D2EE0"/>
    <w:rsid w:val="001D3400"/>
    <w:rsid w:val="001D383D"/>
    <w:rsid w:val="001D407A"/>
    <w:rsid w:val="001D4F83"/>
    <w:rsid w:val="001D6726"/>
    <w:rsid w:val="001D7094"/>
    <w:rsid w:val="001D7697"/>
    <w:rsid w:val="001E17D3"/>
    <w:rsid w:val="001E25AD"/>
    <w:rsid w:val="001E37F4"/>
    <w:rsid w:val="001E52EE"/>
    <w:rsid w:val="001E6D40"/>
    <w:rsid w:val="001E6F31"/>
    <w:rsid w:val="001E7A57"/>
    <w:rsid w:val="001F085F"/>
    <w:rsid w:val="001F0B97"/>
    <w:rsid w:val="001F16AF"/>
    <w:rsid w:val="001F19D0"/>
    <w:rsid w:val="001F21D9"/>
    <w:rsid w:val="001F3347"/>
    <w:rsid w:val="001F3448"/>
    <w:rsid w:val="001F4440"/>
    <w:rsid w:val="001F4FB3"/>
    <w:rsid w:val="001F57CA"/>
    <w:rsid w:val="001F621C"/>
    <w:rsid w:val="001F69E4"/>
    <w:rsid w:val="001F74AD"/>
    <w:rsid w:val="001F7C24"/>
    <w:rsid w:val="00200AA8"/>
    <w:rsid w:val="002015C9"/>
    <w:rsid w:val="00202026"/>
    <w:rsid w:val="00202828"/>
    <w:rsid w:val="002032C2"/>
    <w:rsid w:val="00203CC5"/>
    <w:rsid w:val="00204335"/>
    <w:rsid w:val="00204BB1"/>
    <w:rsid w:val="0020516A"/>
    <w:rsid w:val="00205491"/>
    <w:rsid w:val="0020599C"/>
    <w:rsid w:val="00205FFC"/>
    <w:rsid w:val="002061FA"/>
    <w:rsid w:val="00206300"/>
    <w:rsid w:val="00206A65"/>
    <w:rsid w:val="00206D61"/>
    <w:rsid w:val="00210ACC"/>
    <w:rsid w:val="002120D9"/>
    <w:rsid w:val="00212D31"/>
    <w:rsid w:val="002130C7"/>
    <w:rsid w:val="00213FC4"/>
    <w:rsid w:val="00214AB1"/>
    <w:rsid w:val="002174D5"/>
    <w:rsid w:val="002209AE"/>
    <w:rsid w:val="00220C58"/>
    <w:rsid w:val="0022113F"/>
    <w:rsid w:val="002215B6"/>
    <w:rsid w:val="002218A8"/>
    <w:rsid w:val="00221C85"/>
    <w:rsid w:val="002229B2"/>
    <w:rsid w:val="00222DA5"/>
    <w:rsid w:val="0022306D"/>
    <w:rsid w:val="002235AE"/>
    <w:rsid w:val="002238A9"/>
    <w:rsid w:val="00225032"/>
    <w:rsid w:val="00226574"/>
    <w:rsid w:val="0022744B"/>
    <w:rsid w:val="002278EC"/>
    <w:rsid w:val="0023192C"/>
    <w:rsid w:val="00233386"/>
    <w:rsid w:val="002333D1"/>
    <w:rsid w:val="00233EE0"/>
    <w:rsid w:val="00234095"/>
    <w:rsid w:val="00234C87"/>
    <w:rsid w:val="002352C8"/>
    <w:rsid w:val="002357C7"/>
    <w:rsid w:val="002361ED"/>
    <w:rsid w:val="002367C4"/>
    <w:rsid w:val="00236EE2"/>
    <w:rsid w:val="00237058"/>
    <w:rsid w:val="002401D4"/>
    <w:rsid w:val="00240523"/>
    <w:rsid w:val="00241E25"/>
    <w:rsid w:val="0024339B"/>
    <w:rsid w:val="00244154"/>
    <w:rsid w:val="002445E5"/>
    <w:rsid w:val="0024530D"/>
    <w:rsid w:val="00246395"/>
    <w:rsid w:val="002505A3"/>
    <w:rsid w:val="00250E25"/>
    <w:rsid w:val="0025244D"/>
    <w:rsid w:val="002538B0"/>
    <w:rsid w:val="002543F4"/>
    <w:rsid w:val="00254F1C"/>
    <w:rsid w:val="00254F8F"/>
    <w:rsid w:val="0025679E"/>
    <w:rsid w:val="002568C8"/>
    <w:rsid w:val="00257109"/>
    <w:rsid w:val="002572DE"/>
    <w:rsid w:val="0025748B"/>
    <w:rsid w:val="002577A5"/>
    <w:rsid w:val="002577CE"/>
    <w:rsid w:val="00260C68"/>
    <w:rsid w:val="002648B0"/>
    <w:rsid w:val="00264E5A"/>
    <w:rsid w:val="00264F5B"/>
    <w:rsid w:val="00265CD1"/>
    <w:rsid w:val="00265E22"/>
    <w:rsid w:val="00265FA4"/>
    <w:rsid w:val="002667DC"/>
    <w:rsid w:val="00267442"/>
    <w:rsid w:val="0027000E"/>
    <w:rsid w:val="00270DC8"/>
    <w:rsid w:val="0027157D"/>
    <w:rsid w:val="002716C9"/>
    <w:rsid w:val="00272075"/>
    <w:rsid w:val="002729DF"/>
    <w:rsid w:val="00274EE2"/>
    <w:rsid w:val="00275182"/>
    <w:rsid w:val="00275271"/>
    <w:rsid w:val="0027535E"/>
    <w:rsid w:val="00275AA6"/>
    <w:rsid w:val="00275B91"/>
    <w:rsid w:val="00275EA7"/>
    <w:rsid w:val="00277D19"/>
    <w:rsid w:val="0028036C"/>
    <w:rsid w:val="002803E1"/>
    <w:rsid w:val="002807D5"/>
    <w:rsid w:val="00280E80"/>
    <w:rsid w:val="00281078"/>
    <w:rsid w:val="00281FB5"/>
    <w:rsid w:val="00282768"/>
    <w:rsid w:val="00282C2E"/>
    <w:rsid w:val="00282CCD"/>
    <w:rsid w:val="00283A82"/>
    <w:rsid w:val="0028452C"/>
    <w:rsid w:val="00285D13"/>
    <w:rsid w:val="00286C59"/>
    <w:rsid w:val="0028712D"/>
    <w:rsid w:val="0029283E"/>
    <w:rsid w:val="00293564"/>
    <w:rsid w:val="00293DB4"/>
    <w:rsid w:val="00293F5D"/>
    <w:rsid w:val="002948ED"/>
    <w:rsid w:val="00294EE9"/>
    <w:rsid w:val="002952BE"/>
    <w:rsid w:val="00295B5D"/>
    <w:rsid w:val="0029616E"/>
    <w:rsid w:val="002972F6"/>
    <w:rsid w:val="00297371"/>
    <w:rsid w:val="002978A9"/>
    <w:rsid w:val="002A168C"/>
    <w:rsid w:val="002A1E22"/>
    <w:rsid w:val="002A2C48"/>
    <w:rsid w:val="002A3BCC"/>
    <w:rsid w:val="002A3EED"/>
    <w:rsid w:val="002A4260"/>
    <w:rsid w:val="002A4A39"/>
    <w:rsid w:val="002A4A51"/>
    <w:rsid w:val="002A565C"/>
    <w:rsid w:val="002A5693"/>
    <w:rsid w:val="002A5A17"/>
    <w:rsid w:val="002A6425"/>
    <w:rsid w:val="002A687F"/>
    <w:rsid w:val="002A6963"/>
    <w:rsid w:val="002A7374"/>
    <w:rsid w:val="002A7B8F"/>
    <w:rsid w:val="002B1FE8"/>
    <w:rsid w:val="002B3200"/>
    <w:rsid w:val="002B3FB8"/>
    <w:rsid w:val="002B4079"/>
    <w:rsid w:val="002B4579"/>
    <w:rsid w:val="002B49E2"/>
    <w:rsid w:val="002B5734"/>
    <w:rsid w:val="002B6EE6"/>
    <w:rsid w:val="002B7B00"/>
    <w:rsid w:val="002B7C44"/>
    <w:rsid w:val="002B7D4C"/>
    <w:rsid w:val="002C122E"/>
    <w:rsid w:val="002C1388"/>
    <w:rsid w:val="002C18C3"/>
    <w:rsid w:val="002C30A2"/>
    <w:rsid w:val="002C3C6A"/>
    <w:rsid w:val="002C4579"/>
    <w:rsid w:val="002C471F"/>
    <w:rsid w:val="002C4870"/>
    <w:rsid w:val="002C501C"/>
    <w:rsid w:val="002C5040"/>
    <w:rsid w:val="002C5105"/>
    <w:rsid w:val="002C5EAE"/>
    <w:rsid w:val="002D02AC"/>
    <w:rsid w:val="002D0A64"/>
    <w:rsid w:val="002D21AC"/>
    <w:rsid w:val="002D313A"/>
    <w:rsid w:val="002D3378"/>
    <w:rsid w:val="002D3B6F"/>
    <w:rsid w:val="002D41F8"/>
    <w:rsid w:val="002D42DB"/>
    <w:rsid w:val="002D610C"/>
    <w:rsid w:val="002D689F"/>
    <w:rsid w:val="002E0304"/>
    <w:rsid w:val="002E13F4"/>
    <w:rsid w:val="002E1F3A"/>
    <w:rsid w:val="002E298A"/>
    <w:rsid w:val="002E43BA"/>
    <w:rsid w:val="002E471F"/>
    <w:rsid w:val="002E4FBD"/>
    <w:rsid w:val="002F02A4"/>
    <w:rsid w:val="002F0B96"/>
    <w:rsid w:val="002F25F2"/>
    <w:rsid w:val="002F272B"/>
    <w:rsid w:val="002F33FB"/>
    <w:rsid w:val="002F34ED"/>
    <w:rsid w:val="002F4474"/>
    <w:rsid w:val="002F6E53"/>
    <w:rsid w:val="002F711E"/>
    <w:rsid w:val="002F7C6D"/>
    <w:rsid w:val="003002A2"/>
    <w:rsid w:val="00300DFE"/>
    <w:rsid w:val="003027E4"/>
    <w:rsid w:val="0030332C"/>
    <w:rsid w:val="00303586"/>
    <w:rsid w:val="00305DB2"/>
    <w:rsid w:val="00305E02"/>
    <w:rsid w:val="00307989"/>
    <w:rsid w:val="00307A0A"/>
    <w:rsid w:val="00310EE3"/>
    <w:rsid w:val="00311629"/>
    <w:rsid w:val="00311ADB"/>
    <w:rsid w:val="00311B42"/>
    <w:rsid w:val="00312296"/>
    <w:rsid w:val="00312997"/>
    <w:rsid w:val="00312B9B"/>
    <w:rsid w:val="0031340E"/>
    <w:rsid w:val="003149AD"/>
    <w:rsid w:val="00314FFA"/>
    <w:rsid w:val="00315159"/>
    <w:rsid w:val="00316464"/>
    <w:rsid w:val="00317980"/>
    <w:rsid w:val="0032016E"/>
    <w:rsid w:val="0032073A"/>
    <w:rsid w:val="00321637"/>
    <w:rsid w:val="00321D8E"/>
    <w:rsid w:val="00323D1C"/>
    <w:rsid w:val="00323DFF"/>
    <w:rsid w:val="00324769"/>
    <w:rsid w:val="00324ACE"/>
    <w:rsid w:val="003261FB"/>
    <w:rsid w:val="0032711F"/>
    <w:rsid w:val="00330A09"/>
    <w:rsid w:val="00331C35"/>
    <w:rsid w:val="00332DC0"/>
    <w:rsid w:val="00334996"/>
    <w:rsid w:val="00335921"/>
    <w:rsid w:val="00336969"/>
    <w:rsid w:val="00336C52"/>
    <w:rsid w:val="00337C3D"/>
    <w:rsid w:val="0034005B"/>
    <w:rsid w:val="00340907"/>
    <w:rsid w:val="0034153D"/>
    <w:rsid w:val="00341B3E"/>
    <w:rsid w:val="00341B42"/>
    <w:rsid w:val="00341ECF"/>
    <w:rsid w:val="00343CCB"/>
    <w:rsid w:val="00345154"/>
    <w:rsid w:val="0034560E"/>
    <w:rsid w:val="00345A5B"/>
    <w:rsid w:val="00347014"/>
    <w:rsid w:val="003472F5"/>
    <w:rsid w:val="00350523"/>
    <w:rsid w:val="00350644"/>
    <w:rsid w:val="003512A7"/>
    <w:rsid w:val="00352975"/>
    <w:rsid w:val="0035652C"/>
    <w:rsid w:val="00356868"/>
    <w:rsid w:val="0036003E"/>
    <w:rsid w:val="00360779"/>
    <w:rsid w:val="00360E74"/>
    <w:rsid w:val="00363456"/>
    <w:rsid w:val="0036446B"/>
    <w:rsid w:val="0036485B"/>
    <w:rsid w:val="003651C4"/>
    <w:rsid w:val="00367511"/>
    <w:rsid w:val="00367611"/>
    <w:rsid w:val="00370B07"/>
    <w:rsid w:val="00372698"/>
    <w:rsid w:val="00372B6E"/>
    <w:rsid w:val="00373B0D"/>
    <w:rsid w:val="00375234"/>
    <w:rsid w:val="0037613C"/>
    <w:rsid w:val="00376988"/>
    <w:rsid w:val="003769F4"/>
    <w:rsid w:val="00376AC5"/>
    <w:rsid w:val="0037788B"/>
    <w:rsid w:val="00380FCF"/>
    <w:rsid w:val="00381A72"/>
    <w:rsid w:val="00381C3D"/>
    <w:rsid w:val="003824BD"/>
    <w:rsid w:val="00383E33"/>
    <w:rsid w:val="0038498D"/>
    <w:rsid w:val="0038593B"/>
    <w:rsid w:val="0038606A"/>
    <w:rsid w:val="003864DB"/>
    <w:rsid w:val="003866FF"/>
    <w:rsid w:val="0038679C"/>
    <w:rsid w:val="00392AE3"/>
    <w:rsid w:val="00392F34"/>
    <w:rsid w:val="0039334B"/>
    <w:rsid w:val="00393982"/>
    <w:rsid w:val="00393E7F"/>
    <w:rsid w:val="00397C72"/>
    <w:rsid w:val="00397E8D"/>
    <w:rsid w:val="003A009E"/>
    <w:rsid w:val="003A0F2A"/>
    <w:rsid w:val="003A1044"/>
    <w:rsid w:val="003A1948"/>
    <w:rsid w:val="003A23C5"/>
    <w:rsid w:val="003A243D"/>
    <w:rsid w:val="003A2BD0"/>
    <w:rsid w:val="003A3CD5"/>
    <w:rsid w:val="003A4A2D"/>
    <w:rsid w:val="003A4AD8"/>
    <w:rsid w:val="003A5378"/>
    <w:rsid w:val="003A5408"/>
    <w:rsid w:val="003A68E0"/>
    <w:rsid w:val="003A696F"/>
    <w:rsid w:val="003B152A"/>
    <w:rsid w:val="003B4B49"/>
    <w:rsid w:val="003B545B"/>
    <w:rsid w:val="003B718B"/>
    <w:rsid w:val="003B7341"/>
    <w:rsid w:val="003C0159"/>
    <w:rsid w:val="003C03CB"/>
    <w:rsid w:val="003C1649"/>
    <w:rsid w:val="003C2031"/>
    <w:rsid w:val="003C4C92"/>
    <w:rsid w:val="003C65DF"/>
    <w:rsid w:val="003C66B7"/>
    <w:rsid w:val="003C7BE9"/>
    <w:rsid w:val="003D08E2"/>
    <w:rsid w:val="003D2705"/>
    <w:rsid w:val="003D3544"/>
    <w:rsid w:val="003D3AF8"/>
    <w:rsid w:val="003D3EE9"/>
    <w:rsid w:val="003D45F4"/>
    <w:rsid w:val="003D6035"/>
    <w:rsid w:val="003D7493"/>
    <w:rsid w:val="003E17B1"/>
    <w:rsid w:val="003E1CEA"/>
    <w:rsid w:val="003E2113"/>
    <w:rsid w:val="003E2213"/>
    <w:rsid w:val="003E2724"/>
    <w:rsid w:val="003E419C"/>
    <w:rsid w:val="003E4703"/>
    <w:rsid w:val="003E4B41"/>
    <w:rsid w:val="003E4B9E"/>
    <w:rsid w:val="003E5A1D"/>
    <w:rsid w:val="003E691B"/>
    <w:rsid w:val="003E7681"/>
    <w:rsid w:val="003F0221"/>
    <w:rsid w:val="003F0809"/>
    <w:rsid w:val="003F232E"/>
    <w:rsid w:val="003F2821"/>
    <w:rsid w:val="003F2AE6"/>
    <w:rsid w:val="003F4042"/>
    <w:rsid w:val="003F611C"/>
    <w:rsid w:val="003F755C"/>
    <w:rsid w:val="003F7D58"/>
    <w:rsid w:val="004014B7"/>
    <w:rsid w:val="00401817"/>
    <w:rsid w:val="0040573A"/>
    <w:rsid w:val="004058CB"/>
    <w:rsid w:val="0040668A"/>
    <w:rsid w:val="004069CF"/>
    <w:rsid w:val="00406F01"/>
    <w:rsid w:val="00407744"/>
    <w:rsid w:val="004104CB"/>
    <w:rsid w:val="00410FC4"/>
    <w:rsid w:val="00411B36"/>
    <w:rsid w:val="004121D7"/>
    <w:rsid w:val="00412486"/>
    <w:rsid w:val="00415690"/>
    <w:rsid w:val="00416D50"/>
    <w:rsid w:val="00417157"/>
    <w:rsid w:val="00417772"/>
    <w:rsid w:val="00420394"/>
    <w:rsid w:val="004203AD"/>
    <w:rsid w:val="00420DC4"/>
    <w:rsid w:val="00420E6A"/>
    <w:rsid w:val="0042391B"/>
    <w:rsid w:val="00424CD0"/>
    <w:rsid w:val="00426451"/>
    <w:rsid w:val="00427152"/>
    <w:rsid w:val="0043130E"/>
    <w:rsid w:val="004327B7"/>
    <w:rsid w:val="004331B7"/>
    <w:rsid w:val="00433858"/>
    <w:rsid w:val="00433C6C"/>
    <w:rsid w:val="00433CA9"/>
    <w:rsid w:val="0043521D"/>
    <w:rsid w:val="00440500"/>
    <w:rsid w:val="004414C5"/>
    <w:rsid w:val="00441DB3"/>
    <w:rsid w:val="00441E17"/>
    <w:rsid w:val="00442024"/>
    <w:rsid w:val="004420AD"/>
    <w:rsid w:val="0044254C"/>
    <w:rsid w:val="00443D22"/>
    <w:rsid w:val="00443F6A"/>
    <w:rsid w:val="00443FF3"/>
    <w:rsid w:val="00444295"/>
    <w:rsid w:val="00447274"/>
    <w:rsid w:val="00450A17"/>
    <w:rsid w:val="00451A26"/>
    <w:rsid w:val="00451F33"/>
    <w:rsid w:val="00453DFF"/>
    <w:rsid w:val="00454C39"/>
    <w:rsid w:val="00454EDD"/>
    <w:rsid w:val="00456FBB"/>
    <w:rsid w:val="00460A0B"/>
    <w:rsid w:val="00460AE2"/>
    <w:rsid w:val="00461A65"/>
    <w:rsid w:val="00463ED3"/>
    <w:rsid w:val="00466321"/>
    <w:rsid w:val="0046660B"/>
    <w:rsid w:val="004667D8"/>
    <w:rsid w:val="00466C18"/>
    <w:rsid w:val="004672AF"/>
    <w:rsid w:val="004709BA"/>
    <w:rsid w:val="00470CED"/>
    <w:rsid w:val="00471BA0"/>
    <w:rsid w:val="004724EB"/>
    <w:rsid w:val="004727B0"/>
    <w:rsid w:val="004729CD"/>
    <w:rsid w:val="00472E8B"/>
    <w:rsid w:val="004735DC"/>
    <w:rsid w:val="00475AB3"/>
    <w:rsid w:val="004763AD"/>
    <w:rsid w:val="00476C1F"/>
    <w:rsid w:val="00477184"/>
    <w:rsid w:val="00477D9E"/>
    <w:rsid w:val="00480247"/>
    <w:rsid w:val="0048081D"/>
    <w:rsid w:val="0048117E"/>
    <w:rsid w:val="00481C7C"/>
    <w:rsid w:val="0048253C"/>
    <w:rsid w:val="00482CB9"/>
    <w:rsid w:val="00482EBA"/>
    <w:rsid w:val="00483A12"/>
    <w:rsid w:val="004840E1"/>
    <w:rsid w:val="00485554"/>
    <w:rsid w:val="004855D4"/>
    <w:rsid w:val="004855F6"/>
    <w:rsid w:val="004867EE"/>
    <w:rsid w:val="00486BA3"/>
    <w:rsid w:val="00486F0C"/>
    <w:rsid w:val="00490D2B"/>
    <w:rsid w:val="00490F98"/>
    <w:rsid w:val="00490F99"/>
    <w:rsid w:val="0049222E"/>
    <w:rsid w:val="004925EE"/>
    <w:rsid w:val="0049303A"/>
    <w:rsid w:val="00493160"/>
    <w:rsid w:val="00494670"/>
    <w:rsid w:val="004948C7"/>
    <w:rsid w:val="00494DAF"/>
    <w:rsid w:val="0049520A"/>
    <w:rsid w:val="00495416"/>
    <w:rsid w:val="004975ED"/>
    <w:rsid w:val="004A0C2A"/>
    <w:rsid w:val="004A0EB4"/>
    <w:rsid w:val="004A1846"/>
    <w:rsid w:val="004A25ED"/>
    <w:rsid w:val="004A26A5"/>
    <w:rsid w:val="004A3234"/>
    <w:rsid w:val="004A3823"/>
    <w:rsid w:val="004A389D"/>
    <w:rsid w:val="004A3AC4"/>
    <w:rsid w:val="004A426B"/>
    <w:rsid w:val="004A4937"/>
    <w:rsid w:val="004A4948"/>
    <w:rsid w:val="004A4C26"/>
    <w:rsid w:val="004A57F3"/>
    <w:rsid w:val="004A59BB"/>
    <w:rsid w:val="004B1EBA"/>
    <w:rsid w:val="004B2399"/>
    <w:rsid w:val="004B2C04"/>
    <w:rsid w:val="004B2C6B"/>
    <w:rsid w:val="004B37CF"/>
    <w:rsid w:val="004B43A3"/>
    <w:rsid w:val="004B4C49"/>
    <w:rsid w:val="004B5121"/>
    <w:rsid w:val="004B58A5"/>
    <w:rsid w:val="004B5C1A"/>
    <w:rsid w:val="004B63D9"/>
    <w:rsid w:val="004B70EE"/>
    <w:rsid w:val="004C0882"/>
    <w:rsid w:val="004C1448"/>
    <w:rsid w:val="004C2322"/>
    <w:rsid w:val="004C4C01"/>
    <w:rsid w:val="004C55BE"/>
    <w:rsid w:val="004C589E"/>
    <w:rsid w:val="004C69EB"/>
    <w:rsid w:val="004C6E7D"/>
    <w:rsid w:val="004C7978"/>
    <w:rsid w:val="004D16A1"/>
    <w:rsid w:val="004D2349"/>
    <w:rsid w:val="004D2D6F"/>
    <w:rsid w:val="004D3E71"/>
    <w:rsid w:val="004D41E5"/>
    <w:rsid w:val="004D421C"/>
    <w:rsid w:val="004D4FF0"/>
    <w:rsid w:val="004D5386"/>
    <w:rsid w:val="004D65B6"/>
    <w:rsid w:val="004D697D"/>
    <w:rsid w:val="004D6B96"/>
    <w:rsid w:val="004D6D32"/>
    <w:rsid w:val="004D73A9"/>
    <w:rsid w:val="004E05B5"/>
    <w:rsid w:val="004E10C2"/>
    <w:rsid w:val="004E3757"/>
    <w:rsid w:val="004E3DB1"/>
    <w:rsid w:val="004E457E"/>
    <w:rsid w:val="004E46DA"/>
    <w:rsid w:val="004E5B30"/>
    <w:rsid w:val="004E5F5E"/>
    <w:rsid w:val="004E6DC7"/>
    <w:rsid w:val="004E76C7"/>
    <w:rsid w:val="004E7BAA"/>
    <w:rsid w:val="004F0779"/>
    <w:rsid w:val="004F1230"/>
    <w:rsid w:val="004F173F"/>
    <w:rsid w:val="004F177C"/>
    <w:rsid w:val="004F2723"/>
    <w:rsid w:val="004F2917"/>
    <w:rsid w:val="004F2DCE"/>
    <w:rsid w:val="004F36D5"/>
    <w:rsid w:val="004F5892"/>
    <w:rsid w:val="00500597"/>
    <w:rsid w:val="005009EC"/>
    <w:rsid w:val="00500D38"/>
    <w:rsid w:val="0050176A"/>
    <w:rsid w:val="00501C76"/>
    <w:rsid w:val="005039CB"/>
    <w:rsid w:val="0050558F"/>
    <w:rsid w:val="005057E0"/>
    <w:rsid w:val="00506286"/>
    <w:rsid w:val="00506545"/>
    <w:rsid w:val="005068B2"/>
    <w:rsid w:val="0050718D"/>
    <w:rsid w:val="0050733D"/>
    <w:rsid w:val="005077BC"/>
    <w:rsid w:val="0051007F"/>
    <w:rsid w:val="00510813"/>
    <w:rsid w:val="005109B2"/>
    <w:rsid w:val="00510E76"/>
    <w:rsid w:val="00511BE2"/>
    <w:rsid w:val="00511DE0"/>
    <w:rsid w:val="00512D08"/>
    <w:rsid w:val="00512DAA"/>
    <w:rsid w:val="0051337A"/>
    <w:rsid w:val="005151B9"/>
    <w:rsid w:val="005157CF"/>
    <w:rsid w:val="00517A3B"/>
    <w:rsid w:val="00517F02"/>
    <w:rsid w:val="00524547"/>
    <w:rsid w:val="005258A2"/>
    <w:rsid w:val="005260AF"/>
    <w:rsid w:val="005260BE"/>
    <w:rsid w:val="00526A50"/>
    <w:rsid w:val="00526E94"/>
    <w:rsid w:val="00527425"/>
    <w:rsid w:val="0053054D"/>
    <w:rsid w:val="00530F7C"/>
    <w:rsid w:val="00531C63"/>
    <w:rsid w:val="00533348"/>
    <w:rsid w:val="00534567"/>
    <w:rsid w:val="00534940"/>
    <w:rsid w:val="00534E8E"/>
    <w:rsid w:val="00534F43"/>
    <w:rsid w:val="005351C8"/>
    <w:rsid w:val="005355F3"/>
    <w:rsid w:val="00535A84"/>
    <w:rsid w:val="00536889"/>
    <w:rsid w:val="00536DC1"/>
    <w:rsid w:val="00536E4A"/>
    <w:rsid w:val="00537540"/>
    <w:rsid w:val="00542E07"/>
    <w:rsid w:val="0054306C"/>
    <w:rsid w:val="00544337"/>
    <w:rsid w:val="0054435B"/>
    <w:rsid w:val="005446F2"/>
    <w:rsid w:val="00544905"/>
    <w:rsid w:val="00544F15"/>
    <w:rsid w:val="00546534"/>
    <w:rsid w:val="005474F2"/>
    <w:rsid w:val="00550E82"/>
    <w:rsid w:val="00554A7B"/>
    <w:rsid w:val="00554FF2"/>
    <w:rsid w:val="00555448"/>
    <w:rsid w:val="0055556B"/>
    <w:rsid w:val="0055572C"/>
    <w:rsid w:val="00555A97"/>
    <w:rsid w:val="00556634"/>
    <w:rsid w:val="00557273"/>
    <w:rsid w:val="00557E4B"/>
    <w:rsid w:val="0056064F"/>
    <w:rsid w:val="00561B84"/>
    <w:rsid w:val="00563AD1"/>
    <w:rsid w:val="00565F01"/>
    <w:rsid w:val="005669C8"/>
    <w:rsid w:val="00567735"/>
    <w:rsid w:val="0057005D"/>
    <w:rsid w:val="005707DD"/>
    <w:rsid w:val="00571AA9"/>
    <w:rsid w:val="00571D98"/>
    <w:rsid w:val="005720AE"/>
    <w:rsid w:val="005727E9"/>
    <w:rsid w:val="00572E89"/>
    <w:rsid w:val="0057453B"/>
    <w:rsid w:val="005756DC"/>
    <w:rsid w:val="00576E85"/>
    <w:rsid w:val="00577D7E"/>
    <w:rsid w:val="00577E81"/>
    <w:rsid w:val="0058030D"/>
    <w:rsid w:val="00580C4B"/>
    <w:rsid w:val="00580EEE"/>
    <w:rsid w:val="00582045"/>
    <w:rsid w:val="00584333"/>
    <w:rsid w:val="0058479B"/>
    <w:rsid w:val="00587560"/>
    <w:rsid w:val="005904D4"/>
    <w:rsid w:val="00590AE3"/>
    <w:rsid w:val="00590E81"/>
    <w:rsid w:val="005918F1"/>
    <w:rsid w:val="00591BC3"/>
    <w:rsid w:val="0059206F"/>
    <w:rsid w:val="00592890"/>
    <w:rsid w:val="0059329E"/>
    <w:rsid w:val="0059496D"/>
    <w:rsid w:val="00597246"/>
    <w:rsid w:val="005A03D2"/>
    <w:rsid w:val="005A0637"/>
    <w:rsid w:val="005A06B7"/>
    <w:rsid w:val="005A1431"/>
    <w:rsid w:val="005A1759"/>
    <w:rsid w:val="005A39BE"/>
    <w:rsid w:val="005A5B00"/>
    <w:rsid w:val="005A710C"/>
    <w:rsid w:val="005B1D42"/>
    <w:rsid w:val="005B2F6F"/>
    <w:rsid w:val="005B40F6"/>
    <w:rsid w:val="005B7183"/>
    <w:rsid w:val="005B789C"/>
    <w:rsid w:val="005B7D13"/>
    <w:rsid w:val="005C09B6"/>
    <w:rsid w:val="005C0F07"/>
    <w:rsid w:val="005C104F"/>
    <w:rsid w:val="005C16F9"/>
    <w:rsid w:val="005C277F"/>
    <w:rsid w:val="005C38A6"/>
    <w:rsid w:val="005C55FB"/>
    <w:rsid w:val="005C5908"/>
    <w:rsid w:val="005C74DE"/>
    <w:rsid w:val="005C7BBC"/>
    <w:rsid w:val="005C7C26"/>
    <w:rsid w:val="005D0369"/>
    <w:rsid w:val="005D0CC4"/>
    <w:rsid w:val="005D1FD7"/>
    <w:rsid w:val="005D2011"/>
    <w:rsid w:val="005D252B"/>
    <w:rsid w:val="005D2765"/>
    <w:rsid w:val="005D2B4A"/>
    <w:rsid w:val="005D2E95"/>
    <w:rsid w:val="005D53FE"/>
    <w:rsid w:val="005D5BB4"/>
    <w:rsid w:val="005D6658"/>
    <w:rsid w:val="005D7A0F"/>
    <w:rsid w:val="005D7A61"/>
    <w:rsid w:val="005D7F37"/>
    <w:rsid w:val="005E0438"/>
    <w:rsid w:val="005E05C1"/>
    <w:rsid w:val="005E1791"/>
    <w:rsid w:val="005E1B21"/>
    <w:rsid w:val="005E21C7"/>
    <w:rsid w:val="005E2A18"/>
    <w:rsid w:val="005E2BB2"/>
    <w:rsid w:val="005E2CE6"/>
    <w:rsid w:val="005E3150"/>
    <w:rsid w:val="005E3B51"/>
    <w:rsid w:val="005E402D"/>
    <w:rsid w:val="005E4EA9"/>
    <w:rsid w:val="005E6324"/>
    <w:rsid w:val="005F06AA"/>
    <w:rsid w:val="005F111C"/>
    <w:rsid w:val="005F12EE"/>
    <w:rsid w:val="005F131F"/>
    <w:rsid w:val="005F1654"/>
    <w:rsid w:val="005F1DF9"/>
    <w:rsid w:val="005F228B"/>
    <w:rsid w:val="005F29CD"/>
    <w:rsid w:val="005F31BF"/>
    <w:rsid w:val="005F4667"/>
    <w:rsid w:val="005F46B6"/>
    <w:rsid w:val="005F4C17"/>
    <w:rsid w:val="005F4DFB"/>
    <w:rsid w:val="005F6CC0"/>
    <w:rsid w:val="005F7838"/>
    <w:rsid w:val="005F79AA"/>
    <w:rsid w:val="005F7FDC"/>
    <w:rsid w:val="006000D9"/>
    <w:rsid w:val="00600980"/>
    <w:rsid w:val="00602034"/>
    <w:rsid w:val="00602E7C"/>
    <w:rsid w:val="00603E5B"/>
    <w:rsid w:val="006046F9"/>
    <w:rsid w:val="00604BC8"/>
    <w:rsid w:val="00604FCA"/>
    <w:rsid w:val="0060528A"/>
    <w:rsid w:val="00606BDF"/>
    <w:rsid w:val="00607031"/>
    <w:rsid w:val="006075D2"/>
    <w:rsid w:val="006076FE"/>
    <w:rsid w:val="00610985"/>
    <w:rsid w:val="0061104C"/>
    <w:rsid w:val="006127F4"/>
    <w:rsid w:val="00612D66"/>
    <w:rsid w:val="00612FB3"/>
    <w:rsid w:val="00613610"/>
    <w:rsid w:val="00614441"/>
    <w:rsid w:val="00614621"/>
    <w:rsid w:val="0061482A"/>
    <w:rsid w:val="00614E6C"/>
    <w:rsid w:val="00615701"/>
    <w:rsid w:val="00615B4C"/>
    <w:rsid w:val="00615B5D"/>
    <w:rsid w:val="006168B1"/>
    <w:rsid w:val="00617E28"/>
    <w:rsid w:val="00620351"/>
    <w:rsid w:val="006212ED"/>
    <w:rsid w:val="006212F8"/>
    <w:rsid w:val="006213E9"/>
    <w:rsid w:val="0062146F"/>
    <w:rsid w:val="00621CF5"/>
    <w:rsid w:val="00621FCA"/>
    <w:rsid w:val="0062226C"/>
    <w:rsid w:val="00624BE1"/>
    <w:rsid w:val="00625369"/>
    <w:rsid w:val="00625E66"/>
    <w:rsid w:val="00627053"/>
    <w:rsid w:val="00627EEB"/>
    <w:rsid w:val="00632872"/>
    <w:rsid w:val="00632C3B"/>
    <w:rsid w:val="006343AF"/>
    <w:rsid w:val="006346DB"/>
    <w:rsid w:val="006351D0"/>
    <w:rsid w:val="0063634A"/>
    <w:rsid w:val="006371C1"/>
    <w:rsid w:val="006401A2"/>
    <w:rsid w:val="0064036C"/>
    <w:rsid w:val="006404BC"/>
    <w:rsid w:val="00641284"/>
    <w:rsid w:val="006415F4"/>
    <w:rsid w:val="00641EFA"/>
    <w:rsid w:val="0064200F"/>
    <w:rsid w:val="0064250D"/>
    <w:rsid w:val="006431AE"/>
    <w:rsid w:val="006449DC"/>
    <w:rsid w:val="00644D9B"/>
    <w:rsid w:val="00644E69"/>
    <w:rsid w:val="0064595D"/>
    <w:rsid w:val="00647233"/>
    <w:rsid w:val="00650301"/>
    <w:rsid w:val="00653113"/>
    <w:rsid w:val="006535EB"/>
    <w:rsid w:val="00653619"/>
    <w:rsid w:val="00653D30"/>
    <w:rsid w:val="006545A0"/>
    <w:rsid w:val="00654962"/>
    <w:rsid w:val="00654B00"/>
    <w:rsid w:val="00655DD1"/>
    <w:rsid w:val="0065775D"/>
    <w:rsid w:val="006603AF"/>
    <w:rsid w:val="006622EA"/>
    <w:rsid w:val="006623F3"/>
    <w:rsid w:val="00662A53"/>
    <w:rsid w:val="00663016"/>
    <w:rsid w:val="00664DE4"/>
    <w:rsid w:val="00665C1C"/>
    <w:rsid w:val="006678A2"/>
    <w:rsid w:val="00667A6E"/>
    <w:rsid w:val="00667DA6"/>
    <w:rsid w:val="00670704"/>
    <w:rsid w:val="00671DAD"/>
    <w:rsid w:val="00672738"/>
    <w:rsid w:val="00672A4A"/>
    <w:rsid w:val="00673564"/>
    <w:rsid w:val="00673A2F"/>
    <w:rsid w:val="00674605"/>
    <w:rsid w:val="006748B8"/>
    <w:rsid w:val="00675A29"/>
    <w:rsid w:val="00676282"/>
    <w:rsid w:val="006773BB"/>
    <w:rsid w:val="00677AAF"/>
    <w:rsid w:val="006819EF"/>
    <w:rsid w:val="00681AAE"/>
    <w:rsid w:val="00682759"/>
    <w:rsid w:val="006827F3"/>
    <w:rsid w:val="0068535B"/>
    <w:rsid w:val="0068736E"/>
    <w:rsid w:val="00687D16"/>
    <w:rsid w:val="0069012F"/>
    <w:rsid w:val="0069136F"/>
    <w:rsid w:val="00691651"/>
    <w:rsid w:val="00691BAE"/>
    <w:rsid w:val="0069290A"/>
    <w:rsid w:val="006947C1"/>
    <w:rsid w:val="00694A78"/>
    <w:rsid w:val="00696CFB"/>
    <w:rsid w:val="00697032"/>
    <w:rsid w:val="006975AC"/>
    <w:rsid w:val="00697AB9"/>
    <w:rsid w:val="006A0939"/>
    <w:rsid w:val="006A0CD0"/>
    <w:rsid w:val="006A15FB"/>
    <w:rsid w:val="006A1A14"/>
    <w:rsid w:val="006A3232"/>
    <w:rsid w:val="006A476C"/>
    <w:rsid w:val="006A52A0"/>
    <w:rsid w:val="006A72BF"/>
    <w:rsid w:val="006A746E"/>
    <w:rsid w:val="006B08EF"/>
    <w:rsid w:val="006B13BE"/>
    <w:rsid w:val="006B1906"/>
    <w:rsid w:val="006B2446"/>
    <w:rsid w:val="006B332A"/>
    <w:rsid w:val="006B33BD"/>
    <w:rsid w:val="006B4B4F"/>
    <w:rsid w:val="006B60AD"/>
    <w:rsid w:val="006B6275"/>
    <w:rsid w:val="006B69D4"/>
    <w:rsid w:val="006B6B37"/>
    <w:rsid w:val="006B707A"/>
    <w:rsid w:val="006C0626"/>
    <w:rsid w:val="006C2AB0"/>
    <w:rsid w:val="006C3C4B"/>
    <w:rsid w:val="006C3F75"/>
    <w:rsid w:val="006C408E"/>
    <w:rsid w:val="006C7118"/>
    <w:rsid w:val="006C7BB2"/>
    <w:rsid w:val="006D05D5"/>
    <w:rsid w:val="006D0ADD"/>
    <w:rsid w:val="006D16E7"/>
    <w:rsid w:val="006D170E"/>
    <w:rsid w:val="006D3429"/>
    <w:rsid w:val="006D3482"/>
    <w:rsid w:val="006D3D40"/>
    <w:rsid w:val="006D6795"/>
    <w:rsid w:val="006D6F6E"/>
    <w:rsid w:val="006E06AF"/>
    <w:rsid w:val="006E1FA1"/>
    <w:rsid w:val="006E220D"/>
    <w:rsid w:val="006E2B96"/>
    <w:rsid w:val="006E385C"/>
    <w:rsid w:val="006E4F5A"/>
    <w:rsid w:val="006E60AD"/>
    <w:rsid w:val="006F01E5"/>
    <w:rsid w:val="006F0B8B"/>
    <w:rsid w:val="006F12E0"/>
    <w:rsid w:val="006F1789"/>
    <w:rsid w:val="006F186A"/>
    <w:rsid w:val="006F28D6"/>
    <w:rsid w:val="006F2FD6"/>
    <w:rsid w:val="006F4333"/>
    <w:rsid w:val="006F56EB"/>
    <w:rsid w:val="006F56F6"/>
    <w:rsid w:val="006F6BE9"/>
    <w:rsid w:val="006F6D9B"/>
    <w:rsid w:val="006F6F81"/>
    <w:rsid w:val="0070017F"/>
    <w:rsid w:val="00700430"/>
    <w:rsid w:val="007007BE"/>
    <w:rsid w:val="00702245"/>
    <w:rsid w:val="00703719"/>
    <w:rsid w:val="00704021"/>
    <w:rsid w:val="00705669"/>
    <w:rsid w:val="00706C5D"/>
    <w:rsid w:val="0071090A"/>
    <w:rsid w:val="007118E6"/>
    <w:rsid w:val="00712237"/>
    <w:rsid w:val="00714F64"/>
    <w:rsid w:val="00715409"/>
    <w:rsid w:val="0071571C"/>
    <w:rsid w:val="0071620A"/>
    <w:rsid w:val="00716829"/>
    <w:rsid w:val="007169A1"/>
    <w:rsid w:val="00716F6C"/>
    <w:rsid w:val="00717F11"/>
    <w:rsid w:val="00720E30"/>
    <w:rsid w:val="00721BEF"/>
    <w:rsid w:val="00722141"/>
    <w:rsid w:val="007225C9"/>
    <w:rsid w:val="00722629"/>
    <w:rsid w:val="00722929"/>
    <w:rsid w:val="00722D8F"/>
    <w:rsid w:val="00723590"/>
    <w:rsid w:val="00723AA3"/>
    <w:rsid w:val="00724846"/>
    <w:rsid w:val="0072516D"/>
    <w:rsid w:val="007273FB"/>
    <w:rsid w:val="0072753B"/>
    <w:rsid w:val="00727C3F"/>
    <w:rsid w:val="0073004E"/>
    <w:rsid w:val="0073123B"/>
    <w:rsid w:val="00732BED"/>
    <w:rsid w:val="00733A43"/>
    <w:rsid w:val="00733C3F"/>
    <w:rsid w:val="007349AD"/>
    <w:rsid w:val="007358BA"/>
    <w:rsid w:val="00735CD7"/>
    <w:rsid w:val="00737420"/>
    <w:rsid w:val="00740337"/>
    <w:rsid w:val="007414E9"/>
    <w:rsid w:val="00741AEB"/>
    <w:rsid w:val="00741F04"/>
    <w:rsid w:val="007434BD"/>
    <w:rsid w:val="007439F5"/>
    <w:rsid w:val="0074495D"/>
    <w:rsid w:val="007468CD"/>
    <w:rsid w:val="00747A1F"/>
    <w:rsid w:val="00747A32"/>
    <w:rsid w:val="00747BCC"/>
    <w:rsid w:val="0075056D"/>
    <w:rsid w:val="00750AE8"/>
    <w:rsid w:val="00750B2F"/>
    <w:rsid w:val="007522DC"/>
    <w:rsid w:val="00753898"/>
    <w:rsid w:val="00754034"/>
    <w:rsid w:val="00754BF1"/>
    <w:rsid w:val="00754E3C"/>
    <w:rsid w:val="00755535"/>
    <w:rsid w:val="00755A30"/>
    <w:rsid w:val="00755E1C"/>
    <w:rsid w:val="00756556"/>
    <w:rsid w:val="00756FE7"/>
    <w:rsid w:val="007611FD"/>
    <w:rsid w:val="0076132B"/>
    <w:rsid w:val="007623AE"/>
    <w:rsid w:val="007626F7"/>
    <w:rsid w:val="00764ED2"/>
    <w:rsid w:val="00765291"/>
    <w:rsid w:val="00766329"/>
    <w:rsid w:val="00766786"/>
    <w:rsid w:val="00767D49"/>
    <w:rsid w:val="007704AC"/>
    <w:rsid w:val="00770B19"/>
    <w:rsid w:val="00772626"/>
    <w:rsid w:val="0077322C"/>
    <w:rsid w:val="00774BAD"/>
    <w:rsid w:val="00774FA0"/>
    <w:rsid w:val="0077528D"/>
    <w:rsid w:val="00776620"/>
    <w:rsid w:val="00776A4D"/>
    <w:rsid w:val="00777B6D"/>
    <w:rsid w:val="007809D6"/>
    <w:rsid w:val="00780B24"/>
    <w:rsid w:val="0078109F"/>
    <w:rsid w:val="007821B6"/>
    <w:rsid w:val="007821C5"/>
    <w:rsid w:val="0078407B"/>
    <w:rsid w:val="00784855"/>
    <w:rsid w:val="00784F39"/>
    <w:rsid w:val="0078545C"/>
    <w:rsid w:val="007859FB"/>
    <w:rsid w:val="007866D2"/>
    <w:rsid w:val="007903FD"/>
    <w:rsid w:val="007906C4"/>
    <w:rsid w:val="00790BFC"/>
    <w:rsid w:val="00792AEF"/>
    <w:rsid w:val="007940EA"/>
    <w:rsid w:val="00794DDF"/>
    <w:rsid w:val="007967E8"/>
    <w:rsid w:val="00796832"/>
    <w:rsid w:val="00797E5B"/>
    <w:rsid w:val="007A06B0"/>
    <w:rsid w:val="007A1A9B"/>
    <w:rsid w:val="007A1E4E"/>
    <w:rsid w:val="007A2AFC"/>
    <w:rsid w:val="007A30F1"/>
    <w:rsid w:val="007A4432"/>
    <w:rsid w:val="007A4E67"/>
    <w:rsid w:val="007A4E84"/>
    <w:rsid w:val="007A5B8A"/>
    <w:rsid w:val="007A6146"/>
    <w:rsid w:val="007A63F2"/>
    <w:rsid w:val="007A7E30"/>
    <w:rsid w:val="007B0644"/>
    <w:rsid w:val="007B20BA"/>
    <w:rsid w:val="007B414B"/>
    <w:rsid w:val="007B5300"/>
    <w:rsid w:val="007B532B"/>
    <w:rsid w:val="007B68DE"/>
    <w:rsid w:val="007B6A91"/>
    <w:rsid w:val="007C137D"/>
    <w:rsid w:val="007C165C"/>
    <w:rsid w:val="007C1857"/>
    <w:rsid w:val="007C2D60"/>
    <w:rsid w:val="007C3919"/>
    <w:rsid w:val="007C514F"/>
    <w:rsid w:val="007C57BC"/>
    <w:rsid w:val="007C6BC1"/>
    <w:rsid w:val="007C6F72"/>
    <w:rsid w:val="007D001D"/>
    <w:rsid w:val="007D0F95"/>
    <w:rsid w:val="007D2E22"/>
    <w:rsid w:val="007D3BD1"/>
    <w:rsid w:val="007D4A81"/>
    <w:rsid w:val="007D6CCC"/>
    <w:rsid w:val="007D7050"/>
    <w:rsid w:val="007D7ECB"/>
    <w:rsid w:val="007E0A9E"/>
    <w:rsid w:val="007E25A1"/>
    <w:rsid w:val="007E2FB2"/>
    <w:rsid w:val="007E4BD2"/>
    <w:rsid w:val="007E5C63"/>
    <w:rsid w:val="007E7145"/>
    <w:rsid w:val="007E7AAB"/>
    <w:rsid w:val="007F21BC"/>
    <w:rsid w:val="007F2F94"/>
    <w:rsid w:val="007F3916"/>
    <w:rsid w:val="007F662D"/>
    <w:rsid w:val="007F6D16"/>
    <w:rsid w:val="007F75DA"/>
    <w:rsid w:val="007F7AD2"/>
    <w:rsid w:val="007F7FF0"/>
    <w:rsid w:val="00801179"/>
    <w:rsid w:val="00801202"/>
    <w:rsid w:val="00801B0F"/>
    <w:rsid w:val="00801F50"/>
    <w:rsid w:val="008020EE"/>
    <w:rsid w:val="00802479"/>
    <w:rsid w:val="008033F2"/>
    <w:rsid w:val="00803720"/>
    <w:rsid w:val="008041C6"/>
    <w:rsid w:val="00805372"/>
    <w:rsid w:val="00805B7B"/>
    <w:rsid w:val="00806F35"/>
    <w:rsid w:val="008075D5"/>
    <w:rsid w:val="0080779D"/>
    <w:rsid w:val="008078B2"/>
    <w:rsid w:val="00807A92"/>
    <w:rsid w:val="00807EF9"/>
    <w:rsid w:val="008113D2"/>
    <w:rsid w:val="008114C3"/>
    <w:rsid w:val="00811ADA"/>
    <w:rsid w:val="008122C3"/>
    <w:rsid w:val="0081293E"/>
    <w:rsid w:val="00813F73"/>
    <w:rsid w:val="00814FFB"/>
    <w:rsid w:val="00815C3E"/>
    <w:rsid w:val="008162F4"/>
    <w:rsid w:val="0082050F"/>
    <w:rsid w:val="00820568"/>
    <w:rsid w:val="008210F0"/>
    <w:rsid w:val="008214E7"/>
    <w:rsid w:val="008261C2"/>
    <w:rsid w:val="0082621C"/>
    <w:rsid w:val="0082657C"/>
    <w:rsid w:val="008268A2"/>
    <w:rsid w:val="00826D10"/>
    <w:rsid w:val="00827807"/>
    <w:rsid w:val="00827C82"/>
    <w:rsid w:val="00830428"/>
    <w:rsid w:val="00831A80"/>
    <w:rsid w:val="008324E1"/>
    <w:rsid w:val="008332C8"/>
    <w:rsid w:val="00833743"/>
    <w:rsid w:val="00833A12"/>
    <w:rsid w:val="00833D65"/>
    <w:rsid w:val="008340A4"/>
    <w:rsid w:val="00834C6C"/>
    <w:rsid w:val="00834D96"/>
    <w:rsid w:val="0083506B"/>
    <w:rsid w:val="00836165"/>
    <w:rsid w:val="00836799"/>
    <w:rsid w:val="00836D47"/>
    <w:rsid w:val="00837028"/>
    <w:rsid w:val="00837131"/>
    <w:rsid w:val="00840221"/>
    <w:rsid w:val="00840E17"/>
    <w:rsid w:val="0084388A"/>
    <w:rsid w:val="008440A0"/>
    <w:rsid w:val="00845600"/>
    <w:rsid w:val="00845997"/>
    <w:rsid w:val="00845F57"/>
    <w:rsid w:val="008463D8"/>
    <w:rsid w:val="00846559"/>
    <w:rsid w:val="008467B9"/>
    <w:rsid w:val="00846861"/>
    <w:rsid w:val="008504B4"/>
    <w:rsid w:val="008521E0"/>
    <w:rsid w:val="008525B0"/>
    <w:rsid w:val="00855871"/>
    <w:rsid w:val="00856804"/>
    <w:rsid w:val="00856CA2"/>
    <w:rsid w:val="00857531"/>
    <w:rsid w:val="008577A2"/>
    <w:rsid w:val="00861E97"/>
    <w:rsid w:val="00862C4E"/>
    <w:rsid w:val="00862CEE"/>
    <w:rsid w:val="008634E6"/>
    <w:rsid w:val="00863CE4"/>
    <w:rsid w:val="00865B77"/>
    <w:rsid w:val="00867472"/>
    <w:rsid w:val="00867CBC"/>
    <w:rsid w:val="00874051"/>
    <w:rsid w:val="008740EE"/>
    <w:rsid w:val="00874F5D"/>
    <w:rsid w:val="008755DC"/>
    <w:rsid w:val="00876C30"/>
    <w:rsid w:val="00877017"/>
    <w:rsid w:val="008770D5"/>
    <w:rsid w:val="008772C0"/>
    <w:rsid w:val="008773C0"/>
    <w:rsid w:val="00877F07"/>
    <w:rsid w:val="00880045"/>
    <w:rsid w:val="00880364"/>
    <w:rsid w:val="0088063F"/>
    <w:rsid w:val="00883E43"/>
    <w:rsid w:val="00884186"/>
    <w:rsid w:val="00885AC1"/>
    <w:rsid w:val="00886969"/>
    <w:rsid w:val="00886B42"/>
    <w:rsid w:val="00886C4C"/>
    <w:rsid w:val="008870B5"/>
    <w:rsid w:val="0088711C"/>
    <w:rsid w:val="00891664"/>
    <w:rsid w:val="008917D7"/>
    <w:rsid w:val="00892ECF"/>
    <w:rsid w:val="00892F06"/>
    <w:rsid w:val="0089319F"/>
    <w:rsid w:val="00894285"/>
    <w:rsid w:val="008943ED"/>
    <w:rsid w:val="00895484"/>
    <w:rsid w:val="00895648"/>
    <w:rsid w:val="008973D6"/>
    <w:rsid w:val="008A0348"/>
    <w:rsid w:val="008A059E"/>
    <w:rsid w:val="008A0E0B"/>
    <w:rsid w:val="008A1712"/>
    <w:rsid w:val="008A1AC0"/>
    <w:rsid w:val="008A2004"/>
    <w:rsid w:val="008A20BF"/>
    <w:rsid w:val="008A2AD0"/>
    <w:rsid w:val="008A325E"/>
    <w:rsid w:val="008A3CFE"/>
    <w:rsid w:val="008A4032"/>
    <w:rsid w:val="008A40AE"/>
    <w:rsid w:val="008A4E19"/>
    <w:rsid w:val="008A50AB"/>
    <w:rsid w:val="008A6359"/>
    <w:rsid w:val="008A67C5"/>
    <w:rsid w:val="008A7AB1"/>
    <w:rsid w:val="008B037F"/>
    <w:rsid w:val="008B073B"/>
    <w:rsid w:val="008B22E1"/>
    <w:rsid w:val="008B3C78"/>
    <w:rsid w:val="008B4AE9"/>
    <w:rsid w:val="008B59D2"/>
    <w:rsid w:val="008B5DAE"/>
    <w:rsid w:val="008C0075"/>
    <w:rsid w:val="008C228B"/>
    <w:rsid w:val="008C30AD"/>
    <w:rsid w:val="008C6191"/>
    <w:rsid w:val="008C68C2"/>
    <w:rsid w:val="008C7B6F"/>
    <w:rsid w:val="008D02DA"/>
    <w:rsid w:val="008D068E"/>
    <w:rsid w:val="008D0F33"/>
    <w:rsid w:val="008D0F7A"/>
    <w:rsid w:val="008D14DE"/>
    <w:rsid w:val="008D1D37"/>
    <w:rsid w:val="008D27A4"/>
    <w:rsid w:val="008D3AE4"/>
    <w:rsid w:val="008D4914"/>
    <w:rsid w:val="008D4F41"/>
    <w:rsid w:val="008D5564"/>
    <w:rsid w:val="008D63BE"/>
    <w:rsid w:val="008D7198"/>
    <w:rsid w:val="008D734B"/>
    <w:rsid w:val="008E06BE"/>
    <w:rsid w:val="008E0CFF"/>
    <w:rsid w:val="008E45BA"/>
    <w:rsid w:val="008E52D1"/>
    <w:rsid w:val="008E5D6B"/>
    <w:rsid w:val="008E656A"/>
    <w:rsid w:val="008E689B"/>
    <w:rsid w:val="008E76F0"/>
    <w:rsid w:val="008F00C5"/>
    <w:rsid w:val="008F15FE"/>
    <w:rsid w:val="008F2160"/>
    <w:rsid w:val="008F22FF"/>
    <w:rsid w:val="008F2A94"/>
    <w:rsid w:val="008F2DE9"/>
    <w:rsid w:val="008F413C"/>
    <w:rsid w:val="008F4401"/>
    <w:rsid w:val="008F4809"/>
    <w:rsid w:val="008F5187"/>
    <w:rsid w:val="008F52DE"/>
    <w:rsid w:val="008F5AD2"/>
    <w:rsid w:val="008F6A65"/>
    <w:rsid w:val="008F709C"/>
    <w:rsid w:val="008F75F0"/>
    <w:rsid w:val="00900D82"/>
    <w:rsid w:val="00900EAD"/>
    <w:rsid w:val="00901447"/>
    <w:rsid w:val="00901FED"/>
    <w:rsid w:val="009028F7"/>
    <w:rsid w:val="00902ED2"/>
    <w:rsid w:val="0090312B"/>
    <w:rsid w:val="0090427A"/>
    <w:rsid w:val="00904961"/>
    <w:rsid w:val="0090609B"/>
    <w:rsid w:val="00906627"/>
    <w:rsid w:val="00907F05"/>
    <w:rsid w:val="00910C2C"/>
    <w:rsid w:val="00910D34"/>
    <w:rsid w:val="0091190A"/>
    <w:rsid w:val="00912610"/>
    <w:rsid w:val="00912A18"/>
    <w:rsid w:val="009142D5"/>
    <w:rsid w:val="0091442B"/>
    <w:rsid w:val="00914EFB"/>
    <w:rsid w:val="00915424"/>
    <w:rsid w:val="00915FAB"/>
    <w:rsid w:val="0091712A"/>
    <w:rsid w:val="0091736D"/>
    <w:rsid w:val="00920239"/>
    <w:rsid w:val="00920CFD"/>
    <w:rsid w:val="00920F50"/>
    <w:rsid w:val="009216DA"/>
    <w:rsid w:val="00921709"/>
    <w:rsid w:val="0092227E"/>
    <w:rsid w:val="0092477B"/>
    <w:rsid w:val="00924AAD"/>
    <w:rsid w:val="00924B41"/>
    <w:rsid w:val="009258F0"/>
    <w:rsid w:val="00925A11"/>
    <w:rsid w:val="00931001"/>
    <w:rsid w:val="00931863"/>
    <w:rsid w:val="00931889"/>
    <w:rsid w:val="009321D6"/>
    <w:rsid w:val="00933524"/>
    <w:rsid w:val="009345DC"/>
    <w:rsid w:val="0093475A"/>
    <w:rsid w:val="00936522"/>
    <w:rsid w:val="00937575"/>
    <w:rsid w:val="00937938"/>
    <w:rsid w:val="00937E37"/>
    <w:rsid w:val="00940949"/>
    <w:rsid w:val="009410D8"/>
    <w:rsid w:val="0094278D"/>
    <w:rsid w:val="00942FCA"/>
    <w:rsid w:val="009437A1"/>
    <w:rsid w:val="00943D90"/>
    <w:rsid w:val="009444B3"/>
    <w:rsid w:val="00945212"/>
    <w:rsid w:val="00946BD7"/>
    <w:rsid w:val="00947072"/>
    <w:rsid w:val="00950CD5"/>
    <w:rsid w:val="00950F0E"/>
    <w:rsid w:val="00950F42"/>
    <w:rsid w:val="00952453"/>
    <w:rsid w:val="009524C6"/>
    <w:rsid w:val="0095308A"/>
    <w:rsid w:val="0095376E"/>
    <w:rsid w:val="00953BBA"/>
    <w:rsid w:val="0095458C"/>
    <w:rsid w:val="00955AEE"/>
    <w:rsid w:val="00955EF7"/>
    <w:rsid w:val="00956F14"/>
    <w:rsid w:val="00960C11"/>
    <w:rsid w:val="009620FD"/>
    <w:rsid w:val="0096247A"/>
    <w:rsid w:val="00964907"/>
    <w:rsid w:val="00965E98"/>
    <w:rsid w:val="00965F4B"/>
    <w:rsid w:val="0096674E"/>
    <w:rsid w:val="00970F8A"/>
    <w:rsid w:val="0097150E"/>
    <w:rsid w:val="00971601"/>
    <w:rsid w:val="00971FB5"/>
    <w:rsid w:val="00972732"/>
    <w:rsid w:val="00972D2A"/>
    <w:rsid w:val="00973E86"/>
    <w:rsid w:val="00975CC5"/>
    <w:rsid w:val="00975E7B"/>
    <w:rsid w:val="00976328"/>
    <w:rsid w:val="009768ED"/>
    <w:rsid w:val="00976B4E"/>
    <w:rsid w:val="00977816"/>
    <w:rsid w:val="00981550"/>
    <w:rsid w:val="0098294E"/>
    <w:rsid w:val="0098352F"/>
    <w:rsid w:val="00983F7D"/>
    <w:rsid w:val="00984458"/>
    <w:rsid w:val="00985283"/>
    <w:rsid w:val="00985F6B"/>
    <w:rsid w:val="00987322"/>
    <w:rsid w:val="009877E4"/>
    <w:rsid w:val="00987CC6"/>
    <w:rsid w:val="00990ACF"/>
    <w:rsid w:val="00991D2D"/>
    <w:rsid w:val="0099280E"/>
    <w:rsid w:val="00992F40"/>
    <w:rsid w:val="00993859"/>
    <w:rsid w:val="00993BFF"/>
    <w:rsid w:val="00994F7D"/>
    <w:rsid w:val="00995717"/>
    <w:rsid w:val="00995B4E"/>
    <w:rsid w:val="009A0F3B"/>
    <w:rsid w:val="009A1E92"/>
    <w:rsid w:val="009A3328"/>
    <w:rsid w:val="009A33C6"/>
    <w:rsid w:val="009A3482"/>
    <w:rsid w:val="009A5973"/>
    <w:rsid w:val="009A6C4F"/>
    <w:rsid w:val="009A72C7"/>
    <w:rsid w:val="009B0268"/>
    <w:rsid w:val="009B06A9"/>
    <w:rsid w:val="009B0897"/>
    <w:rsid w:val="009B0B42"/>
    <w:rsid w:val="009B374B"/>
    <w:rsid w:val="009B6A71"/>
    <w:rsid w:val="009B6DE2"/>
    <w:rsid w:val="009B7B3C"/>
    <w:rsid w:val="009B7C8C"/>
    <w:rsid w:val="009C06F2"/>
    <w:rsid w:val="009C0DA4"/>
    <w:rsid w:val="009C1021"/>
    <w:rsid w:val="009C2826"/>
    <w:rsid w:val="009C414B"/>
    <w:rsid w:val="009C45F8"/>
    <w:rsid w:val="009C5754"/>
    <w:rsid w:val="009C5EAA"/>
    <w:rsid w:val="009C79F8"/>
    <w:rsid w:val="009D044B"/>
    <w:rsid w:val="009D0823"/>
    <w:rsid w:val="009D0852"/>
    <w:rsid w:val="009D0E03"/>
    <w:rsid w:val="009D0F58"/>
    <w:rsid w:val="009D1D11"/>
    <w:rsid w:val="009D1FBF"/>
    <w:rsid w:val="009D22C4"/>
    <w:rsid w:val="009D3FBD"/>
    <w:rsid w:val="009D3FDF"/>
    <w:rsid w:val="009D5A7C"/>
    <w:rsid w:val="009D6DF9"/>
    <w:rsid w:val="009E1794"/>
    <w:rsid w:val="009E1C1F"/>
    <w:rsid w:val="009E2055"/>
    <w:rsid w:val="009E320C"/>
    <w:rsid w:val="009E37CB"/>
    <w:rsid w:val="009E399C"/>
    <w:rsid w:val="009E3C2D"/>
    <w:rsid w:val="009E3F0C"/>
    <w:rsid w:val="009E43C1"/>
    <w:rsid w:val="009E4C5E"/>
    <w:rsid w:val="009E56EC"/>
    <w:rsid w:val="009E61F3"/>
    <w:rsid w:val="009E6B7F"/>
    <w:rsid w:val="009E7E95"/>
    <w:rsid w:val="009F0031"/>
    <w:rsid w:val="009F07B0"/>
    <w:rsid w:val="009F09A9"/>
    <w:rsid w:val="009F116F"/>
    <w:rsid w:val="009F1C73"/>
    <w:rsid w:val="009F1CA8"/>
    <w:rsid w:val="009F329E"/>
    <w:rsid w:val="009F36FD"/>
    <w:rsid w:val="009F4ADF"/>
    <w:rsid w:val="009F54D9"/>
    <w:rsid w:val="009F6EB1"/>
    <w:rsid w:val="009F7ED3"/>
    <w:rsid w:val="00A0030F"/>
    <w:rsid w:val="00A00B63"/>
    <w:rsid w:val="00A00E2E"/>
    <w:rsid w:val="00A01D80"/>
    <w:rsid w:val="00A02FB1"/>
    <w:rsid w:val="00A03607"/>
    <w:rsid w:val="00A03833"/>
    <w:rsid w:val="00A0387F"/>
    <w:rsid w:val="00A047FF"/>
    <w:rsid w:val="00A04FEF"/>
    <w:rsid w:val="00A05F09"/>
    <w:rsid w:val="00A063FA"/>
    <w:rsid w:val="00A0691C"/>
    <w:rsid w:val="00A07475"/>
    <w:rsid w:val="00A07871"/>
    <w:rsid w:val="00A07AC1"/>
    <w:rsid w:val="00A07CAD"/>
    <w:rsid w:val="00A1026E"/>
    <w:rsid w:val="00A1050B"/>
    <w:rsid w:val="00A122CD"/>
    <w:rsid w:val="00A12863"/>
    <w:rsid w:val="00A12A32"/>
    <w:rsid w:val="00A12F42"/>
    <w:rsid w:val="00A13013"/>
    <w:rsid w:val="00A13A9D"/>
    <w:rsid w:val="00A14248"/>
    <w:rsid w:val="00A14947"/>
    <w:rsid w:val="00A16DAB"/>
    <w:rsid w:val="00A2025E"/>
    <w:rsid w:val="00A208E5"/>
    <w:rsid w:val="00A20A47"/>
    <w:rsid w:val="00A20FE3"/>
    <w:rsid w:val="00A2266C"/>
    <w:rsid w:val="00A22866"/>
    <w:rsid w:val="00A2398E"/>
    <w:rsid w:val="00A23DC5"/>
    <w:rsid w:val="00A24280"/>
    <w:rsid w:val="00A26D7C"/>
    <w:rsid w:val="00A27961"/>
    <w:rsid w:val="00A30666"/>
    <w:rsid w:val="00A3073A"/>
    <w:rsid w:val="00A30B1C"/>
    <w:rsid w:val="00A30F59"/>
    <w:rsid w:val="00A3115B"/>
    <w:rsid w:val="00A328B0"/>
    <w:rsid w:val="00A34028"/>
    <w:rsid w:val="00A352BD"/>
    <w:rsid w:val="00A35568"/>
    <w:rsid w:val="00A35A81"/>
    <w:rsid w:val="00A362A2"/>
    <w:rsid w:val="00A37056"/>
    <w:rsid w:val="00A37259"/>
    <w:rsid w:val="00A4082F"/>
    <w:rsid w:val="00A40E1A"/>
    <w:rsid w:val="00A41629"/>
    <w:rsid w:val="00A41E98"/>
    <w:rsid w:val="00A4358F"/>
    <w:rsid w:val="00A43808"/>
    <w:rsid w:val="00A43BAD"/>
    <w:rsid w:val="00A447AF"/>
    <w:rsid w:val="00A453A4"/>
    <w:rsid w:val="00A45B46"/>
    <w:rsid w:val="00A46F67"/>
    <w:rsid w:val="00A474F6"/>
    <w:rsid w:val="00A47E7B"/>
    <w:rsid w:val="00A51523"/>
    <w:rsid w:val="00A52E3B"/>
    <w:rsid w:val="00A536A7"/>
    <w:rsid w:val="00A53AB3"/>
    <w:rsid w:val="00A540A1"/>
    <w:rsid w:val="00A54153"/>
    <w:rsid w:val="00A546CA"/>
    <w:rsid w:val="00A5486B"/>
    <w:rsid w:val="00A54AA1"/>
    <w:rsid w:val="00A55167"/>
    <w:rsid w:val="00A55A63"/>
    <w:rsid w:val="00A568FF"/>
    <w:rsid w:val="00A56F01"/>
    <w:rsid w:val="00A57EE7"/>
    <w:rsid w:val="00A607CF"/>
    <w:rsid w:val="00A61496"/>
    <w:rsid w:val="00A61833"/>
    <w:rsid w:val="00A61919"/>
    <w:rsid w:val="00A61E63"/>
    <w:rsid w:val="00A61E7E"/>
    <w:rsid w:val="00A624C6"/>
    <w:rsid w:val="00A63CEC"/>
    <w:rsid w:val="00A63DB4"/>
    <w:rsid w:val="00A63FB0"/>
    <w:rsid w:val="00A65C22"/>
    <w:rsid w:val="00A66740"/>
    <w:rsid w:val="00A6775B"/>
    <w:rsid w:val="00A678E4"/>
    <w:rsid w:val="00A7031E"/>
    <w:rsid w:val="00A71486"/>
    <w:rsid w:val="00A71B3B"/>
    <w:rsid w:val="00A726E1"/>
    <w:rsid w:val="00A728B1"/>
    <w:rsid w:val="00A72FD4"/>
    <w:rsid w:val="00A73EE9"/>
    <w:rsid w:val="00A756EA"/>
    <w:rsid w:val="00A7582A"/>
    <w:rsid w:val="00A75906"/>
    <w:rsid w:val="00A763DE"/>
    <w:rsid w:val="00A76F23"/>
    <w:rsid w:val="00A8008C"/>
    <w:rsid w:val="00A803D6"/>
    <w:rsid w:val="00A80556"/>
    <w:rsid w:val="00A81282"/>
    <w:rsid w:val="00A82ABF"/>
    <w:rsid w:val="00A83E53"/>
    <w:rsid w:val="00A86998"/>
    <w:rsid w:val="00A86EE6"/>
    <w:rsid w:val="00A86EEB"/>
    <w:rsid w:val="00A8713F"/>
    <w:rsid w:val="00A87D64"/>
    <w:rsid w:val="00A9054D"/>
    <w:rsid w:val="00A90AE7"/>
    <w:rsid w:val="00A91167"/>
    <w:rsid w:val="00A9171C"/>
    <w:rsid w:val="00A919F4"/>
    <w:rsid w:val="00A92FFD"/>
    <w:rsid w:val="00A94A31"/>
    <w:rsid w:val="00A94D32"/>
    <w:rsid w:val="00A94EFC"/>
    <w:rsid w:val="00A95975"/>
    <w:rsid w:val="00A96750"/>
    <w:rsid w:val="00A9708D"/>
    <w:rsid w:val="00AA1695"/>
    <w:rsid w:val="00AA2C17"/>
    <w:rsid w:val="00AA4172"/>
    <w:rsid w:val="00AA45B9"/>
    <w:rsid w:val="00AA49DB"/>
    <w:rsid w:val="00AB093B"/>
    <w:rsid w:val="00AB0FD7"/>
    <w:rsid w:val="00AB1153"/>
    <w:rsid w:val="00AB1914"/>
    <w:rsid w:val="00AB2189"/>
    <w:rsid w:val="00AB281F"/>
    <w:rsid w:val="00AB35CE"/>
    <w:rsid w:val="00AB3916"/>
    <w:rsid w:val="00AB5330"/>
    <w:rsid w:val="00AB5342"/>
    <w:rsid w:val="00AB62A6"/>
    <w:rsid w:val="00AB6CF4"/>
    <w:rsid w:val="00AB7742"/>
    <w:rsid w:val="00AB7747"/>
    <w:rsid w:val="00AB7860"/>
    <w:rsid w:val="00AC2532"/>
    <w:rsid w:val="00AC291A"/>
    <w:rsid w:val="00AC395A"/>
    <w:rsid w:val="00AC3967"/>
    <w:rsid w:val="00AC3FE9"/>
    <w:rsid w:val="00AC487A"/>
    <w:rsid w:val="00AC4DAB"/>
    <w:rsid w:val="00AC50C1"/>
    <w:rsid w:val="00AC6A2C"/>
    <w:rsid w:val="00AC6FF7"/>
    <w:rsid w:val="00AD00BB"/>
    <w:rsid w:val="00AD0823"/>
    <w:rsid w:val="00AD146D"/>
    <w:rsid w:val="00AD1507"/>
    <w:rsid w:val="00AD2842"/>
    <w:rsid w:val="00AD28B6"/>
    <w:rsid w:val="00AD304B"/>
    <w:rsid w:val="00AD36C3"/>
    <w:rsid w:val="00AD43FB"/>
    <w:rsid w:val="00AD52F7"/>
    <w:rsid w:val="00AD5A70"/>
    <w:rsid w:val="00AD738B"/>
    <w:rsid w:val="00AD7431"/>
    <w:rsid w:val="00AD7FAD"/>
    <w:rsid w:val="00AE1BF4"/>
    <w:rsid w:val="00AE1FCF"/>
    <w:rsid w:val="00AE3929"/>
    <w:rsid w:val="00AE4F31"/>
    <w:rsid w:val="00AE533E"/>
    <w:rsid w:val="00AE58B4"/>
    <w:rsid w:val="00AE5D97"/>
    <w:rsid w:val="00AE6794"/>
    <w:rsid w:val="00AF1078"/>
    <w:rsid w:val="00AF23DC"/>
    <w:rsid w:val="00AF2C93"/>
    <w:rsid w:val="00AF3F8D"/>
    <w:rsid w:val="00AF5369"/>
    <w:rsid w:val="00B01110"/>
    <w:rsid w:val="00B013DB"/>
    <w:rsid w:val="00B014CC"/>
    <w:rsid w:val="00B017FD"/>
    <w:rsid w:val="00B02262"/>
    <w:rsid w:val="00B03CEC"/>
    <w:rsid w:val="00B03FD1"/>
    <w:rsid w:val="00B04534"/>
    <w:rsid w:val="00B05203"/>
    <w:rsid w:val="00B053E3"/>
    <w:rsid w:val="00B11111"/>
    <w:rsid w:val="00B11712"/>
    <w:rsid w:val="00B1209F"/>
    <w:rsid w:val="00B128BC"/>
    <w:rsid w:val="00B129A0"/>
    <w:rsid w:val="00B12AD0"/>
    <w:rsid w:val="00B1321C"/>
    <w:rsid w:val="00B1336C"/>
    <w:rsid w:val="00B13473"/>
    <w:rsid w:val="00B141E5"/>
    <w:rsid w:val="00B152D4"/>
    <w:rsid w:val="00B17458"/>
    <w:rsid w:val="00B200EB"/>
    <w:rsid w:val="00B219C8"/>
    <w:rsid w:val="00B22925"/>
    <w:rsid w:val="00B23566"/>
    <w:rsid w:val="00B242C7"/>
    <w:rsid w:val="00B2441B"/>
    <w:rsid w:val="00B24BBF"/>
    <w:rsid w:val="00B24F30"/>
    <w:rsid w:val="00B252C8"/>
    <w:rsid w:val="00B253AC"/>
    <w:rsid w:val="00B26D63"/>
    <w:rsid w:val="00B26F20"/>
    <w:rsid w:val="00B2791C"/>
    <w:rsid w:val="00B27B13"/>
    <w:rsid w:val="00B30E07"/>
    <w:rsid w:val="00B30FF2"/>
    <w:rsid w:val="00B31557"/>
    <w:rsid w:val="00B31ABF"/>
    <w:rsid w:val="00B32527"/>
    <w:rsid w:val="00B325B3"/>
    <w:rsid w:val="00B32A9C"/>
    <w:rsid w:val="00B335AE"/>
    <w:rsid w:val="00B33CDA"/>
    <w:rsid w:val="00B359F9"/>
    <w:rsid w:val="00B35FF1"/>
    <w:rsid w:val="00B3600D"/>
    <w:rsid w:val="00B36F6E"/>
    <w:rsid w:val="00B374A0"/>
    <w:rsid w:val="00B37C48"/>
    <w:rsid w:val="00B37CE1"/>
    <w:rsid w:val="00B4018C"/>
    <w:rsid w:val="00B40ACF"/>
    <w:rsid w:val="00B41341"/>
    <w:rsid w:val="00B4149B"/>
    <w:rsid w:val="00B4389F"/>
    <w:rsid w:val="00B45425"/>
    <w:rsid w:val="00B4682D"/>
    <w:rsid w:val="00B46BAA"/>
    <w:rsid w:val="00B46CC0"/>
    <w:rsid w:val="00B47BD5"/>
    <w:rsid w:val="00B47C2F"/>
    <w:rsid w:val="00B47FEB"/>
    <w:rsid w:val="00B50B5F"/>
    <w:rsid w:val="00B51A0D"/>
    <w:rsid w:val="00B51CC0"/>
    <w:rsid w:val="00B52087"/>
    <w:rsid w:val="00B5274E"/>
    <w:rsid w:val="00B52D35"/>
    <w:rsid w:val="00B54128"/>
    <w:rsid w:val="00B54177"/>
    <w:rsid w:val="00B54CE1"/>
    <w:rsid w:val="00B5502C"/>
    <w:rsid w:val="00B55826"/>
    <w:rsid w:val="00B56479"/>
    <w:rsid w:val="00B5712E"/>
    <w:rsid w:val="00B60426"/>
    <w:rsid w:val="00B61C86"/>
    <w:rsid w:val="00B61ED3"/>
    <w:rsid w:val="00B622DD"/>
    <w:rsid w:val="00B634FC"/>
    <w:rsid w:val="00B63522"/>
    <w:rsid w:val="00B6611A"/>
    <w:rsid w:val="00B712F4"/>
    <w:rsid w:val="00B71D8B"/>
    <w:rsid w:val="00B72848"/>
    <w:rsid w:val="00B73A72"/>
    <w:rsid w:val="00B73E68"/>
    <w:rsid w:val="00B74071"/>
    <w:rsid w:val="00B7433B"/>
    <w:rsid w:val="00B768F6"/>
    <w:rsid w:val="00B76F1D"/>
    <w:rsid w:val="00B85A7B"/>
    <w:rsid w:val="00B86596"/>
    <w:rsid w:val="00B86B2F"/>
    <w:rsid w:val="00B86E62"/>
    <w:rsid w:val="00B908F4"/>
    <w:rsid w:val="00B92511"/>
    <w:rsid w:val="00B92A19"/>
    <w:rsid w:val="00B938C8"/>
    <w:rsid w:val="00B9544C"/>
    <w:rsid w:val="00B95689"/>
    <w:rsid w:val="00B96DA5"/>
    <w:rsid w:val="00B96E8D"/>
    <w:rsid w:val="00B96F44"/>
    <w:rsid w:val="00B97291"/>
    <w:rsid w:val="00B97C51"/>
    <w:rsid w:val="00BA09C6"/>
    <w:rsid w:val="00BA139C"/>
    <w:rsid w:val="00BA2440"/>
    <w:rsid w:val="00BA29E9"/>
    <w:rsid w:val="00BA3E1F"/>
    <w:rsid w:val="00BA5C9C"/>
    <w:rsid w:val="00BA7209"/>
    <w:rsid w:val="00BA7B85"/>
    <w:rsid w:val="00BB328E"/>
    <w:rsid w:val="00BB3618"/>
    <w:rsid w:val="00BB39E6"/>
    <w:rsid w:val="00BB5FC7"/>
    <w:rsid w:val="00BB65EC"/>
    <w:rsid w:val="00BB7FEB"/>
    <w:rsid w:val="00BC0617"/>
    <w:rsid w:val="00BC0C9E"/>
    <w:rsid w:val="00BC137C"/>
    <w:rsid w:val="00BC15B5"/>
    <w:rsid w:val="00BC1A5C"/>
    <w:rsid w:val="00BC2065"/>
    <w:rsid w:val="00BC2924"/>
    <w:rsid w:val="00BC32DC"/>
    <w:rsid w:val="00BC3F1B"/>
    <w:rsid w:val="00BC4DB2"/>
    <w:rsid w:val="00BC5EA7"/>
    <w:rsid w:val="00BC657F"/>
    <w:rsid w:val="00BC74AB"/>
    <w:rsid w:val="00BC74D8"/>
    <w:rsid w:val="00BD1B51"/>
    <w:rsid w:val="00BD36F9"/>
    <w:rsid w:val="00BD3C75"/>
    <w:rsid w:val="00BD47F6"/>
    <w:rsid w:val="00BD4D94"/>
    <w:rsid w:val="00BD788E"/>
    <w:rsid w:val="00BE1188"/>
    <w:rsid w:val="00BE13D4"/>
    <w:rsid w:val="00BE312D"/>
    <w:rsid w:val="00BE3FCA"/>
    <w:rsid w:val="00BE3FE7"/>
    <w:rsid w:val="00BE56AB"/>
    <w:rsid w:val="00BE5B6A"/>
    <w:rsid w:val="00BE7723"/>
    <w:rsid w:val="00BF12BF"/>
    <w:rsid w:val="00BF2314"/>
    <w:rsid w:val="00BF2DDD"/>
    <w:rsid w:val="00BF2E4C"/>
    <w:rsid w:val="00BF3EAE"/>
    <w:rsid w:val="00BF45DA"/>
    <w:rsid w:val="00BF6873"/>
    <w:rsid w:val="00BF6ECA"/>
    <w:rsid w:val="00BF73F4"/>
    <w:rsid w:val="00BF783F"/>
    <w:rsid w:val="00BF7CB1"/>
    <w:rsid w:val="00C04CAB"/>
    <w:rsid w:val="00C04E0E"/>
    <w:rsid w:val="00C0521A"/>
    <w:rsid w:val="00C05719"/>
    <w:rsid w:val="00C05D49"/>
    <w:rsid w:val="00C075BB"/>
    <w:rsid w:val="00C07891"/>
    <w:rsid w:val="00C10578"/>
    <w:rsid w:val="00C11681"/>
    <w:rsid w:val="00C11DFD"/>
    <w:rsid w:val="00C14838"/>
    <w:rsid w:val="00C14E57"/>
    <w:rsid w:val="00C15392"/>
    <w:rsid w:val="00C15A0B"/>
    <w:rsid w:val="00C160D1"/>
    <w:rsid w:val="00C16472"/>
    <w:rsid w:val="00C16611"/>
    <w:rsid w:val="00C16A24"/>
    <w:rsid w:val="00C170A3"/>
    <w:rsid w:val="00C17381"/>
    <w:rsid w:val="00C178E2"/>
    <w:rsid w:val="00C17D05"/>
    <w:rsid w:val="00C17D62"/>
    <w:rsid w:val="00C210DB"/>
    <w:rsid w:val="00C217C6"/>
    <w:rsid w:val="00C21A40"/>
    <w:rsid w:val="00C21FDC"/>
    <w:rsid w:val="00C223A5"/>
    <w:rsid w:val="00C24EE7"/>
    <w:rsid w:val="00C2596A"/>
    <w:rsid w:val="00C25A64"/>
    <w:rsid w:val="00C271BE"/>
    <w:rsid w:val="00C27425"/>
    <w:rsid w:val="00C312CF"/>
    <w:rsid w:val="00C328FE"/>
    <w:rsid w:val="00C32B72"/>
    <w:rsid w:val="00C33A05"/>
    <w:rsid w:val="00C34ABF"/>
    <w:rsid w:val="00C34E3D"/>
    <w:rsid w:val="00C374B7"/>
    <w:rsid w:val="00C37869"/>
    <w:rsid w:val="00C40011"/>
    <w:rsid w:val="00C40A9E"/>
    <w:rsid w:val="00C4217E"/>
    <w:rsid w:val="00C42392"/>
    <w:rsid w:val="00C42500"/>
    <w:rsid w:val="00C428E3"/>
    <w:rsid w:val="00C43369"/>
    <w:rsid w:val="00C4409D"/>
    <w:rsid w:val="00C4464F"/>
    <w:rsid w:val="00C448D0"/>
    <w:rsid w:val="00C455BE"/>
    <w:rsid w:val="00C45D6F"/>
    <w:rsid w:val="00C4747C"/>
    <w:rsid w:val="00C47746"/>
    <w:rsid w:val="00C47D9F"/>
    <w:rsid w:val="00C50465"/>
    <w:rsid w:val="00C517F1"/>
    <w:rsid w:val="00C518BA"/>
    <w:rsid w:val="00C51A93"/>
    <w:rsid w:val="00C51B52"/>
    <w:rsid w:val="00C51E5F"/>
    <w:rsid w:val="00C5213E"/>
    <w:rsid w:val="00C528A6"/>
    <w:rsid w:val="00C533CA"/>
    <w:rsid w:val="00C53859"/>
    <w:rsid w:val="00C56C35"/>
    <w:rsid w:val="00C60CF0"/>
    <w:rsid w:val="00C61317"/>
    <w:rsid w:val="00C613B9"/>
    <w:rsid w:val="00C61E4B"/>
    <w:rsid w:val="00C62E3A"/>
    <w:rsid w:val="00C62F42"/>
    <w:rsid w:val="00C63221"/>
    <w:rsid w:val="00C640E2"/>
    <w:rsid w:val="00C64503"/>
    <w:rsid w:val="00C64944"/>
    <w:rsid w:val="00C64A1F"/>
    <w:rsid w:val="00C64BFF"/>
    <w:rsid w:val="00C6593A"/>
    <w:rsid w:val="00C66DB3"/>
    <w:rsid w:val="00C673CC"/>
    <w:rsid w:val="00C7095D"/>
    <w:rsid w:val="00C70C07"/>
    <w:rsid w:val="00C7156F"/>
    <w:rsid w:val="00C720F8"/>
    <w:rsid w:val="00C72409"/>
    <w:rsid w:val="00C7255B"/>
    <w:rsid w:val="00C730E0"/>
    <w:rsid w:val="00C731E2"/>
    <w:rsid w:val="00C74210"/>
    <w:rsid w:val="00C74C78"/>
    <w:rsid w:val="00C763C9"/>
    <w:rsid w:val="00C766A3"/>
    <w:rsid w:val="00C80057"/>
    <w:rsid w:val="00C80113"/>
    <w:rsid w:val="00C816B6"/>
    <w:rsid w:val="00C81F75"/>
    <w:rsid w:val="00C82C79"/>
    <w:rsid w:val="00C832ED"/>
    <w:rsid w:val="00C841BA"/>
    <w:rsid w:val="00C84753"/>
    <w:rsid w:val="00C84DA2"/>
    <w:rsid w:val="00C8687F"/>
    <w:rsid w:val="00C90B1B"/>
    <w:rsid w:val="00C90BB4"/>
    <w:rsid w:val="00C91321"/>
    <w:rsid w:val="00C91611"/>
    <w:rsid w:val="00C91B72"/>
    <w:rsid w:val="00C92630"/>
    <w:rsid w:val="00C933F0"/>
    <w:rsid w:val="00C93AC1"/>
    <w:rsid w:val="00C94212"/>
    <w:rsid w:val="00C946B8"/>
    <w:rsid w:val="00C95304"/>
    <w:rsid w:val="00C956AF"/>
    <w:rsid w:val="00C95988"/>
    <w:rsid w:val="00C9717C"/>
    <w:rsid w:val="00CA0032"/>
    <w:rsid w:val="00CA071F"/>
    <w:rsid w:val="00CA14C7"/>
    <w:rsid w:val="00CA2D32"/>
    <w:rsid w:val="00CA3585"/>
    <w:rsid w:val="00CA3D5A"/>
    <w:rsid w:val="00CA3E75"/>
    <w:rsid w:val="00CA4C7C"/>
    <w:rsid w:val="00CA50B8"/>
    <w:rsid w:val="00CA585A"/>
    <w:rsid w:val="00CA5B6B"/>
    <w:rsid w:val="00CA6632"/>
    <w:rsid w:val="00CA6C92"/>
    <w:rsid w:val="00CB0183"/>
    <w:rsid w:val="00CB13ED"/>
    <w:rsid w:val="00CB1EA3"/>
    <w:rsid w:val="00CB5297"/>
    <w:rsid w:val="00CB552C"/>
    <w:rsid w:val="00CB6A9E"/>
    <w:rsid w:val="00CC0BE9"/>
    <w:rsid w:val="00CC1268"/>
    <w:rsid w:val="00CC137D"/>
    <w:rsid w:val="00CC2376"/>
    <w:rsid w:val="00CC38D6"/>
    <w:rsid w:val="00CC6181"/>
    <w:rsid w:val="00CC748E"/>
    <w:rsid w:val="00CD0E38"/>
    <w:rsid w:val="00CD0F80"/>
    <w:rsid w:val="00CD225D"/>
    <w:rsid w:val="00CD2BCD"/>
    <w:rsid w:val="00CD2D6D"/>
    <w:rsid w:val="00CD2F4D"/>
    <w:rsid w:val="00CD36AA"/>
    <w:rsid w:val="00CD3791"/>
    <w:rsid w:val="00CD3A22"/>
    <w:rsid w:val="00CD515A"/>
    <w:rsid w:val="00CD53DF"/>
    <w:rsid w:val="00CD5401"/>
    <w:rsid w:val="00CD5DC6"/>
    <w:rsid w:val="00CD65B0"/>
    <w:rsid w:val="00CD6BB0"/>
    <w:rsid w:val="00CD7ABB"/>
    <w:rsid w:val="00CE0243"/>
    <w:rsid w:val="00CE02CD"/>
    <w:rsid w:val="00CE0DC7"/>
    <w:rsid w:val="00CE10E9"/>
    <w:rsid w:val="00CE190A"/>
    <w:rsid w:val="00CE1C94"/>
    <w:rsid w:val="00CE1D8E"/>
    <w:rsid w:val="00CE2011"/>
    <w:rsid w:val="00CE21A2"/>
    <w:rsid w:val="00CE2F75"/>
    <w:rsid w:val="00CE3FA8"/>
    <w:rsid w:val="00CE55DE"/>
    <w:rsid w:val="00CE5647"/>
    <w:rsid w:val="00CE5812"/>
    <w:rsid w:val="00CE5965"/>
    <w:rsid w:val="00CE5987"/>
    <w:rsid w:val="00CF13C2"/>
    <w:rsid w:val="00CF401D"/>
    <w:rsid w:val="00CF43F1"/>
    <w:rsid w:val="00CF49CE"/>
    <w:rsid w:val="00CF5754"/>
    <w:rsid w:val="00CF7137"/>
    <w:rsid w:val="00D0072E"/>
    <w:rsid w:val="00D00DB4"/>
    <w:rsid w:val="00D012BE"/>
    <w:rsid w:val="00D01FBF"/>
    <w:rsid w:val="00D02E56"/>
    <w:rsid w:val="00D035B2"/>
    <w:rsid w:val="00D040FF"/>
    <w:rsid w:val="00D04B9E"/>
    <w:rsid w:val="00D06C86"/>
    <w:rsid w:val="00D10390"/>
    <w:rsid w:val="00D1069B"/>
    <w:rsid w:val="00D12C84"/>
    <w:rsid w:val="00D156A9"/>
    <w:rsid w:val="00D15720"/>
    <w:rsid w:val="00D15727"/>
    <w:rsid w:val="00D15FA2"/>
    <w:rsid w:val="00D16332"/>
    <w:rsid w:val="00D1762C"/>
    <w:rsid w:val="00D17E24"/>
    <w:rsid w:val="00D20147"/>
    <w:rsid w:val="00D21347"/>
    <w:rsid w:val="00D21B43"/>
    <w:rsid w:val="00D22C20"/>
    <w:rsid w:val="00D22CBA"/>
    <w:rsid w:val="00D238A2"/>
    <w:rsid w:val="00D23C7C"/>
    <w:rsid w:val="00D24280"/>
    <w:rsid w:val="00D247A8"/>
    <w:rsid w:val="00D24972"/>
    <w:rsid w:val="00D24E7F"/>
    <w:rsid w:val="00D2515E"/>
    <w:rsid w:val="00D2706A"/>
    <w:rsid w:val="00D270E8"/>
    <w:rsid w:val="00D271BC"/>
    <w:rsid w:val="00D27881"/>
    <w:rsid w:val="00D27FFB"/>
    <w:rsid w:val="00D308ED"/>
    <w:rsid w:val="00D31D85"/>
    <w:rsid w:val="00D32363"/>
    <w:rsid w:val="00D326F2"/>
    <w:rsid w:val="00D32E66"/>
    <w:rsid w:val="00D33399"/>
    <w:rsid w:val="00D346C2"/>
    <w:rsid w:val="00D355E5"/>
    <w:rsid w:val="00D35C14"/>
    <w:rsid w:val="00D371E6"/>
    <w:rsid w:val="00D40A37"/>
    <w:rsid w:val="00D41F5A"/>
    <w:rsid w:val="00D43084"/>
    <w:rsid w:val="00D443E1"/>
    <w:rsid w:val="00D45FA2"/>
    <w:rsid w:val="00D46F9B"/>
    <w:rsid w:val="00D50C79"/>
    <w:rsid w:val="00D51A2D"/>
    <w:rsid w:val="00D51ACF"/>
    <w:rsid w:val="00D52210"/>
    <w:rsid w:val="00D5330C"/>
    <w:rsid w:val="00D533F1"/>
    <w:rsid w:val="00D541F9"/>
    <w:rsid w:val="00D548CD"/>
    <w:rsid w:val="00D55526"/>
    <w:rsid w:val="00D56178"/>
    <w:rsid w:val="00D56CF0"/>
    <w:rsid w:val="00D56F5C"/>
    <w:rsid w:val="00D57A7C"/>
    <w:rsid w:val="00D60144"/>
    <w:rsid w:val="00D60F71"/>
    <w:rsid w:val="00D611C8"/>
    <w:rsid w:val="00D61E58"/>
    <w:rsid w:val="00D62F99"/>
    <w:rsid w:val="00D63358"/>
    <w:rsid w:val="00D6378B"/>
    <w:rsid w:val="00D63BC6"/>
    <w:rsid w:val="00D63D34"/>
    <w:rsid w:val="00D6408E"/>
    <w:rsid w:val="00D6534F"/>
    <w:rsid w:val="00D657B7"/>
    <w:rsid w:val="00D65F05"/>
    <w:rsid w:val="00D65F30"/>
    <w:rsid w:val="00D65F99"/>
    <w:rsid w:val="00D65FFB"/>
    <w:rsid w:val="00D668FB"/>
    <w:rsid w:val="00D704B1"/>
    <w:rsid w:val="00D70B63"/>
    <w:rsid w:val="00D718ED"/>
    <w:rsid w:val="00D725BB"/>
    <w:rsid w:val="00D72AAE"/>
    <w:rsid w:val="00D72B92"/>
    <w:rsid w:val="00D72DFA"/>
    <w:rsid w:val="00D72ED4"/>
    <w:rsid w:val="00D72F75"/>
    <w:rsid w:val="00D73F61"/>
    <w:rsid w:val="00D754C0"/>
    <w:rsid w:val="00D75C26"/>
    <w:rsid w:val="00D776A2"/>
    <w:rsid w:val="00D801C4"/>
    <w:rsid w:val="00D80534"/>
    <w:rsid w:val="00D82355"/>
    <w:rsid w:val="00D833F0"/>
    <w:rsid w:val="00D83D2E"/>
    <w:rsid w:val="00D86B94"/>
    <w:rsid w:val="00D87C0F"/>
    <w:rsid w:val="00D90110"/>
    <w:rsid w:val="00D905C1"/>
    <w:rsid w:val="00D90836"/>
    <w:rsid w:val="00D9101D"/>
    <w:rsid w:val="00D930BC"/>
    <w:rsid w:val="00D94D40"/>
    <w:rsid w:val="00D95896"/>
    <w:rsid w:val="00D95CC6"/>
    <w:rsid w:val="00D9622B"/>
    <w:rsid w:val="00D96D08"/>
    <w:rsid w:val="00D97D58"/>
    <w:rsid w:val="00DA0397"/>
    <w:rsid w:val="00DA2B63"/>
    <w:rsid w:val="00DA2DA3"/>
    <w:rsid w:val="00DA4077"/>
    <w:rsid w:val="00DA47DE"/>
    <w:rsid w:val="00DA4A2B"/>
    <w:rsid w:val="00DA4C23"/>
    <w:rsid w:val="00DA6615"/>
    <w:rsid w:val="00DA7243"/>
    <w:rsid w:val="00DA76AE"/>
    <w:rsid w:val="00DB181E"/>
    <w:rsid w:val="00DB1C7A"/>
    <w:rsid w:val="00DB2242"/>
    <w:rsid w:val="00DB2983"/>
    <w:rsid w:val="00DB2CA7"/>
    <w:rsid w:val="00DB343D"/>
    <w:rsid w:val="00DB5579"/>
    <w:rsid w:val="00DB5CFE"/>
    <w:rsid w:val="00DB6A83"/>
    <w:rsid w:val="00DB6D57"/>
    <w:rsid w:val="00DB72F8"/>
    <w:rsid w:val="00DB770D"/>
    <w:rsid w:val="00DB7852"/>
    <w:rsid w:val="00DB7EB0"/>
    <w:rsid w:val="00DC048D"/>
    <w:rsid w:val="00DC1BA2"/>
    <w:rsid w:val="00DC2CC1"/>
    <w:rsid w:val="00DC2F03"/>
    <w:rsid w:val="00DC3D7A"/>
    <w:rsid w:val="00DC4EC6"/>
    <w:rsid w:val="00DC530E"/>
    <w:rsid w:val="00DC55DA"/>
    <w:rsid w:val="00DC72A6"/>
    <w:rsid w:val="00DC787A"/>
    <w:rsid w:val="00DD1710"/>
    <w:rsid w:val="00DD2113"/>
    <w:rsid w:val="00DD265E"/>
    <w:rsid w:val="00DD2BF6"/>
    <w:rsid w:val="00DD2EA7"/>
    <w:rsid w:val="00DD31F5"/>
    <w:rsid w:val="00DD43AF"/>
    <w:rsid w:val="00DD4ACA"/>
    <w:rsid w:val="00DD4EF3"/>
    <w:rsid w:val="00DD53D0"/>
    <w:rsid w:val="00DD68B1"/>
    <w:rsid w:val="00DD6BC7"/>
    <w:rsid w:val="00DD708C"/>
    <w:rsid w:val="00DE095C"/>
    <w:rsid w:val="00DE175F"/>
    <w:rsid w:val="00DE1D89"/>
    <w:rsid w:val="00DE2BE0"/>
    <w:rsid w:val="00DE3152"/>
    <w:rsid w:val="00DE32AD"/>
    <w:rsid w:val="00DE475B"/>
    <w:rsid w:val="00DE5483"/>
    <w:rsid w:val="00DE5816"/>
    <w:rsid w:val="00DE5D9C"/>
    <w:rsid w:val="00DE618F"/>
    <w:rsid w:val="00DE73A0"/>
    <w:rsid w:val="00DE7FC9"/>
    <w:rsid w:val="00DF1930"/>
    <w:rsid w:val="00DF2BEB"/>
    <w:rsid w:val="00DF4700"/>
    <w:rsid w:val="00DF514A"/>
    <w:rsid w:val="00DF5848"/>
    <w:rsid w:val="00DF5E79"/>
    <w:rsid w:val="00DF64F8"/>
    <w:rsid w:val="00E0005E"/>
    <w:rsid w:val="00E022A7"/>
    <w:rsid w:val="00E0241A"/>
    <w:rsid w:val="00E0358D"/>
    <w:rsid w:val="00E0375C"/>
    <w:rsid w:val="00E038B9"/>
    <w:rsid w:val="00E04AFA"/>
    <w:rsid w:val="00E0533C"/>
    <w:rsid w:val="00E05C94"/>
    <w:rsid w:val="00E06327"/>
    <w:rsid w:val="00E07051"/>
    <w:rsid w:val="00E07B86"/>
    <w:rsid w:val="00E103CB"/>
    <w:rsid w:val="00E132C2"/>
    <w:rsid w:val="00E143EF"/>
    <w:rsid w:val="00E14626"/>
    <w:rsid w:val="00E1482E"/>
    <w:rsid w:val="00E16DC2"/>
    <w:rsid w:val="00E177C5"/>
    <w:rsid w:val="00E17D9F"/>
    <w:rsid w:val="00E2064B"/>
    <w:rsid w:val="00E20F35"/>
    <w:rsid w:val="00E23239"/>
    <w:rsid w:val="00E24E86"/>
    <w:rsid w:val="00E25239"/>
    <w:rsid w:val="00E25C65"/>
    <w:rsid w:val="00E265B1"/>
    <w:rsid w:val="00E275B0"/>
    <w:rsid w:val="00E27793"/>
    <w:rsid w:val="00E27BDF"/>
    <w:rsid w:val="00E302BE"/>
    <w:rsid w:val="00E30FEB"/>
    <w:rsid w:val="00E31C88"/>
    <w:rsid w:val="00E345DD"/>
    <w:rsid w:val="00E34AE1"/>
    <w:rsid w:val="00E369BA"/>
    <w:rsid w:val="00E4002E"/>
    <w:rsid w:val="00E40685"/>
    <w:rsid w:val="00E41297"/>
    <w:rsid w:val="00E412D0"/>
    <w:rsid w:val="00E418A5"/>
    <w:rsid w:val="00E42DE1"/>
    <w:rsid w:val="00E42EDB"/>
    <w:rsid w:val="00E43FC5"/>
    <w:rsid w:val="00E44343"/>
    <w:rsid w:val="00E45E9A"/>
    <w:rsid w:val="00E46340"/>
    <w:rsid w:val="00E475EC"/>
    <w:rsid w:val="00E47CDB"/>
    <w:rsid w:val="00E50148"/>
    <w:rsid w:val="00E502DA"/>
    <w:rsid w:val="00E51D99"/>
    <w:rsid w:val="00E539FD"/>
    <w:rsid w:val="00E55660"/>
    <w:rsid w:val="00E55B17"/>
    <w:rsid w:val="00E5608C"/>
    <w:rsid w:val="00E5626F"/>
    <w:rsid w:val="00E566BC"/>
    <w:rsid w:val="00E566EF"/>
    <w:rsid w:val="00E567B6"/>
    <w:rsid w:val="00E56D5C"/>
    <w:rsid w:val="00E57AA1"/>
    <w:rsid w:val="00E60982"/>
    <w:rsid w:val="00E60C8D"/>
    <w:rsid w:val="00E6162F"/>
    <w:rsid w:val="00E630CD"/>
    <w:rsid w:val="00E6311B"/>
    <w:rsid w:val="00E644B6"/>
    <w:rsid w:val="00E65462"/>
    <w:rsid w:val="00E65D97"/>
    <w:rsid w:val="00E664A4"/>
    <w:rsid w:val="00E67A61"/>
    <w:rsid w:val="00E67EFD"/>
    <w:rsid w:val="00E702DC"/>
    <w:rsid w:val="00E7124E"/>
    <w:rsid w:val="00E71712"/>
    <w:rsid w:val="00E71FFB"/>
    <w:rsid w:val="00E742EF"/>
    <w:rsid w:val="00E75F20"/>
    <w:rsid w:val="00E76CC1"/>
    <w:rsid w:val="00E76CD5"/>
    <w:rsid w:val="00E76D1D"/>
    <w:rsid w:val="00E76F20"/>
    <w:rsid w:val="00E77320"/>
    <w:rsid w:val="00E7739D"/>
    <w:rsid w:val="00E77B72"/>
    <w:rsid w:val="00E806F8"/>
    <w:rsid w:val="00E815F6"/>
    <w:rsid w:val="00E8230A"/>
    <w:rsid w:val="00E831FA"/>
    <w:rsid w:val="00E83FAC"/>
    <w:rsid w:val="00E843FA"/>
    <w:rsid w:val="00E84D7E"/>
    <w:rsid w:val="00E85702"/>
    <w:rsid w:val="00E85C23"/>
    <w:rsid w:val="00E85E64"/>
    <w:rsid w:val="00E8668D"/>
    <w:rsid w:val="00E866FE"/>
    <w:rsid w:val="00E869A2"/>
    <w:rsid w:val="00E869CD"/>
    <w:rsid w:val="00E86B95"/>
    <w:rsid w:val="00E87752"/>
    <w:rsid w:val="00E8793B"/>
    <w:rsid w:val="00E90A60"/>
    <w:rsid w:val="00E90F81"/>
    <w:rsid w:val="00E91853"/>
    <w:rsid w:val="00E91A6D"/>
    <w:rsid w:val="00E9242D"/>
    <w:rsid w:val="00E92601"/>
    <w:rsid w:val="00E92637"/>
    <w:rsid w:val="00E92A1F"/>
    <w:rsid w:val="00E9356C"/>
    <w:rsid w:val="00E93CB7"/>
    <w:rsid w:val="00E94E46"/>
    <w:rsid w:val="00E95B88"/>
    <w:rsid w:val="00E96B9F"/>
    <w:rsid w:val="00E96C8E"/>
    <w:rsid w:val="00E971C7"/>
    <w:rsid w:val="00E97809"/>
    <w:rsid w:val="00EA01C2"/>
    <w:rsid w:val="00EA19B7"/>
    <w:rsid w:val="00EA1D59"/>
    <w:rsid w:val="00EA2544"/>
    <w:rsid w:val="00EA2A13"/>
    <w:rsid w:val="00EA2EE3"/>
    <w:rsid w:val="00EA3421"/>
    <w:rsid w:val="00EA44A9"/>
    <w:rsid w:val="00EA5633"/>
    <w:rsid w:val="00EA68BF"/>
    <w:rsid w:val="00EA6976"/>
    <w:rsid w:val="00EB041C"/>
    <w:rsid w:val="00EB06BD"/>
    <w:rsid w:val="00EB1880"/>
    <w:rsid w:val="00EB27C2"/>
    <w:rsid w:val="00EB2AF8"/>
    <w:rsid w:val="00EB54ED"/>
    <w:rsid w:val="00EB623F"/>
    <w:rsid w:val="00EB6A15"/>
    <w:rsid w:val="00EC0B44"/>
    <w:rsid w:val="00EC0DB8"/>
    <w:rsid w:val="00EC18EA"/>
    <w:rsid w:val="00EC2B1C"/>
    <w:rsid w:val="00EC3679"/>
    <w:rsid w:val="00EC4EF9"/>
    <w:rsid w:val="00EC4F83"/>
    <w:rsid w:val="00EC5874"/>
    <w:rsid w:val="00EC6D02"/>
    <w:rsid w:val="00ED052E"/>
    <w:rsid w:val="00ED192D"/>
    <w:rsid w:val="00ED1CB3"/>
    <w:rsid w:val="00ED30B4"/>
    <w:rsid w:val="00ED31F5"/>
    <w:rsid w:val="00ED3CBB"/>
    <w:rsid w:val="00ED4BA0"/>
    <w:rsid w:val="00ED50D0"/>
    <w:rsid w:val="00ED5F17"/>
    <w:rsid w:val="00ED6B64"/>
    <w:rsid w:val="00ED7AFA"/>
    <w:rsid w:val="00EE0AC7"/>
    <w:rsid w:val="00EE2213"/>
    <w:rsid w:val="00EE23C5"/>
    <w:rsid w:val="00EE35C7"/>
    <w:rsid w:val="00EE475F"/>
    <w:rsid w:val="00EE5237"/>
    <w:rsid w:val="00EE5571"/>
    <w:rsid w:val="00EE797D"/>
    <w:rsid w:val="00EF2759"/>
    <w:rsid w:val="00EF41A1"/>
    <w:rsid w:val="00EF45EB"/>
    <w:rsid w:val="00EF4CD2"/>
    <w:rsid w:val="00EF4DAA"/>
    <w:rsid w:val="00EF4E12"/>
    <w:rsid w:val="00EF5099"/>
    <w:rsid w:val="00EF5E33"/>
    <w:rsid w:val="00EF66F2"/>
    <w:rsid w:val="00F00075"/>
    <w:rsid w:val="00F003DE"/>
    <w:rsid w:val="00F00D40"/>
    <w:rsid w:val="00F02AD3"/>
    <w:rsid w:val="00F02F70"/>
    <w:rsid w:val="00F03D82"/>
    <w:rsid w:val="00F0414D"/>
    <w:rsid w:val="00F04675"/>
    <w:rsid w:val="00F05188"/>
    <w:rsid w:val="00F051D2"/>
    <w:rsid w:val="00F0545F"/>
    <w:rsid w:val="00F06051"/>
    <w:rsid w:val="00F0609B"/>
    <w:rsid w:val="00F065A3"/>
    <w:rsid w:val="00F07073"/>
    <w:rsid w:val="00F07822"/>
    <w:rsid w:val="00F07B05"/>
    <w:rsid w:val="00F07BCE"/>
    <w:rsid w:val="00F10D53"/>
    <w:rsid w:val="00F1202C"/>
    <w:rsid w:val="00F12599"/>
    <w:rsid w:val="00F12930"/>
    <w:rsid w:val="00F13E4F"/>
    <w:rsid w:val="00F13EA5"/>
    <w:rsid w:val="00F13FB6"/>
    <w:rsid w:val="00F15C95"/>
    <w:rsid w:val="00F208AB"/>
    <w:rsid w:val="00F211B5"/>
    <w:rsid w:val="00F21D3A"/>
    <w:rsid w:val="00F22333"/>
    <w:rsid w:val="00F225FD"/>
    <w:rsid w:val="00F2285F"/>
    <w:rsid w:val="00F22985"/>
    <w:rsid w:val="00F230E3"/>
    <w:rsid w:val="00F235C2"/>
    <w:rsid w:val="00F23650"/>
    <w:rsid w:val="00F241AB"/>
    <w:rsid w:val="00F24C0D"/>
    <w:rsid w:val="00F25C00"/>
    <w:rsid w:val="00F2640A"/>
    <w:rsid w:val="00F3076E"/>
    <w:rsid w:val="00F31024"/>
    <w:rsid w:val="00F31382"/>
    <w:rsid w:val="00F3185B"/>
    <w:rsid w:val="00F342CE"/>
    <w:rsid w:val="00F35829"/>
    <w:rsid w:val="00F35B57"/>
    <w:rsid w:val="00F36069"/>
    <w:rsid w:val="00F40502"/>
    <w:rsid w:val="00F406D8"/>
    <w:rsid w:val="00F40A0F"/>
    <w:rsid w:val="00F40AC3"/>
    <w:rsid w:val="00F40D20"/>
    <w:rsid w:val="00F4151A"/>
    <w:rsid w:val="00F425F4"/>
    <w:rsid w:val="00F42868"/>
    <w:rsid w:val="00F42ADE"/>
    <w:rsid w:val="00F43AF2"/>
    <w:rsid w:val="00F43BCF"/>
    <w:rsid w:val="00F440A6"/>
    <w:rsid w:val="00F44A3D"/>
    <w:rsid w:val="00F46112"/>
    <w:rsid w:val="00F465A7"/>
    <w:rsid w:val="00F4762F"/>
    <w:rsid w:val="00F47738"/>
    <w:rsid w:val="00F47DB9"/>
    <w:rsid w:val="00F50B7C"/>
    <w:rsid w:val="00F51639"/>
    <w:rsid w:val="00F51CA3"/>
    <w:rsid w:val="00F5202D"/>
    <w:rsid w:val="00F52CF6"/>
    <w:rsid w:val="00F52E92"/>
    <w:rsid w:val="00F52EF1"/>
    <w:rsid w:val="00F54496"/>
    <w:rsid w:val="00F54EAD"/>
    <w:rsid w:val="00F55096"/>
    <w:rsid w:val="00F55E52"/>
    <w:rsid w:val="00F56A56"/>
    <w:rsid w:val="00F6084B"/>
    <w:rsid w:val="00F61097"/>
    <w:rsid w:val="00F62422"/>
    <w:rsid w:val="00F62C1A"/>
    <w:rsid w:val="00F64441"/>
    <w:rsid w:val="00F64D53"/>
    <w:rsid w:val="00F65F88"/>
    <w:rsid w:val="00F663C4"/>
    <w:rsid w:val="00F67A85"/>
    <w:rsid w:val="00F70D1A"/>
    <w:rsid w:val="00F7136F"/>
    <w:rsid w:val="00F73935"/>
    <w:rsid w:val="00F74345"/>
    <w:rsid w:val="00F74441"/>
    <w:rsid w:val="00F7456B"/>
    <w:rsid w:val="00F75070"/>
    <w:rsid w:val="00F7668D"/>
    <w:rsid w:val="00F77410"/>
    <w:rsid w:val="00F77F30"/>
    <w:rsid w:val="00F813B3"/>
    <w:rsid w:val="00F82589"/>
    <w:rsid w:val="00F82B19"/>
    <w:rsid w:val="00F8361E"/>
    <w:rsid w:val="00F8387F"/>
    <w:rsid w:val="00F86650"/>
    <w:rsid w:val="00F86F34"/>
    <w:rsid w:val="00F90153"/>
    <w:rsid w:val="00F90AA7"/>
    <w:rsid w:val="00F90BAB"/>
    <w:rsid w:val="00F9212D"/>
    <w:rsid w:val="00F9273D"/>
    <w:rsid w:val="00F92C1F"/>
    <w:rsid w:val="00FA17EA"/>
    <w:rsid w:val="00FA301A"/>
    <w:rsid w:val="00FA3762"/>
    <w:rsid w:val="00FA406A"/>
    <w:rsid w:val="00FA4376"/>
    <w:rsid w:val="00FA4BE6"/>
    <w:rsid w:val="00FA5540"/>
    <w:rsid w:val="00FA5CB6"/>
    <w:rsid w:val="00FA6E6F"/>
    <w:rsid w:val="00FA7DEF"/>
    <w:rsid w:val="00FA7FE9"/>
    <w:rsid w:val="00FB0E38"/>
    <w:rsid w:val="00FB150B"/>
    <w:rsid w:val="00FB1629"/>
    <w:rsid w:val="00FB2FFF"/>
    <w:rsid w:val="00FB4557"/>
    <w:rsid w:val="00FB5907"/>
    <w:rsid w:val="00FB6F58"/>
    <w:rsid w:val="00FC0DD3"/>
    <w:rsid w:val="00FC0EE9"/>
    <w:rsid w:val="00FC21EF"/>
    <w:rsid w:val="00FC2FAB"/>
    <w:rsid w:val="00FC3097"/>
    <w:rsid w:val="00FC319F"/>
    <w:rsid w:val="00FC4C42"/>
    <w:rsid w:val="00FC53F6"/>
    <w:rsid w:val="00FC5726"/>
    <w:rsid w:val="00FC5FAA"/>
    <w:rsid w:val="00FC66AC"/>
    <w:rsid w:val="00FC7C76"/>
    <w:rsid w:val="00FD017D"/>
    <w:rsid w:val="00FD0C94"/>
    <w:rsid w:val="00FD18F4"/>
    <w:rsid w:val="00FD3976"/>
    <w:rsid w:val="00FD4194"/>
    <w:rsid w:val="00FD4C70"/>
    <w:rsid w:val="00FD74B4"/>
    <w:rsid w:val="00FD7EE1"/>
    <w:rsid w:val="00FE04DD"/>
    <w:rsid w:val="00FE2304"/>
    <w:rsid w:val="00FE2654"/>
    <w:rsid w:val="00FE2DF5"/>
    <w:rsid w:val="00FE3B67"/>
    <w:rsid w:val="00FE3DB2"/>
    <w:rsid w:val="00FE4250"/>
    <w:rsid w:val="00FE426A"/>
    <w:rsid w:val="00FE477E"/>
    <w:rsid w:val="00FE4DCC"/>
    <w:rsid w:val="00FE4E20"/>
    <w:rsid w:val="00FE7D14"/>
    <w:rsid w:val="00FF0274"/>
    <w:rsid w:val="00FF0385"/>
    <w:rsid w:val="00FF0652"/>
    <w:rsid w:val="00FF0E85"/>
    <w:rsid w:val="00FF186B"/>
    <w:rsid w:val="00FF1A58"/>
    <w:rsid w:val="00FF2C4C"/>
    <w:rsid w:val="00FF2F23"/>
    <w:rsid w:val="00FF3353"/>
    <w:rsid w:val="00FF524B"/>
    <w:rsid w:val="00FF5691"/>
    <w:rsid w:val="00FF56A0"/>
    <w:rsid w:val="00FF571C"/>
    <w:rsid w:val="00FF66CF"/>
    <w:rsid w:val="00FF6C22"/>
    <w:rsid w:val="00FF6FCE"/>
    <w:rsid w:val="00FF738E"/>
    <w:rsid w:val="00FF7518"/>
    <w:rsid w:val="00FF7701"/>
    <w:rsid w:val="00FF7FD8"/>
    <w:rsid w:val="05742AC8"/>
    <w:rsid w:val="06352F05"/>
    <w:rsid w:val="063E7D85"/>
    <w:rsid w:val="06997FA3"/>
    <w:rsid w:val="070875E0"/>
    <w:rsid w:val="07293586"/>
    <w:rsid w:val="07295285"/>
    <w:rsid w:val="07770C56"/>
    <w:rsid w:val="092217DD"/>
    <w:rsid w:val="093A7294"/>
    <w:rsid w:val="0BD27BF6"/>
    <w:rsid w:val="0E110D06"/>
    <w:rsid w:val="0F13775A"/>
    <w:rsid w:val="0F9A112B"/>
    <w:rsid w:val="106D2F64"/>
    <w:rsid w:val="10B63710"/>
    <w:rsid w:val="111C2F7A"/>
    <w:rsid w:val="113013DE"/>
    <w:rsid w:val="122B06C2"/>
    <w:rsid w:val="13951726"/>
    <w:rsid w:val="14396509"/>
    <w:rsid w:val="1447165C"/>
    <w:rsid w:val="17735226"/>
    <w:rsid w:val="1A1C66C0"/>
    <w:rsid w:val="1A42393B"/>
    <w:rsid w:val="1B046F80"/>
    <w:rsid w:val="1B3267B5"/>
    <w:rsid w:val="1BC25DC8"/>
    <w:rsid w:val="1C5E7925"/>
    <w:rsid w:val="1C887FC8"/>
    <w:rsid w:val="1D5F6196"/>
    <w:rsid w:val="1D6132A5"/>
    <w:rsid w:val="1D8E56D5"/>
    <w:rsid w:val="1DF002FE"/>
    <w:rsid w:val="1E7A43DA"/>
    <w:rsid w:val="1EB277FE"/>
    <w:rsid w:val="1FE7539E"/>
    <w:rsid w:val="20963CB8"/>
    <w:rsid w:val="20B07FB6"/>
    <w:rsid w:val="213B74B1"/>
    <w:rsid w:val="215A2310"/>
    <w:rsid w:val="21DE318A"/>
    <w:rsid w:val="21EF5B80"/>
    <w:rsid w:val="22576990"/>
    <w:rsid w:val="229C4EAB"/>
    <w:rsid w:val="252D53FE"/>
    <w:rsid w:val="25EC2D81"/>
    <w:rsid w:val="264528BD"/>
    <w:rsid w:val="27D15DD1"/>
    <w:rsid w:val="28A76295"/>
    <w:rsid w:val="29206EB8"/>
    <w:rsid w:val="29E325E0"/>
    <w:rsid w:val="2A452503"/>
    <w:rsid w:val="2AE840AE"/>
    <w:rsid w:val="2BA936A8"/>
    <w:rsid w:val="2C315A5A"/>
    <w:rsid w:val="2D9E56F5"/>
    <w:rsid w:val="2E667F96"/>
    <w:rsid w:val="2E8226AB"/>
    <w:rsid w:val="2F832C79"/>
    <w:rsid w:val="2FEF2D58"/>
    <w:rsid w:val="30580BC9"/>
    <w:rsid w:val="311E2ED7"/>
    <w:rsid w:val="315C449C"/>
    <w:rsid w:val="31B82709"/>
    <w:rsid w:val="32400B34"/>
    <w:rsid w:val="329E6876"/>
    <w:rsid w:val="33D934D4"/>
    <w:rsid w:val="33FE2F6A"/>
    <w:rsid w:val="346461BF"/>
    <w:rsid w:val="36074A7F"/>
    <w:rsid w:val="36923549"/>
    <w:rsid w:val="36B75FBF"/>
    <w:rsid w:val="36FB4891"/>
    <w:rsid w:val="38F12CD3"/>
    <w:rsid w:val="38F94775"/>
    <w:rsid w:val="392971ED"/>
    <w:rsid w:val="39B546EA"/>
    <w:rsid w:val="3B3763D1"/>
    <w:rsid w:val="3BEF693C"/>
    <w:rsid w:val="3CDA245A"/>
    <w:rsid w:val="3CEE0A37"/>
    <w:rsid w:val="3F660E74"/>
    <w:rsid w:val="407A6407"/>
    <w:rsid w:val="423A3BCC"/>
    <w:rsid w:val="433A6FE6"/>
    <w:rsid w:val="4350713C"/>
    <w:rsid w:val="436653E0"/>
    <w:rsid w:val="44CD14E0"/>
    <w:rsid w:val="451724F0"/>
    <w:rsid w:val="458946E9"/>
    <w:rsid w:val="46D955A7"/>
    <w:rsid w:val="47133957"/>
    <w:rsid w:val="4779329E"/>
    <w:rsid w:val="47A07E0C"/>
    <w:rsid w:val="47F60747"/>
    <w:rsid w:val="4870272E"/>
    <w:rsid w:val="49DC7715"/>
    <w:rsid w:val="4A023139"/>
    <w:rsid w:val="4A7B576F"/>
    <w:rsid w:val="4C4A0649"/>
    <w:rsid w:val="4CE470D3"/>
    <w:rsid w:val="4DEC4FB0"/>
    <w:rsid w:val="4E075D8A"/>
    <w:rsid w:val="4FC62A8C"/>
    <w:rsid w:val="4FE20F0D"/>
    <w:rsid w:val="50504C4B"/>
    <w:rsid w:val="509C6E7C"/>
    <w:rsid w:val="5162104E"/>
    <w:rsid w:val="53A039CC"/>
    <w:rsid w:val="53A1505A"/>
    <w:rsid w:val="54063E08"/>
    <w:rsid w:val="543437E8"/>
    <w:rsid w:val="559B174B"/>
    <w:rsid w:val="55CE0CF4"/>
    <w:rsid w:val="56B22A9C"/>
    <w:rsid w:val="57B72A76"/>
    <w:rsid w:val="5A3C747D"/>
    <w:rsid w:val="5ABE2233"/>
    <w:rsid w:val="5B276D18"/>
    <w:rsid w:val="5BDF5D95"/>
    <w:rsid w:val="5BEF136E"/>
    <w:rsid w:val="5DF87A0F"/>
    <w:rsid w:val="5F1A2B43"/>
    <w:rsid w:val="5FB837BB"/>
    <w:rsid w:val="5FC04FEE"/>
    <w:rsid w:val="62364782"/>
    <w:rsid w:val="63D40BE9"/>
    <w:rsid w:val="63E0211F"/>
    <w:rsid w:val="65373578"/>
    <w:rsid w:val="673F2C7A"/>
    <w:rsid w:val="681F6961"/>
    <w:rsid w:val="68610A2F"/>
    <w:rsid w:val="68805514"/>
    <w:rsid w:val="694E2071"/>
    <w:rsid w:val="697A3B33"/>
    <w:rsid w:val="699E2456"/>
    <w:rsid w:val="6B322639"/>
    <w:rsid w:val="6C636C38"/>
    <w:rsid w:val="6DB34098"/>
    <w:rsid w:val="6DB545B6"/>
    <w:rsid w:val="6E4375A0"/>
    <w:rsid w:val="6E514CED"/>
    <w:rsid w:val="6E79491A"/>
    <w:rsid w:val="6EB563D5"/>
    <w:rsid w:val="6F225983"/>
    <w:rsid w:val="6FFC5590"/>
    <w:rsid w:val="70301DA3"/>
    <w:rsid w:val="706D1DD0"/>
    <w:rsid w:val="70856B87"/>
    <w:rsid w:val="70D527EE"/>
    <w:rsid w:val="715B5300"/>
    <w:rsid w:val="715F4BD7"/>
    <w:rsid w:val="71D27F8A"/>
    <w:rsid w:val="71F744C6"/>
    <w:rsid w:val="71F960CF"/>
    <w:rsid w:val="731F5D5E"/>
    <w:rsid w:val="741E793C"/>
    <w:rsid w:val="758D75E2"/>
    <w:rsid w:val="77762421"/>
    <w:rsid w:val="780F09F4"/>
    <w:rsid w:val="789C4F47"/>
    <w:rsid w:val="78A90480"/>
    <w:rsid w:val="79811327"/>
    <w:rsid w:val="7A364017"/>
    <w:rsid w:val="7A8265E1"/>
    <w:rsid w:val="7B3F5A8A"/>
    <w:rsid w:val="7B686D42"/>
    <w:rsid w:val="7B841746"/>
    <w:rsid w:val="7D0239FF"/>
    <w:rsid w:val="7D5E40CD"/>
    <w:rsid w:val="7D693BED"/>
    <w:rsid w:val="7DE25835"/>
    <w:rsid w:val="7F82180F"/>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qFormat/>
    <w:uiPriority w:val="9"/>
    <w:pPr>
      <w:keepNext/>
      <w:overflowPunct w:val="0"/>
      <w:snapToGrid w:val="0"/>
      <w:spacing w:line="360" w:lineRule="auto"/>
      <w:ind w:left="431" w:hanging="431"/>
      <w:jc w:val="center"/>
      <w:outlineLvl w:val="0"/>
    </w:pPr>
    <w:rPr>
      <w:rFonts w:eastAsia="黑体"/>
      <w:bCs/>
      <w:color w:val="000000"/>
      <w:kern w:val="44"/>
      <w:sz w:val="30"/>
      <w:szCs w:val="30"/>
    </w:rPr>
  </w:style>
  <w:style w:type="paragraph" w:styleId="3">
    <w:name w:val="heading 2"/>
    <w:basedOn w:val="1"/>
    <w:next w:val="1"/>
    <w:link w:val="26"/>
    <w:qFormat/>
    <w:locked/>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85"/>
    <w:qFormat/>
    <w:locked/>
    <w:uiPriority w:val="9"/>
    <w:pPr>
      <w:spacing w:before="160" w:after="160" w:line="360" w:lineRule="auto"/>
      <w:ind w:left="284"/>
      <w:jc w:val="left"/>
      <w:outlineLvl w:val="2"/>
    </w:pPr>
    <w:rPr>
      <w:rFonts w:ascii="黑体" w:hAnsi="黑体" w:eastAsia="黑体"/>
      <w:sz w:val="24"/>
      <w:szCs w:val="21"/>
    </w:rPr>
  </w:style>
  <w:style w:type="character" w:default="1" w:styleId="23">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caption"/>
    <w:basedOn w:val="1"/>
    <w:next w:val="1"/>
    <w:link w:val="27"/>
    <w:qFormat/>
    <w:locked/>
    <w:uiPriority w:val="0"/>
    <w:pPr>
      <w:spacing w:line="500" w:lineRule="exact"/>
      <w:jc w:val="center"/>
    </w:pPr>
    <w:rPr>
      <w:rFonts w:ascii="黑体" w:hAnsi="黑体" w:eastAsia="黑体"/>
      <w:szCs w:val="20"/>
    </w:rPr>
  </w:style>
  <w:style w:type="paragraph" w:styleId="7">
    <w:name w:val="annotation text"/>
    <w:basedOn w:val="1"/>
    <w:link w:val="28"/>
    <w:semiHidden/>
    <w:qFormat/>
    <w:uiPriority w:val="0"/>
    <w:pPr>
      <w:jc w:val="left"/>
    </w:pPr>
    <w:rPr>
      <w:kern w:val="0"/>
      <w:sz w:val="20"/>
    </w:rPr>
  </w:style>
  <w:style w:type="paragraph" w:styleId="8">
    <w:name w:val="Body Text"/>
    <w:basedOn w:val="1"/>
    <w:link w:val="29"/>
    <w:qFormat/>
    <w:uiPriority w:val="0"/>
    <w:pPr>
      <w:widowControl/>
      <w:snapToGrid w:val="0"/>
      <w:spacing w:before="60" w:after="160" w:line="259" w:lineRule="auto"/>
      <w:ind w:right="113"/>
    </w:pPr>
    <w:rPr>
      <w:kern w:val="0"/>
      <w:sz w:val="18"/>
      <w:szCs w:val="18"/>
    </w:rPr>
  </w:style>
  <w:style w:type="paragraph" w:styleId="9">
    <w:name w:val="Body Text Indent"/>
    <w:basedOn w:val="1"/>
    <w:link w:val="30"/>
    <w:semiHidden/>
    <w:qFormat/>
    <w:uiPriority w:val="0"/>
    <w:pPr>
      <w:spacing w:after="120"/>
      <w:ind w:left="420" w:leftChars="200"/>
    </w:pPr>
  </w:style>
  <w:style w:type="paragraph" w:styleId="10">
    <w:name w:val="Date"/>
    <w:basedOn w:val="1"/>
    <w:next w:val="1"/>
    <w:link w:val="31"/>
    <w:qFormat/>
    <w:uiPriority w:val="0"/>
    <w:pPr>
      <w:ind w:left="100" w:leftChars="2500"/>
    </w:pPr>
    <w:rPr>
      <w:kern w:val="0"/>
      <w:sz w:val="20"/>
    </w:rPr>
  </w:style>
  <w:style w:type="paragraph" w:styleId="11">
    <w:name w:val="Balloon Text"/>
    <w:basedOn w:val="1"/>
    <w:link w:val="32"/>
    <w:semiHidden/>
    <w:qFormat/>
    <w:uiPriority w:val="0"/>
    <w:rPr>
      <w:sz w:val="18"/>
      <w:szCs w:val="18"/>
    </w:rPr>
  </w:style>
  <w:style w:type="paragraph" w:styleId="12">
    <w:name w:val="footer"/>
    <w:basedOn w:val="1"/>
    <w:link w:val="33"/>
    <w:qFormat/>
    <w:uiPriority w:val="99"/>
    <w:pPr>
      <w:tabs>
        <w:tab w:val="center" w:pos="4153"/>
        <w:tab w:val="right" w:pos="8306"/>
      </w:tabs>
      <w:snapToGrid w:val="0"/>
      <w:jc w:val="left"/>
    </w:pPr>
    <w:rPr>
      <w:sz w:val="18"/>
      <w:szCs w:val="18"/>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35"/>
    <w:qFormat/>
    <w:uiPriority w:val="99"/>
    <w:pPr>
      <w:widowControl/>
      <w:spacing w:before="100" w:beforeAutospacing="1" w:after="100" w:afterAutospacing="1"/>
      <w:jc w:val="left"/>
    </w:pPr>
    <w:rPr>
      <w:rFonts w:ascii="宋体" w:hAnsi="宋体"/>
      <w:kern w:val="0"/>
      <w:sz w:val="24"/>
    </w:rPr>
  </w:style>
  <w:style w:type="paragraph" w:styleId="15">
    <w:name w:val="Title"/>
    <w:basedOn w:val="1"/>
    <w:next w:val="1"/>
    <w:link w:val="69"/>
    <w:qFormat/>
    <w:locked/>
    <w:uiPriority w:val="0"/>
    <w:pPr>
      <w:spacing w:line="360" w:lineRule="auto"/>
      <w:jc w:val="center"/>
      <w:outlineLvl w:val="0"/>
    </w:pPr>
    <w:rPr>
      <w:rFonts w:eastAsia="黑体" w:asciiTheme="majorHAnsi" w:hAnsiTheme="majorHAnsi" w:cstheme="majorBidi"/>
      <w:bCs/>
      <w:sz w:val="30"/>
      <w:szCs w:val="32"/>
    </w:rPr>
  </w:style>
  <w:style w:type="paragraph" w:styleId="16">
    <w:name w:val="annotation subject"/>
    <w:basedOn w:val="7"/>
    <w:next w:val="7"/>
    <w:link w:val="36"/>
    <w:semiHidden/>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Theme"/>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Classic 1"/>
    <w:basedOn w:val="1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1">
    <w:name w:val="Table Grid 1"/>
    <w:basedOn w:val="1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22">
    <w:name w:val="Table Grid 2"/>
    <w:basedOn w:val="17"/>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24">
    <w:name w:val="page number"/>
    <w:qFormat/>
    <w:uiPriority w:val="0"/>
  </w:style>
  <w:style w:type="character" w:styleId="25">
    <w:name w:val="annotation reference"/>
    <w:semiHidden/>
    <w:qFormat/>
    <w:uiPriority w:val="0"/>
    <w:rPr>
      <w:sz w:val="21"/>
    </w:rPr>
  </w:style>
  <w:style w:type="character" w:customStyle="1" w:styleId="26">
    <w:name w:val="标题 2 字符"/>
    <w:link w:val="3"/>
    <w:semiHidden/>
    <w:qFormat/>
    <w:uiPriority w:val="0"/>
    <w:rPr>
      <w:rFonts w:ascii="Cambria" w:hAnsi="Cambria" w:eastAsia="宋体" w:cs="Times New Roman"/>
      <w:b/>
      <w:bCs/>
      <w:kern w:val="2"/>
      <w:sz w:val="32"/>
      <w:szCs w:val="32"/>
    </w:rPr>
  </w:style>
  <w:style w:type="character" w:customStyle="1" w:styleId="27">
    <w:name w:val="题注 字符"/>
    <w:link w:val="6"/>
    <w:qFormat/>
    <w:uiPriority w:val="0"/>
    <w:rPr>
      <w:rFonts w:ascii="黑体" w:hAnsi="黑体" w:eastAsia="黑体"/>
      <w:kern w:val="2"/>
      <w:sz w:val="21"/>
    </w:rPr>
  </w:style>
  <w:style w:type="character" w:customStyle="1" w:styleId="28">
    <w:name w:val="批注文字 字符"/>
    <w:link w:val="7"/>
    <w:qFormat/>
    <w:locked/>
    <w:uiPriority w:val="0"/>
    <w:rPr>
      <w:rFonts w:ascii="Times New Roman" w:hAnsi="Times New Roman" w:eastAsia="宋体"/>
      <w:sz w:val="24"/>
    </w:rPr>
  </w:style>
  <w:style w:type="character" w:customStyle="1" w:styleId="29">
    <w:name w:val="正文文本 字符"/>
    <w:link w:val="8"/>
    <w:qFormat/>
    <w:locked/>
    <w:uiPriority w:val="1"/>
    <w:rPr>
      <w:sz w:val="18"/>
    </w:rPr>
  </w:style>
  <w:style w:type="character" w:customStyle="1" w:styleId="30">
    <w:name w:val="正文文本缩进 字符"/>
    <w:link w:val="9"/>
    <w:semiHidden/>
    <w:qFormat/>
    <w:locked/>
    <w:uiPriority w:val="0"/>
    <w:rPr>
      <w:rFonts w:ascii="Times New Roman" w:hAnsi="Times New Roman" w:eastAsia="宋体" w:cs="Times New Roman"/>
      <w:sz w:val="24"/>
      <w:szCs w:val="24"/>
    </w:rPr>
  </w:style>
  <w:style w:type="character" w:customStyle="1" w:styleId="31">
    <w:name w:val="日期 字符1"/>
    <w:link w:val="10"/>
    <w:qFormat/>
    <w:locked/>
    <w:uiPriority w:val="0"/>
    <w:rPr>
      <w:rFonts w:ascii="Times New Roman" w:hAnsi="Times New Roman" w:eastAsia="宋体"/>
      <w:sz w:val="24"/>
    </w:rPr>
  </w:style>
  <w:style w:type="character" w:customStyle="1" w:styleId="32">
    <w:name w:val="批注框文本 字符"/>
    <w:link w:val="11"/>
    <w:semiHidden/>
    <w:qFormat/>
    <w:locked/>
    <w:uiPriority w:val="0"/>
    <w:rPr>
      <w:rFonts w:ascii="Times New Roman" w:hAnsi="Times New Roman" w:eastAsia="宋体" w:cs="Times New Roman"/>
      <w:sz w:val="18"/>
      <w:szCs w:val="18"/>
    </w:rPr>
  </w:style>
  <w:style w:type="character" w:customStyle="1" w:styleId="33">
    <w:name w:val="页脚 字符1"/>
    <w:link w:val="12"/>
    <w:qFormat/>
    <w:locked/>
    <w:uiPriority w:val="0"/>
    <w:rPr>
      <w:rFonts w:cs="Times New Roman"/>
      <w:sz w:val="18"/>
      <w:szCs w:val="18"/>
    </w:rPr>
  </w:style>
  <w:style w:type="character" w:customStyle="1" w:styleId="34">
    <w:name w:val="页眉 字符"/>
    <w:link w:val="13"/>
    <w:qFormat/>
    <w:locked/>
    <w:uiPriority w:val="99"/>
    <w:rPr>
      <w:rFonts w:cs="Times New Roman"/>
      <w:sz w:val="18"/>
      <w:szCs w:val="18"/>
    </w:rPr>
  </w:style>
  <w:style w:type="character" w:customStyle="1" w:styleId="35">
    <w:name w:val="普通(网站) 字符"/>
    <w:link w:val="14"/>
    <w:qFormat/>
    <w:locked/>
    <w:uiPriority w:val="99"/>
    <w:rPr>
      <w:rFonts w:ascii="宋体" w:hAnsi="宋体" w:eastAsia="宋体"/>
      <w:sz w:val="24"/>
    </w:rPr>
  </w:style>
  <w:style w:type="character" w:customStyle="1" w:styleId="36">
    <w:name w:val="批注主题 字符"/>
    <w:link w:val="16"/>
    <w:semiHidden/>
    <w:qFormat/>
    <w:locked/>
    <w:uiPriority w:val="0"/>
    <w:rPr>
      <w:rFonts w:ascii="Times New Roman" w:hAnsi="Times New Roman" w:eastAsia="宋体" w:cs="Times New Roman"/>
      <w:b/>
      <w:bCs/>
      <w:kern w:val="2"/>
      <w:sz w:val="24"/>
      <w:szCs w:val="24"/>
    </w:rPr>
  </w:style>
  <w:style w:type="character" w:customStyle="1" w:styleId="37">
    <w:name w:val="日期 字符"/>
    <w:semiHidden/>
    <w:qFormat/>
    <w:uiPriority w:val="0"/>
    <w:rPr>
      <w:rFonts w:ascii="Times New Roman" w:hAnsi="Times New Roman" w:eastAsia="宋体" w:cs="Times New Roman"/>
      <w:sz w:val="24"/>
      <w:szCs w:val="24"/>
    </w:rPr>
  </w:style>
  <w:style w:type="character" w:customStyle="1" w:styleId="38">
    <w:name w:val="正文文本 字符1"/>
    <w:semiHidden/>
    <w:qFormat/>
    <w:uiPriority w:val="0"/>
    <w:rPr>
      <w:rFonts w:ascii="Times New Roman" w:hAnsi="Times New Roman" w:eastAsia="宋体" w:cs="Times New Roman"/>
      <w:sz w:val="24"/>
      <w:szCs w:val="24"/>
    </w:rPr>
  </w:style>
  <w:style w:type="paragraph" w:customStyle="1" w:styleId="39">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0">
    <w:name w:val="表格 Char"/>
    <w:link w:val="41"/>
    <w:qFormat/>
    <w:locked/>
    <w:uiPriority w:val="0"/>
    <w:rPr>
      <w:rFonts w:ascii="宋体"/>
      <w:sz w:val="21"/>
    </w:rPr>
  </w:style>
  <w:style w:type="paragraph" w:customStyle="1" w:styleId="41">
    <w:name w:val="表格"/>
    <w:basedOn w:val="1"/>
    <w:next w:val="1"/>
    <w:link w:val="40"/>
    <w:qFormat/>
    <w:uiPriority w:val="0"/>
    <w:pPr>
      <w:adjustRightInd w:val="0"/>
      <w:snapToGrid w:val="0"/>
      <w:spacing w:beforeLines="10" w:afterLines="10" w:line="259" w:lineRule="auto"/>
      <w:jc w:val="center"/>
    </w:pPr>
    <w:rPr>
      <w:rFonts w:ascii="宋体"/>
      <w:kern w:val="0"/>
      <w:sz w:val="20"/>
      <w:szCs w:val="21"/>
    </w:rPr>
  </w:style>
  <w:style w:type="character" w:customStyle="1" w:styleId="42">
    <w:name w:val="批注文字 字符1"/>
    <w:semiHidden/>
    <w:qFormat/>
    <w:uiPriority w:val="0"/>
    <w:rPr>
      <w:rFonts w:ascii="Times New Roman" w:hAnsi="Times New Roman" w:eastAsia="宋体" w:cs="Times New Roman"/>
      <w:sz w:val="24"/>
      <w:szCs w:val="24"/>
    </w:rPr>
  </w:style>
  <w:style w:type="character" w:customStyle="1" w:styleId="43">
    <w:name w:val="普通(网站) Char"/>
    <w:qFormat/>
    <w:locked/>
    <w:uiPriority w:val="0"/>
    <w:rPr>
      <w:rFonts w:ascii="宋体" w:hAnsi="宋体" w:eastAsia="宋体"/>
      <w:sz w:val="24"/>
    </w:rPr>
  </w:style>
  <w:style w:type="paragraph" w:customStyle="1" w:styleId="44">
    <w:name w:val="MEL表字-书"/>
    <w:basedOn w:val="1"/>
    <w:link w:val="45"/>
    <w:qFormat/>
    <w:uiPriority w:val="0"/>
    <w:pPr>
      <w:spacing w:line="300" w:lineRule="exact"/>
      <w:jc w:val="center"/>
    </w:pPr>
    <w:rPr>
      <w:rFonts w:ascii="宋体" w:hAnsi="宋体"/>
      <w:kern w:val="0"/>
      <w:szCs w:val="21"/>
    </w:rPr>
  </w:style>
  <w:style w:type="character" w:customStyle="1" w:styleId="45">
    <w:name w:val="MEL表字-书 字符"/>
    <w:link w:val="44"/>
    <w:qFormat/>
    <w:uiPriority w:val="0"/>
    <w:rPr>
      <w:rFonts w:ascii="宋体" w:hAnsi="宋体"/>
      <w:sz w:val="21"/>
      <w:szCs w:val="21"/>
    </w:rPr>
  </w:style>
  <w:style w:type="paragraph" w:customStyle="1" w:styleId="46">
    <w:name w:val="MEL正文*"/>
    <w:basedOn w:val="1"/>
    <w:link w:val="47"/>
    <w:qFormat/>
    <w:uiPriority w:val="0"/>
    <w:pPr>
      <w:spacing w:line="500" w:lineRule="exact"/>
      <w:ind w:firstLine="200" w:firstLineChars="200"/>
    </w:pPr>
    <w:rPr>
      <w:rFonts w:ascii="宋体" w:hAnsi="宋体"/>
      <w:kern w:val="0"/>
      <w:sz w:val="24"/>
    </w:rPr>
  </w:style>
  <w:style w:type="character" w:customStyle="1" w:styleId="47">
    <w:name w:val="MEL正文* 字符"/>
    <w:link w:val="46"/>
    <w:qFormat/>
    <w:uiPriority w:val="0"/>
    <w:rPr>
      <w:rFonts w:ascii="宋体" w:hAnsi="宋体"/>
      <w:sz w:val="24"/>
      <w:szCs w:val="24"/>
    </w:rPr>
  </w:style>
  <w:style w:type="character" w:customStyle="1" w:styleId="48">
    <w:name w:val="表字-书 Char"/>
    <w:link w:val="49"/>
    <w:qFormat/>
    <w:uiPriority w:val="0"/>
    <w:rPr>
      <w:rFonts w:ascii="宋体" w:hAnsi="宋体" w:cs="Arial"/>
      <w:kern w:val="2"/>
      <w:sz w:val="21"/>
      <w:szCs w:val="21"/>
    </w:rPr>
  </w:style>
  <w:style w:type="paragraph" w:customStyle="1" w:styleId="49">
    <w:name w:val="表字-书"/>
    <w:basedOn w:val="1"/>
    <w:link w:val="48"/>
    <w:qFormat/>
    <w:uiPriority w:val="0"/>
    <w:pPr>
      <w:widowControl/>
      <w:spacing w:line="240" w:lineRule="exact"/>
      <w:jc w:val="center"/>
    </w:pPr>
    <w:rPr>
      <w:rFonts w:ascii="宋体" w:hAnsi="宋体" w:cs="Arial"/>
      <w:szCs w:val="21"/>
    </w:rPr>
  </w:style>
  <w:style w:type="character" w:customStyle="1" w:styleId="50">
    <w:name w:val="题注 字符1"/>
    <w:qFormat/>
    <w:uiPriority w:val="99"/>
    <w:rPr>
      <w:rFonts w:ascii="宋体" w:hAnsi="宋体" w:eastAsia="黑体" w:cs="宋体"/>
      <w:sz w:val="21"/>
      <w:szCs w:val="24"/>
    </w:rPr>
  </w:style>
  <w:style w:type="character" w:customStyle="1" w:styleId="51">
    <w:name w:val="页脚 字符"/>
    <w:qFormat/>
    <w:uiPriority w:val="99"/>
  </w:style>
  <w:style w:type="character" w:customStyle="1" w:styleId="52">
    <w:name w:val="YJ正文* 字符"/>
    <w:link w:val="53"/>
    <w:qFormat/>
    <w:locked/>
    <w:uiPriority w:val="0"/>
    <w:rPr>
      <w:rFonts w:ascii="宋体" w:hAnsi="宋体" w:cs="宋体"/>
      <w:sz w:val="24"/>
      <w:szCs w:val="24"/>
    </w:rPr>
  </w:style>
  <w:style w:type="paragraph" w:customStyle="1" w:styleId="53">
    <w:name w:val="YJ正文*"/>
    <w:basedOn w:val="1"/>
    <w:link w:val="52"/>
    <w:qFormat/>
    <w:uiPriority w:val="0"/>
    <w:pPr>
      <w:widowControl/>
      <w:spacing w:line="500" w:lineRule="exact"/>
      <w:ind w:firstLine="200" w:firstLineChars="200"/>
    </w:pPr>
    <w:rPr>
      <w:rFonts w:ascii="宋体" w:hAnsi="宋体" w:cs="宋体"/>
      <w:kern w:val="0"/>
      <w:sz w:val="24"/>
    </w:rPr>
  </w:style>
  <w:style w:type="paragraph" w:customStyle="1" w:styleId="54">
    <w:name w:val="正文 CDD"/>
    <w:basedOn w:val="1"/>
    <w:qFormat/>
    <w:uiPriority w:val="0"/>
    <w:pPr>
      <w:ind w:firstLine="480"/>
    </w:pPr>
    <w:rPr>
      <w:rFonts w:ascii="等线" w:hAnsi="宋体"/>
      <w:sz w:val="24"/>
    </w:rPr>
  </w:style>
  <w:style w:type="paragraph" w:customStyle="1" w:styleId="55">
    <w:name w:val="标题3 CDD"/>
    <w:basedOn w:val="1"/>
    <w:qFormat/>
    <w:uiPriority w:val="0"/>
    <w:pPr>
      <w:adjustRightInd w:val="0"/>
      <w:snapToGrid w:val="0"/>
      <w:spacing w:line="500" w:lineRule="exact"/>
      <w:ind w:firstLine="482"/>
    </w:pPr>
    <w:rPr>
      <w:rFonts w:hAnsi="宋体"/>
      <w:b/>
      <w:sz w:val="24"/>
    </w:rPr>
  </w:style>
  <w:style w:type="character" w:customStyle="1" w:styleId="56">
    <w:name w:val="正文(首行缩进) Char Char"/>
    <w:link w:val="57"/>
    <w:qFormat/>
    <w:locked/>
    <w:uiPriority w:val="99"/>
    <w:rPr>
      <w:rFonts w:hAnsi="宋体"/>
      <w:spacing w:val="-2"/>
      <w:sz w:val="24"/>
      <w:szCs w:val="24"/>
    </w:rPr>
  </w:style>
  <w:style w:type="paragraph" w:customStyle="1" w:styleId="57">
    <w:name w:val="正文(首行缩进)"/>
    <w:basedOn w:val="1"/>
    <w:link w:val="56"/>
    <w:qFormat/>
    <w:uiPriority w:val="99"/>
    <w:pPr>
      <w:widowControl/>
      <w:tabs>
        <w:tab w:val="left" w:pos="4584"/>
      </w:tabs>
      <w:adjustRightInd w:val="0"/>
      <w:snapToGrid w:val="0"/>
      <w:ind w:firstLine="531" w:firstLineChars="225"/>
      <w:jc w:val="left"/>
    </w:pPr>
    <w:rPr>
      <w:rFonts w:hAnsi="宋体"/>
      <w:spacing w:val="-2"/>
      <w:kern w:val="0"/>
      <w:sz w:val="24"/>
    </w:rPr>
  </w:style>
  <w:style w:type="character" w:customStyle="1" w:styleId="58">
    <w:name w:val="表内样式 字符"/>
    <w:link w:val="59"/>
    <w:qFormat/>
    <w:uiPriority w:val="0"/>
    <w:rPr>
      <w:rFonts w:ascii="宋体" w:hAnsi="宋体" w:eastAsia="仿宋_GB2312"/>
      <w:kern w:val="2"/>
      <w:sz w:val="21"/>
      <w:szCs w:val="21"/>
    </w:rPr>
  </w:style>
  <w:style w:type="paragraph" w:customStyle="1" w:styleId="59">
    <w:name w:val="表内样式"/>
    <w:basedOn w:val="41"/>
    <w:link w:val="58"/>
    <w:qFormat/>
    <w:uiPriority w:val="0"/>
    <w:pPr>
      <w:widowControl/>
      <w:overflowPunct w:val="0"/>
      <w:spacing w:beforeLines="0" w:afterLines="0" w:line="300" w:lineRule="atLeast"/>
      <w:jc w:val="left"/>
    </w:pPr>
    <w:rPr>
      <w:rFonts w:hAnsi="宋体" w:eastAsia="仿宋_GB2312"/>
      <w:kern w:val="2"/>
      <w:sz w:val="21"/>
    </w:rPr>
  </w:style>
  <w:style w:type="character" w:customStyle="1" w:styleId="60">
    <w:name w:val="表内文字 字符"/>
    <w:link w:val="61"/>
    <w:qFormat/>
    <w:locked/>
    <w:uiPriority w:val="0"/>
    <w:rPr>
      <w:rFonts w:ascii="宋体" w:hAnsi="宋体"/>
      <w:sz w:val="21"/>
      <w:szCs w:val="22"/>
    </w:rPr>
  </w:style>
  <w:style w:type="paragraph" w:customStyle="1" w:styleId="61">
    <w:name w:val="表内文字"/>
    <w:basedOn w:val="62"/>
    <w:link w:val="60"/>
    <w:qFormat/>
    <w:uiPriority w:val="0"/>
    <w:pPr>
      <w:widowControl/>
      <w:spacing w:line="300" w:lineRule="exact"/>
    </w:pPr>
    <w:rPr>
      <w:rFonts w:ascii="宋体" w:hAnsi="宋体"/>
      <w:szCs w:val="22"/>
    </w:rPr>
  </w:style>
  <w:style w:type="paragraph" w:customStyle="1" w:styleId="62">
    <w:name w:val="表文字"/>
    <w:basedOn w:val="1"/>
    <w:qFormat/>
    <w:uiPriority w:val="0"/>
    <w:pPr>
      <w:overflowPunct w:val="0"/>
      <w:autoSpaceDE w:val="0"/>
      <w:autoSpaceDN w:val="0"/>
      <w:adjustRightInd w:val="0"/>
      <w:spacing w:line="240" w:lineRule="atLeast"/>
      <w:jc w:val="center"/>
      <w:textAlignment w:val="baseline"/>
    </w:pPr>
    <w:rPr>
      <w:kern w:val="0"/>
    </w:rPr>
  </w:style>
  <w:style w:type="table" w:customStyle="1" w:styleId="63">
    <w:name w:val="样式1"/>
    <w:basedOn w:val="17"/>
    <w:qFormat/>
    <w:uiPriority w:val="0"/>
    <w:pPr>
      <w:spacing w:line="300" w:lineRule="exact"/>
      <w:jc w:val="center"/>
    </w:pPr>
    <w:rPr>
      <w:sz w:val="21"/>
    </w:rPr>
    <w:tblPr>
      <w:tblBorders>
        <w:top w:val="single" w:color="auto" w:sz="12" w:space="0"/>
        <w:bottom w:val="single" w:color="auto" w:sz="12" w:space="0"/>
        <w:insideH w:val="single" w:color="auto" w:sz="4" w:space="0"/>
        <w:insideV w:val="single" w:color="auto" w:sz="4" w:space="0"/>
      </w:tblBorders>
    </w:tblPr>
    <w:tcPr>
      <w:vAlign w:val="center"/>
    </w:tcPr>
  </w:style>
  <w:style w:type="character" w:customStyle="1" w:styleId="64">
    <w:name w:val="刘群正文文本 Char"/>
    <w:link w:val="65"/>
    <w:qFormat/>
    <w:locked/>
    <w:uiPriority w:val="99"/>
    <w:rPr>
      <w:rFonts w:eastAsia="楷体_GB2312"/>
      <w:sz w:val="24"/>
    </w:rPr>
  </w:style>
  <w:style w:type="paragraph" w:customStyle="1" w:styleId="65">
    <w:name w:val="刘群正文文本"/>
    <w:basedOn w:val="5"/>
    <w:link w:val="64"/>
    <w:qFormat/>
    <w:uiPriority w:val="99"/>
    <w:pPr>
      <w:widowControl/>
      <w:tabs>
        <w:tab w:val="left" w:pos="8176"/>
      </w:tabs>
      <w:ind w:firstLine="480" w:firstLineChars="0"/>
      <w:jc w:val="left"/>
    </w:pPr>
    <w:rPr>
      <w:rFonts w:eastAsia="楷体_GB2312"/>
      <w:kern w:val="0"/>
      <w:sz w:val="24"/>
      <w:szCs w:val="20"/>
    </w:rPr>
  </w:style>
  <w:style w:type="paragraph" w:customStyle="1" w:styleId="66">
    <w:name w:val="例"/>
    <w:basedOn w:val="1"/>
    <w:qFormat/>
    <w:uiPriority w:val="0"/>
    <w:pPr>
      <w:widowControl/>
      <w:tabs>
        <w:tab w:val="left" w:pos="420"/>
      </w:tabs>
      <w:spacing w:line="360" w:lineRule="auto"/>
      <w:ind w:firstLine="483" w:firstLineChars="200"/>
      <w:outlineLvl w:val="2"/>
    </w:pPr>
    <w:rPr>
      <w:rFonts w:ascii="Arial" w:hAnsi="Arial" w:eastAsia="方正仿宋简体" w:cs="Arial"/>
      <w:bCs/>
      <w:kern w:val="0"/>
      <w:sz w:val="24"/>
      <w:szCs w:val="32"/>
    </w:rPr>
  </w:style>
  <w:style w:type="character" w:customStyle="1" w:styleId="67">
    <w:name w:val="题注 字符2"/>
    <w:qFormat/>
    <w:uiPriority w:val="99"/>
    <w:rPr>
      <w:rFonts w:ascii="宋体" w:hAnsi="宋体"/>
      <w:b/>
    </w:rPr>
  </w:style>
  <w:style w:type="paragraph" w:customStyle="1" w:styleId="68">
    <w:name w:val="YJ题注"/>
    <w:basedOn w:val="6"/>
    <w:link w:val="70"/>
    <w:qFormat/>
    <w:uiPriority w:val="0"/>
    <w:pPr>
      <w:spacing w:line="520" w:lineRule="exact"/>
    </w:pPr>
    <w:rPr>
      <w:rFonts w:hAnsi="宋体"/>
      <w:szCs w:val="24"/>
    </w:rPr>
  </w:style>
  <w:style w:type="character" w:customStyle="1" w:styleId="69">
    <w:name w:val="标题 字符"/>
    <w:basedOn w:val="23"/>
    <w:link w:val="15"/>
    <w:qFormat/>
    <w:uiPriority w:val="0"/>
    <w:rPr>
      <w:rFonts w:eastAsia="黑体" w:asciiTheme="majorHAnsi" w:hAnsiTheme="majorHAnsi" w:cstheme="majorBidi"/>
      <w:bCs/>
      <w:kern w:val="2"/>
      <w:sz w:val="30"/>
      <w:szCs w:val="32"/>
    </w:rPr>
  </w:style>
  <w:style w:type="character" w:customStyle="1" w:styleId="70">
    <w:name w:val="YJ题注 Char"/>
    <w:link w:val="68"/>
    <w:qFormat/>
    <w:uiPriority w:val="0"/>
    <w:rPr>
      <w:rFonts w:ascii="黑体" w:hAnsi="宋体" w:eastAsia="黑体"/>
      <w:kern w:val="2"/>
      <w:sz w:val="21"/>
      <w:szCs w:val="24"/>
    </w:rPr>
  </w:style>
  <w:style w:type="character" w:customStyle="1" w:styleId="71">
    <w:name w:val="YJ表中字体 Char"/>
    <w:link w:val="72"/>
    <w:qFormat/>
    <w:uiPriority w:val="0"/>
  </w:style>
  <w:style w:type="paragraph" w:customStyle="1" w:styleId="72">
    <w:name w:val="YJ表中字体"/>
    <w:basedOn w:val="5"/>
    <w:link w:val="71"/>
    <w:qFormat/>
    <w:uiPriority w:val="0"/>
    <w:pPr>
      <w:spacing w:line="240" w:lineRule="exact"/>
      <w:ind w:firstLine="0" w:firstLineChars="0"/>
      <w:jc w:val="center"/>
    </w:pPr>
    <w:rPr>
      <w:kern w:val="0"/>
      <w:sz w:val="20"/>
      <w:szCs w:val="20"/>
    </w:rPr>
  </w:style>
  <w:style w:type="paragraph" w:customStyle="1" w:styleId="7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74">
    <w:name w:val="表中字体 Char"/>
    <w:link w:val="75"/>
    <w:qFormat/>
    <w:uiPriority w:val="0"/>
    <w:rPr>
      <w:sz w:val="21"/>
    </w:rPr>
  </w:style>
  <w:style w:type="paragraph" w:customStyle="1" w:styleId="75">
    <w:name w:val="表中字体"/>
    <w:basedOn w:val="5"/>
    <w:link w:val="74"/>
    <w:qFormat/>
    <w:uiPriority w:val="0"/>
    <w:pPr>
      <w:tabs>
        <w:tab w:val="left" w:pos="8176"/>
      </w:tabs>
      <w:spacing w:line="240" w:lineRule="exact"/>
      <w:ind w:firstLine="0" w:firstLineChars="0"/>
      <w:jc w:val="center"/>
    </w:pPr>
    <w:rPr>
      <w:kern w:val="0"/>
      <w:szCs w:val="20"/>
    </w:rPr>
  </w:style>
  <w:style w:type="character" w:customStyle="1" w:styleId="76">
    <w:name w:val="cf01"/>
    <w:basedOn w:val="23"/>
    <w:qFormat/>
    <w:uiPriority w:val="0"/>
    <w:rPr>
      <w:rFonts w:hint="eastAsia" w:ascii="Microsoft YaHei UI" w:hAnsi="Microsoft YaHei UI" w:eastAsia="Microsoft YaHei UI"/>
      <w:sz w:val="18"/>
      <w:szCs w:val="18"/>
    </w:rPr>
  </w:style>
  <w:style w:type="paragraph" w:customStyle="1" w:styleId="7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8">
    <w:name w:val="表格内文"/>
    <w:basedOn w:val="1"/>
    <w:qFormat/>
    <w:uiPriority w:val="0"/>
    <w:pPr>
      <w:spacing w:line="300" w:lineRule="exact"/>
    </w:pPr>
    <w:rPr>
      <w:rFonts w:ascii="等线" w:hAnsi="宋体"/>
      <w:lang w:val="zh-CN"/>
    </w:rPr>
  </w:style>
  <w:style w:type="paragraph" w:customStyle="1" w:styleId="79">
    <w:name w:val="yh表头"/>
    <w:basedOn w:val="68"/>
    <w:qFormat/>
    <w:uiPriority w:val="0"/>
    <w:pPr>
      <w:adjustRightInd w:val="0"/>
      <w:snapToGrid w:val="0"/>
      <w:spacing w:line="500" w:lineRule="exact"/>
    </w:pPr>
    <w:rPr>
      <w:rFonts w:hAnsi="黑体"/>
      <w:bCs/>
      <w:color w:val="000000"/>
    </w:rPr>
  </w:style>
  <w:style w:type="paragraph" w:customStyle="1" w:styleId="8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1">
    <w:name w:val="Revision"/>
    <w:hidden/>
    <w:semiHidden/>
    <w:qFormat/>
    <w:uiPriority w:val="99"/>
    <w:rPr>
      <w:rFonts w:ascii="Times New Roman" w:hAnsi="Times New Roman" w:eastAsia="宋体" w:cs="Times New Roman"/>
      <w:kern w:val="2"/>
      <w:sz w:val="21"/>
      <w:szCs w:val="24"/>
      <w:lang w:val="en-US" w:eastAsia="zh-CN" w:bidi="ar-SA"/>
    </w:rPr>
  </w:style>
  <w:style w:type="paragraph" w:styleId="82">
    <w:name w:val="List Paragraph"/>
    <w:basedOn w:val="1"/>
    <w:qFormat/>
    <w:uiPriority w:val="99"/>
    <w:pPr>
      <w:ind w:firstLine="420" w:firstLineChars="200"/>
    </w:pPr>
  </w:style>
  <w:style w:type="character" w:customStyle="1" w:styleId="83">
    <w:name w:val="日期 字符2"/>
    <w:qFormat/>
    <w:uiPriority w:val="0"/>
    <w:rPr>
      <w:rFonts w:ascii="宋体"/>
    </w:rPr>
  </w:style>
  <w:style w:type="character" w:customStyle="1" w:styleId="84">
    <w:name w:val="Char Char8"/>
    <w:qFormat/>
    <w:uiPriority w:val="99"/>
    <w:rPr>
      <w:rFonts w:eastAsia="宋体" w:cs="Times New Roman"/>
      <w:kern w:val="2"/>
      <w:sz w:val="28"/>
      <w:lang w:val="en-US" w:eastAsia="zh-CN" w:bidi="ar-SA"/>
    </w:rPr>
  </w:style>
  <w:style w:type="character" w:customStyle="1" w:styleId="85">
    <w:name w:val="标题 3 字符"/>
    <w:basedOn w:val="23"/>
    <w:link w:val="4"/>
    <w:qFormat/>
    <w:uiPriority w:val="9"/>
    <w:rPr>
      <w:rFonts w:ascii="黑体" w:hAnsi="黑体" w:eastAsia="黑体"/>
      <w:kern w:val="2"/>
      <w:sz w:val="24"/>
      <w:szCs w:val="21"/>
    </w:rPr>
  </w:style>
  <w:style w:type="character" w:customStyle="1" w:styleId="86">
    <w:name w:val="标题 1 字符"/>
    <w:link w:val="2"/>
    <w:qFormat/>
    <w:uiPriority w:val="9"/>
    <w:rPr>
      <w:rFonts w:eastAsia="黑体"/>
      <w:bCs/>
      <w:color w:val="000000"/>
      <w:kern w:val="44"/>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5CC1-3E8F-470B-8D02-347275BFC8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24417</Words>
  <Characters>25968</Characters>
  <Lines>196</Lines>
  <Paragraphs>55</Paragraphs>
  <TotalTime>1</TotalTime>
  <ScaleCrop>false</ScaleCrop>
  <LinksUpToDate>false</LinksUpToDate>
  <CharactersWithSpaces>26232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2022-07-08T03:16:00Z</dcterms:created>
  <dc:creator>lhj</dc:creator>
  <cp:lastModifiedBy>陈琛</cp:lastModifiedBy>
  <cp:lastPrinted>2022-11-22T03:32:00Z</cp:lastPrinted>
  <dcterms:modified xsi:type="dcterms:W3CDTF">2022-11-22T10:52:26Z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02FAAEC51F4F4ECDA720406F3610D86F</vt:lpwstr>
  </property>
</Properties>
</file>