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</w:p>
    <w:p>
      <w:pPr>
        <w:tabs>
          <w:tab w:val="left" w:pos="8500"/>
        </w:tabs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 xml:space="preserve">  师市环审〔202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号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关于新疆兵团第七师古尔图河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19+990-26+500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段防洪工程环境影响报告表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奎屯河流域水利工程灌溉管理处：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你单位《关于审批新疆兵团第七师古尔图河19+990-26+500段防洪工程环境影响报告表的的请示》收悉。经研究，批复如下：</w:t>
      </w:r>
    </w:p>
    <w:p>
      <w:pPr>
        <w:numPr>
          <w:ilvl w:val="0"/>
          <w:numId w:val="2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该项目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第七师124团。项目起点（河段桩号19+990）坐标为东经83°52′12.814″，北纬44°26′25.511″；终点（河段桩号26+500）坐标为东经83°54′32.164″，北纬44°29′9.063″。工程综合整治段桩号为19+990-26+500，长度6.51千米。新建防洪堤1.92千米，分两段建设，配套建设控导建筑物丁坝12座；新建1座防洪物资库房，位于古尔图河水管所附近，距离新建防洪堤25+990-26+500段500米。项目总投资634万元，其中环保投资46万元，占总投资的7.26%。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在全面落实报告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提出的各项生态保护和污染防治措施后，项目建设和运营过程中对环境的不利影响能够得到缓解和控制。因此，综合各方面因素，从环境保护角度考虑，我局原则同意你单位按照报告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中所列建设项目地点、性质、规模和拟采取的环境保护对策措施进行项目建设。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三、项目建设中应重点做好以下工作：</w:t>
      </w:r>
    </w:p>
    <w:p>
      <w:pPr>
        <w:pStyle w:val="13"/>
        <w:spacing w:after="0" w:line="560" w:lineRule="exact"/>
        <w:ind w:firstLine="64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（一）严格落实生态保护措施。</w:t>
      </w:r>
      <w:r>
        <w:rPr>
          <w:rFonts w:hint="default" w:ascii="Times New Roman" w:hAnsi="Times New Roman" w:eastAsia="仿宋_GB2312" w:cs="Times New Roman"/>
          <w:szCs w:val="32"/>
        </w:rPr>
        <w:t>施工期间划定施工区域强化施工管理，严格控制施工人员、施工机械的活动范围，合理选线，避绕植被分布集中的区域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严禁占用基本农田</w:t>
      </w:r>
      <w:r>
        <w:rPr>
          <w:rFonts w:hint="default" w:ascii="Times New Roman" w:hAnsi="Times New Roman" w:eastAsia="仿宋_GB2312" w:cs="Times New Roman"/>
          <w:szCs w:val="32"/>
        </w:rPr>
        <w:t>；严格落实建设项目水土保持“三同时”制度，加大水土流失综合整治和生态修复力度；对于穿越奎屯河流域湿地省级（兵团）自然保护区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实验区的防洪堤</w:t>
      </w:r>
      <w:r>
        <w:rPr>
          <w:rFonts w:hint="default" w:ascii="Times New Roman" w:hAnsi="Times New Roman" w:eastAsia="仿宋_GB2312" w:cs="Times New Roman"/>
          <w:szCs w:val="32"/>
        </w:rPr>
        <w:t>，应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Cs w:val="32"/>
        </w:rPr>
        <w:t>《中华人民共和国自然保护区条例》相关要求实施封育保护和局部治理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Cs w:val="32"/>
          <w:highlight w:val="none"/>
          <w:lang w:eastAsia="zh-CN"/>
        </w:rPr>
        <w:t>施工期严禁在自然保护区范围内设置施工营地、取土场、弃渣场，施工便道尽可能利用原有道路，减少对生态环境的破坏；做好施工场地和施工道路的防护工作，工程开挖后形成的边坡，应采取挡墙等防护措施</w:t>
      </w:r>
      <w:r>
        <w:rPr>
          <w:rFonts w:hint="default" w:ascii="Times New Roman" w:hAnsi="Times New Roman" w:eastAsia="仿宋_GB2312" w:cs="Times New Roman"/>
          <w:szCs w:val="32"/>
        </w:rPr>
        <w:t>；施工结束后，对项目占地范围内的植被进行恢复。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（二）严格落实大气污染防治措施。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采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取封闭施工方式；施工场地、施工道路扬尘采取洒水和及时清扫的抑尘措施；控制运输车辆装载量，规划运输车辆运输线路及时间，施工车辆采取遮盖、密闭措施，防止物料散落形成尘源；合理安排施工计划，加强路面养护。</w:t>
      </w:r>
    </w:p>
    <w:p>
      <w:pPr>
        <w:spacing w:line="560" w:lineRule="exact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（三）落实水污染防治措施。</w:t>
      </w:r>
      <w:r>
        <w:rPr>
          <w:rFonts w:hint="default" w:ascii="Times New Roman" w:hAnsi="Times New Roman" w:eastAsia="仿宋_GB2312" w:cs="Times New Roman"/>
          <w:szCs w:val="32"/>
        </w:rPr>
        <w:t>施工场地设置临时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隔油池、</w:t>
      </w:r>
      <w:r>
        <w:rPr>
          <w:rFonts w:hint="default" w:ascii="Times New Roman" w:hAnsi="Times New Roman" w:eastAsia="仿宋_GB2312" w:cs="Times New Roman"/>
          <w:szCs w:val="32"/>
        </w:rPr>
        <w:t>沉淀池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和防渗化粪池</w:t>
      </w:r>
      <w:r>
        <w:rPr>
          <w:rFonts w:hint="default" w:ascii="Times New Roman" w:hAnsi="Times New Roman" w:eastAsia="仿宋_GB2312" w:cs="Times New Roman"/>
          <w:szCs w:val="32"/>
        </w:rPr>
        <w:t>，泥浆加工冲洗、机械保养、车辆清洗废水集中收集并排入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隔油池和</w:t>
      </w:r>
      <w:r>
        <w:rPr>
          <w:rFonts w:hint="default" w:ascii="Times New Roman" w:hAnsi="Times New Roman" w:eastAsia="仿宋_GB2312" w:cs="Times New Roman"/>
          <w:szCs w:val="32"/>
        </w:rPr>
        <w:t>沉淀池处理后回用于砾料清洗、混凝土拌和及道路降尘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生活污水经化粪池集中收集后由吸污车定期清运至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就近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污水处理厂</w:t>
      </w:r>
      <w:r>
        <w:rPr>
          <w:rFonts w:hint="default" w:ascii="Times New Roman" w:hAnsi="Times New Roman" w:eastAsia="仿宋_GB2312" w:cs="Times New Roman"/>
          <w:szCs w:val="32"/>
        </w:rPr>
        <w:t>。施工结束后，拆除临时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隔油池、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沉淀</w:t>
      </w:r>
      <w:r>
        <w:rPr>
          <w:rFonts w:hint="default" w:ascii="Times New Roman" w:hAnsi="Times New Roman" w:eastAsia="仿宋_GB2312" w:cs="Times New Roman"/>
          <w:szCs w:val="32"/>
        </w:rPr>
        <w:t>池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防渗化粪池</w:t>
      </w:r>
      <w:r>
        <w:rPr>
          <w:rFonts w:hint="default" w:ascii="Times New Roman" w:hAnsi="Times New Roman" w:eastAsia="仿宋_GB2312" w:cs="Times New Roman"/>
          <w:szCs w:val="32"/>
        </w:rPr>
        <w:t>，并平整土地。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（四）严格落实噪声防治措施。选用低噪声设备，高噪声设备进行消声、减振处理，确保噪声满足《建筑施工场界噪声排放标准》（GB 12523-2011）中限值要求。</w:t>
      </w:r>
    </w:p>
    <w:p>
      <w:pPr>
        <w:pStyle w:val="13"/>
        <w:spacing w:after="0" w:line="560" w:lineRule="exact"/>
        <w:ind w:firstLine="632" w:firstLineChars="200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（五）固体废物实施分类管理和妥善处理处置。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施工弃土及时用于防洪堤背坡低洼地平整；生活垃圾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经施工营地垃圾桶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集中收集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，定期清运至124团生活垃圾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填埋场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处理。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（六）严格落实环境风险防范措施。做好设备的日常巡检维护，建立健全各项环保管理制度、应急预案等，避免事故发生，引发环境污染。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）在工程运营过程中，应建立畅通的公众参与平台，加强宣传与沟通工作，及时解决公众提出的合理环境诉求。定期发布企业环境信息，并主动接受社会监督。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五、环境影响报告表经批准后，该项目的性质、规模、地点、生产工艺和环境保护措施发生重大变动，且可能导致环境影响显著变化(特别是不利环境影响加重)的，应当重新报批该项目环境影响评价报告。</w:t>
      </w:r>
    </w:p>
    <w:p>
      <w:pPr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、我局委托师市生态环境保护综合行政执法支队、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124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团经济发展办公室组织开展该项目的“三同时”监督检查和日常监督管理工作。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、你单位应在接到本批复后20个工作日内，将批准后的环境影响报告表送师市生态环境保护综合行政执法支队、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124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24" w:firstLineChars="14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 xml:space="preserve">第七师胡杨河市生态环境局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56" w:firstLineChars="16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  <w:bookmarkStart w:id="0" w:name="_GoBack"/>
      <w:bookmarkEnd w:id="0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spacing w:line="400" w:lineRule="exact"/>
        <w:ind w:right="316" w:rightChars="100" w:firstLine="276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59264;mso-width-relative:page;mso-height-relative:page;" filled="f" stroked="t" coordsize="21600,21600" o:gfxdata="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iU+t0AAAAAIBAAAPAAAAAAAAAAEAIAAAACIAAABkcnMvZG93bnJldi54bWxQSwECFAAU&#10;AAAACACHTuJA56pq1PkBAADzAwAADgAAAAAAAAABACAAAAAf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抄送：师市生态环境保护综合行政执法支队，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124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团经济发展办公室。</w:t>
      </w:r>
    </w:p>
    <w:p>
      <w:pPr>
        <w:spacing w:line="600" w:lineRule="exact"/>
        <w:ind w:right="316" w:rightChars="100" w:firstLine="254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7210" cy="0"/>
                <wp:effectExtent l="0" t="9525" r="25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pt;height:0pt;width:442.3pt;z-index:251660288;mso-width-relative:page;mso-height-relative:page;" filled="f" stroked="t" coordsize="21600,21600" o:gfxdata="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AQVQtMAAAAGAQAADwAAAAAAAAABACAAAAAiAAAAZHJzL2Rvd25yZXYueG1sUEsB&#10;AhQAFAAAAAgAh07iQH3w/Fn6AQAA8w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60288;mso-width-relative:page;mso-height-relative:page;" filled="f" stroked="t" coordsize="21600,21600" o:gfxdata="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Vqv20gAAAAIBAAAPAAAAAAAAAAEAIAAAACIAAABkcnMvZG93bnJldi54bWxQSwEC&#10;FAAUAAAACACHTuJAezsO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新疆生产建设兵团第七师胡杨河市生态环境局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one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left="320" w:leftChars="100" w:right="320" w:rightChars="100"/>
      <w:rPr>
        <w:rStyle w:val="16"/>
        <w:rFonts w:hint="eastAsia" w:ascii="仿宋_GB2312" w:eastAsia="仿宋_GB2312"/>
        <w:b/>
        <w:bCs/>
        <w:sz w:val="28"/>
        <w:szCs w:val="28"/>
      </w:rPr>
    </w:pPr>
    <w:r>
      <w:rPr>
        <w:rStyle w:val="16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6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6"/>
        <w:rFonts w:hint="eastAsia" w:ascii="仿宋_GB2312" w:eastAsia="仿宋_GB2312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FDD8A"/>
    <w:multiLevelType w:val="singleLevel"/>
    <w:tmpl w:val="63AFDD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401AFB"/>
    <w:multiLevelType w:val="multilevel"/>
    <w:tmpl w:val="7F401AFB"/>
    <w:lvl w:ilvl="0" w:tentative="0">
      <w:start w:val="1"/>
      <w:numFmt w:val="decimal"/>
      <w:pStyle w:val="3"/>
      <w:suff w:val="space"/>
      <w:lvlText w:val="%1"/>
      <w:lvlJc w:val="center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trike w:val="0"/>
        <w:dstrike w:val="0"/>
        <w:vanish w:val="0"/>
        <w:color w:val="auto"/>
        <w:sz w:val="28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28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Corone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</w:docVars>
  <w:rsids>
    <w:rsidRoot w:val="007E248D"/>
    <w:rsid w:val="003C56A9"/>
    <w:rsid w:val="004964B4"/>
    <w:rsid w:val="004E2243"/>
    <w:rsid w:val="00551627"/>
    <w:rsid w:val="00667BE7"/>
    <w:rsid w:val="006E0941"/>
    <w:rsid w:val="00716EAB"/>
    <w:rsid w:val="007E248D"/>
    <w:rsid w:val="008833E6"/>
    <w:rsid w:val="008E7DDF"/>
    <w:rsid w:val="009102E5"/>
    <w:rsid w:val="009C6F11"/>
    <w:rsid w:val="00B8473B"/>
    <w:rsid w:val="00BB7897"/>
    <w:rsid w:val="00C43B00"/>
    <w:rsid w:val="00C514AC"/>
    <w:rsid w:val="00D003EC"/>
    <w:rsid w:val="00D774FB"/>
    <w:rsid w:val="00DC26F3"/>
    <w:rsid w:val="00DE4A81"/>
    <w:rsid w:val="00EC6E6C"/>
    <w:rsid w:val="00F617BE"/>
    <w:rsid w:val="00FB12F8"/>
    <w:rsid w:val="04B77D73"/>
    <w:rsid w:val="05737345"/>
    <w:rsid w:val="06C71389"/>
    <w:rsid w:val="06CC7B06"/>
    <w:rsid w:val="08EC6D80"/>
    <w:rsid w:val="16B800EE"/>
    <w:rsid w:val="177121A0"/>
    <w:rsid w:val="20783D41"/>
    <w:rsid w:val="21162F81"/>
    <w:rsid w:val="21DD6837"/>
    <w:rsid w:val="24057B5F"/>
    <w:rsid w:val="24696853"/>
    <w:rsid w:val="247C78BD"/>
    <w:rsid w:val="260C6FC7"/>
    <w:rsid w:val="291034DE"/>
    <w:rsid w:val="2B665A9B"/>
    <w:rsid w:val="2BA03F96"/>
    <w:rsid w:val="2D8D3C0A"/>
    <w:rsid w:val="2F130EE6"/>
    <w:rsid w:val="2F2B3664"/>
    <w:rsid w:val="2FEE4162"/>
    <w:rsid w:val="32C5491C"/>
    <w:rsid w:val="371F1D45"/>
    <w:rsid w:val="38453BBB"/>
    <w:rsid w:val="3BAC6099"/>
    <w:rsid w:val="3C25479F"/>
    <w:rsid w:val="3D7076AF"/>
    <w:rsid w:val="3EC1562C"/>
    <w:rsid w:val="3F0E35AF"/>
    <w:rsid w:val="4419237E"/>
    <w:rsid w:val="45D948F4"/>
    <w:rsid w:val="47587B93"/>
    <w:rsid w:val="4CBF17F2"/>
    <w:rsid w:val="4CCA458A"/>
    <w:rsid w:val="5075710B"/>
    <w:rsid w:val="50CD705E"/>
    <w:rsid w:val="54231BA0"/>
    <w:rsid w:val="5FB81E18"/>
    <w:rsid w:val="609006D2"/>
    <w:rsid w:val="66BE66CF"/>
    <w:rsid w:val="68991CEA"/>
    <w:rsid w:val="6B762AC2"/>
    <w:rsid w:val="6D272415"/>
    <w:rsid w:val="70F20450"/>
    <w:rsid w:val="721320EC"/>
    <w:rsid w:val="73323C81"/>
    <w:rsid w:val="745A0337"/>
    <w:rsid w:val="79621333"/>
    <w:rsid w:val="798C319D"/>
    <w:rsid w:val="79F35C8E"/>
    <w:rsid w:val="7A6B1487"/>
    <w:rsid w:val="7D7B4DE1"/>
    <w:rsid w:val="7EB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0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50" w:beforeLines="50" w:after="50" w:afterLines="50" w:line="560" w:lineRule="exact"/>
      <w:ind w:firstLine="640" w:firstLineChars="200"/>
      <w:outlineLvl w:val="1"/>
    </w:pPr>
    <w:rPr>
      <w:rFonts w:ascii="仿宋" w:hAnsi="宋体" w:eastAsia="楷体" w:cs="仿宋"/>
      <w:b/>
      <w:bCs/>
      <w:kern w:val="2"/>
      <w:sz w:val="36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2"/>
    </w:pPr>
    <w:rPr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内"/>
    <w:basedOn w:val="1"/>
    <w:qFormat/>
    <w:uiPriority w:val="0"/>
    <w:pPr>
      <w:adjustRightInd w:val="0"/>
      <w:snapToGrid w:val="0"/>
      <w:spacing w:line="360" w:lineRule="exact"/>
      <w:jc w:val="center"/>
    </w:pPr>
    <w:rPr>
      <w:rFonts w:eastAsia="Times New Roman"/>
      <w:snapToGrid w:val="0"/>
      <w:kern w:val="0"/>
      <w:sz w:val="21"/>
      <w:szCs w:val="21"/>
      <w:lang w:val="zh-CN" w:eastAsia="zh-CN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宋体" w:hAnsi="宋体"/>
    </w:rPr>
  </w:style>
  <w:style w:type="paragraph" w:styleId="7">
    <w:name w:val="Body Text"/>
    <w:basedOn w:val="1"/>
    <w:qFormat/>
    <w:uiPriority w:val="0"/>
    <w:rPr>
      <w:rFonts w:eastAsia="华文中宋"/>
      <w:b/>
      <w:bCs/>
      <w:w w:val="90"/>
      <w:sz w:val="44"/>
    </w:rPr>
  </w:style>
  <w:style w:type="paragraph" w:styleId="8">
    <w:name w:val="Block Text"/>
    <w:basedOn w:val="1"/>
    <w:qFormat/>
    <w:uiPriority w:val="99"/>
    <w:pPr>
      <w:spacing w:line="480" w:lineRule="exact"/>
      <w:ind w:left="-125" w:right="-56" w:firstLine="570"/>
    </w:pPr>
    <w:rPr>
      <w:sz w:val="28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index heading"/>
    <w:basedOn w:val="1"/>
    <w:next w:val="12"/>
    <w:qFormat/>
    <w:uiPriority w:val="0"/>
  </w:style>
  <w:style w:type="paragraph" w:styleId="12">
    <w:name w:val="index 1"/>
    <w:basedOn w:val="1"/>
    <w:next w:val="1"/>
    <w:qFormat/>
    <w:uiPriority w:val="0"/>
  </w:style>
  <w:style w:type="paragraph" w:styleId="13">
    <w:name w:val="Body Text 2"/>
    <w:basedOn w:val="1"/>
    <w:unhideWhenUsed/>
    <w:qFormat/>
    <w:uiPriority w:val="99"/>
    <w:pPr>
      <w:spacing w:after="120" w:line="480" w:lineRule="auto"/>
    </w:pPr>
  </w:style>
  <w:style w:type="character" w:styleId="16">
    <w:name w:val="page number"/>
    <w:basedOn w:val="15"/>
    <w:qFormat/>
    <w:uiPriority w:val="0"/>
  </w:style>
  <w:style w:type="paragraph" w:customStyle="1" w:styleId="17">
    <w:name w:val="Char"/>
    <w:basedOn w:val="1"/>
    <w:qFormat/>
    <w:uiPriority w:val="0"/>
    <w:rPr>
      <w:rFonts w:cs="宋体"/>
      <w:sz w:val="28"/>
    </w:rPr>
  </w:style>
  <w:style w:type="paragraph" w:customStyle="1" w:styleId="18">
    <w:name w:val="YJ正文*"/>
    <w:basedOn w:val="1"/>
    <w:qFormat/>
    <w:uiPriority w:val="0"/>
    <w:pPr>
      <w:spacing w:line="500" w:lineRule="exact"/>
      <w:ind w:firstLine="200" w:firstLineChars="200"/>
      <w:jc w:val="both"/>
    </w:pPr>
    <w:rPr>
      <w:rFonts w:ascii="等线" w:hAnsi="等线" w:eastAsia="宋体"/>
      <w:sz w:val="24"/>
    </w:rPr>
  </w:style>
  <w:style w:type="paragraph" w:customStyle="1" w:styleId="19">
    <w:name w:val="表字-书"/>
    <w:basedOn w:val="1"/>
    <w:qFormat/>
    <w:uiPriority w:val="0"/>
    <w:pPr>
      <w:spacing w:line="240" w:lineRule="exact"/>
      <w:ind w:firstLine="0" w:firstLineChars="0"/>
      <w:jc w:val="center"/>
    </w:pPr>
    <w:rPr>
      <w:rFonts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1655</Words>
  <Characters>1809</Characters>
  <Lines>11</Lines>
  <Paragraphs>3</Paragraphs>
  <TotalTime>4</TotalTime>
  <ScaleCrop>false</ScaleCrop>
  <LinksUpToDate>false</LinksUpToDate>
  <CharactersWithSpaces>1846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2020-12-18T12:29:00Z</dcterms:created>
  <dc:creator>Administrator</dc:creator>
  <cp:lastModifiedBy>陈琛</cp:lastModifiedBy>
  <cp:lastPrinted>2022-08-22T11:08:41Z</cp:lastPrinted>
  <dcterms:modified xsi:type="dcterms:W3CDTF">2022-08-22T11:16:38Z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66F2E68609D343FE8D76D51282233A12</vt:lpwstr>
  </property>
</Properties>
</file>