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default" w:ascii="Times New Roman" w:hAnsi="Times New Roman" w:eastAsia="仿宋_GB2312" w:cs="Times New Roman"/>
          <w:snapToGrid w:val="0"/>
          <w:color w:val="auto"/>
          <w:kern w:val="0"/>
          <w:szCs w:val="32"/>
          <w:highlight w:val="none"/>
          <w:lang w:val="en-US" w:eastAsia="zh-CN"/>
        </w:rPr>
        <w:t>2</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28</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spacing w:line="600" w:lineRule="exact"/>
        <w:jc w:val="center"/>
        <w:rPr>
          <w:rFonts w:hint="default" w:ascii="Times New Roman" w:hAnsi="Times New Roman" w:eastAsia="方正小标宋简体" w:cs="Times New Roman"/>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于排614-平5等两口探井环</w:t>
      </w:r>
      <w:r>
        <w:rPr>
          <w:rFonts w:hint="default" w:ascii="Times New Roman" w:hAnsi="Times New Roman" w:eastAsia="方正小标宋简体" w:cs="Times New Roman"/>
          <w:color w:val="auto"/>
          <w:sz w:val="44"/>
          <w:szCs w:val="44"/>
          <w:highlight w:val="none"/>
          <w:lang w:val="zh-CN"/>
        </w:rPr>
        <w:t>境影响</w:t>
      </w:r>
    </w:p>
    <w:p>
      <w:pPr>
        <w:spacing w:line="600" w:lineRule="exact"/>
        <w:jc w:val="center"/>
        <w:rPr>
          <w:rFonts w:hint="default" w:ascii="Times New Roman" w:hAnsi="Times New Roman" w:eastAsia="仿宋_GB2312" w:cs="Times New Roman"/>
          <w:color w:val="auto"/>
          <w:kern w:val="0"/>
          <w:szCs w:val="32"/>
          <w:highlight w:val="none"/>
        </w:rPr>
      </w:pPr>
      <w:r>
        <w:rPr>
          <w:rFonts w:hint="default" w:ascii="Times New Roman" w:hAnsi="Times New Roman" w:eastAsia="方正小标宋简体" w:cs="Times New Roman"/>
          <w:color w:val="auto"/>
          <w:sz w:val="44"/>
          <w:szCs w:val="44"/>
          <w:highlight w:val="none"/>
          <w:lang w:val="zh-CN"/>
        </w:rPr>
        <w:t>报告</w:t>
      </w:r>
      <w:r>
        <w:rPr>
          <w:rFonts w:hint="default" w:ascii="Times New Roman" w:hAnsi="Times New Roman" w:eastAsia="方正小标宋简体" w:cs="Times New Roman"/>
          <w:color w:val="auto"/>
          <w:sz w:val="44"/>
          <w:szCs w:val="44"/>
          <w:highlight w:val="none"/>
          <w:lang w:val="en-US" w:eastAsia="zh-CN"/>
        </w:rPr>
        <w:t>表</w:t>
      </w:r>
      <w:r>
        <w:rPr>
          <w:rFonts w:hint="default" w:ascii="Times New Roman" w:hAnsi="Times New Roman" w:eastAsia="方正小标宋简体" w:cs="Times New Roman"/>
          <w:color w:val="auto"/>
          <w:sz w:val="44"/>
          <w:szCs w:val="44"/>
          <w:highlight w:val="none"/>
          <w:lang w:val="zh-CN"/>
        </w:rPr>
        <w:t>的</w:t>
      </w:r>
      <w:r>
        <w:rPr>
          <w:rFonts w:hint="default" w:ascii="Times New Roman" w:hAnsi="Times New Roman" w:eastAsia="方正小标宋简体" w:cs="Times New Roman"/>
          <w:snapToGrid w:val="0"/>
          <w:color w:val="auto"/>
          <w:kern w:val="0"/>
          <w:sz w:val="44"/>
          <w:szCs w:val="44"/>
          <w:highlight w:val="none"/>
        </w:rPr>
        <w:t>批复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中石化新疆新春石油开发有限责任公司：</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你单位《关于审批排614-平5等两口探井环境影响报告表的的请示》收悉。经研究，批复如下：</w:t>
      </w:r>
    </w:p>
    <w:p>
      <w:pPr>
        <w:numPr>
          <w:ilvl w:val="0"/>
          <w:numId w:val="2"/>
        </w:numPr>
        <w:spacing w:line="560" w:lineRule="exact"/>
        <w:ind w:firstLine="632" w:firstLineChars="200"/>
        <w:rPr>
          <w:rFonts w:hint="default" w:ascii="Times New Roman" w:hAnsi="Times New Roman" w:eastAsia="仿宋_GB2312" w:cs="Times New Roman"/>
          <w:color w:val="auto"/>
          <w:szCs w:val="32"/>
          <w:highlight w:val="none"/>
          <w:lang w:val="en-US" w:eastAsia="zh-CN"/>
        </w:rPr>
      </w:pPr>
      <w:r>
        <w:rPr>
          <w:rFonts w:hint="default" w:ascii="Times New Roman" w:hAnsi="Times New Roman" w:eastAsia="仿宋_GB2312" w:cs="Times New Roman"/>
          <w:color w:val="auto"/>
          <w:szCs w:val="32"/>
          <w:highlight w:val="none"/>
        </w:rPr>
        <w:t>该项目</w:t>
      </w:r>
      <w:r>
        <w:rPr>
          <w:rFonts w:hint="default" w:ascii="Times New Roman" w:hAnsi="Times New Roman" w:eastAsia="仿宋_GB2312" w:cs="Times New Roman"/>
          <w:color w:val="auto"/>
          <w:szCs w:val="32"/>
          <w:highlight w:val="none"/>
          <w:lang w:val="en-US" w:eastAsia="zh-CN"/>
        </w:rPr>
        <w:t>位于</w:t>
      </w:r>
      <w:r>
        <w:rPr>
          <w:rFonts w:hint="default" w:ascii="Times New Roman" w:hAnsi="Times New Roman" w:eastAsia="仿宋_GB2312" w:cs="Times New Roman"/>
          <w:color w:val="auto"/>
          <w:szCs w:val="32"/>
          <w:highlight w:val="none"/>
          <w:lang w:eastAsia="zh-CN"/>
        </w:rPr>
        <w:t>第七师</w:t>
      </w:r>
      <w:r>
        <w:rPr>
          <w:rFonts w:hint="default" w:ascii="Times New Roman" w:hAnsi="Times New Roman" w:eastAsia="仿宋_GB2312" w:cs="Times New Roman"/>
          <w:color w:val="auto"/>
          <w:szCs w:val="32"/>
          <w:highlight w:val="none"/>
          <w:lang w:val="en-US" w:eastAsia="zh-CN"/>
        </w:rPr>
        <w:t>128</w:t>
      </w:r>
      <w:r>
        <w:rPr>
          <w:rFonts w:hint="default" w:ascii="Times New Roman" w:hAnsi="Times New Roman" w:eastAsia="仿宋_GB2312" w:cs="Times New Roman"/>
          <w:color w:val="auto"/>
          <w:szCs w:val="32"/>
          <w:highlight w:val="none"/>
          <w:lang w:eastAsia="zh-CN"/>
        </w:rPr>
        <w:t>团</w:t>
      </w:r>
      <w:r>
        <w:rPr>
          <w:rFonts w:hint="default" w:ascii="Times New Roman" w:hAnsi="Times New Roman" w:eastAsia="仿宋_GB2312" w:cs="Times New Roman"/>
          <w:color w:val="auto"/>
          <w:szCs w:val="32"/>
          <w:highlight w:val="none"/>
        </w:rPr>
        <w:t>境内</w:t>
      </w:r>
      <w:r>
        <w:rPr>
          <w:rFonts w:hint="default" w:ascii="Times New Roman" w:hAnsi="Times New Roman" w:eastAsia="仿宋_GB2312" w:cs="Times New Roman"/>
          <w:color w:val="auto"/>
          <w:szCs w:val="32"/>
          <w:highlight w:val="none"/>
          <w:lang w:val="en-US" w:eastAsia="zh-CN"/>
        </w:rPr>
        <w:t>，工程建设2口</w:t>
      </w:r>
      <w:r>
        <w:rPr>
          <w:rFonts w:hint="default" w:ascii="Times New Roman" w:hAnsi="Times New Roman" w:eastAsia="仿宋_GB2312" w:cs="Times New Roman"/>
          <w:bCs/>
          <w:color w:val="auto"/>
          <w:szCs w:val="32"/>
          <w:highlight w:val="none"/>
          <w:lang w:val="en-US" w:eastAsia="zh-CN"/>
        </w:rPr>
        <w:t>评价井</w:t>
      </w:r>
      <w:r>
        <w:rPr>
          <w:rFonts w:hint="default" w:ascii="Times New Roman" w:hAnsi="Times New Roman" w:eastAsia="仿宋_GB2312" w:cs="Times New Roman"/>
          <w:color w:val="auto"/>
          <w:szCs w:val="32"/>
          <w:highlight w:val="none"/>
          <w:lang w:val="en-US" w:eastAsia="zh-CN"/>
        </w:rPr>
        <w:t>，</w:t>
      </w:r>
      <w:r>
        <w:rPr>
          <w:rFonts w:hint="default" w:ascii="Times New Roman" w:hAnsi="Times New Roman" w:eastAsia="仿宋_GB2312" w:cs="Times New Roman"/>
          <w:szCs w:val="32"/>
        </w:rPr>
        <w:t>中心</w:t>
      </w:r>
      <w:r>
        <w:rPr>
          <w:rFonts w:hint="default" w:ascii="Times New Roman" w:hAnsi="Times New Roman" w:eastAsia="仿宋_GB2312" w:cs="Times New Roman"/>
          <w:bCs/>
          <w:szCs w:val="32"/>
        </w:rPr>
        <w:t>地理坐标为：东经84°37′47.330″，北纬45°6′13.932″</w:t>
      </w:r>
      <w:r>
        <w:rPr>
          <w:rFonts w:hint="default" w:ascii="Times New Roman" w:hAnsi="Times New Roman" w:eastAsia="仿宋_GB2312" w:cs="Times New Roman"/>
          <w:color w:val="auto"/>
          <w:szCs w:val="32"/>
          <w:highlight w:val="none"/>
        </w:rPr>
        <w:t>。</w:t>
      </w:r>
      <w:r>
        <w:rPr>
          <w:rFonts w:hint="default" w:ascii="Times New Roman" w:hAnsi="Times New Roman" w:eastAsia="仿宋_GB2312" w:cs="Times New Roman"/>
          <w:bCs/>
          <w:szCs w:val="32"/>
        </w:rPr>
        <w:t>项目部署探井2口</w:t>
      </w:r>
      <w:r>
        <w:rPr>
          <w:rFonts w:hint="default" w:ascii="Times New Roman" w:hAnsi="Times New Roman" w:eastAsia="仿宋_GB2312" w:cs="Times New Roman"/>
          <w:szCs w:val="32"/>
        </w:rPr>
        <w:t>（排614-平5、排614-平501），</w:t>
      </w:r>
      <w:r>
        <w:rPr>
          <w:rFonts w:hint="eastAsia" w:ascii="仿宋_GB2312" w:hAnsi="仿宋_GB2312" w:eastAsia="仿宋_GB2312" w:cs="仿宋_GB2312"/>
          <w:szCs w:val="32"/>
        </w:rPr>
        <w:t>采用二开井身结构。项目建设钻井及试油工程相关设施，井场、生活区、简易道路依托排614-3平井场项目。</w:t>
      </w:r>
      <w:r>
        <w:rPr>
          <w:rFonts w:hint="eastAsia" w:ascii="仿宋_GB2312" w:hAnsi="仿宋_GB2312" w:eastAsia="仿宋_GB2312" w:cs="仿宋_GB2312"/>
          <w:bCs/>
          <w:szCs w:val="32"/>
        </w:rPr>
        <w:t>在钻井施工完毕后，对目的层进行试油作业，试油作业结束后，如该油井具备商业开采价值，则对油井进行关井，后期根据油田开发要求转入开采井（转开采井另进行评价）；如该油井不具备开采价值，</w:t>
      </w:r>
      <w:r>
        <w:rPr>
          <w:rFonts w:ascii="仿宋_GB2312" w:hAnsi="仿宋_GB2312" w:eastAsia="仿宋_GB2312" w:cs="仿宋_GB2312"/>
          <w:bCs/>
          <w:color w:val="000000" w:themeColor="text1"/>
          <w:szCs w:val="32"/>
          <w14:textFill>
            <w14:solidFill>
              <w14:schemeClr w14:val="tx1"/>
            </w14:solidFill>
          </w14:textFill>
        </w:rPr>
        <w:t>则</w:t>
      </w:r>
      <w:r>
        <w:rPr>
          <w:rFonts w:hint="eastAsia" w:ascii="仿宋_GB2312" w:hAnsi="仿宋_GB2312" w:eastAsia="仿宋_GB2312" w:cs="仿宋_GB2312"/>
          <w:bCs/>
          <w:color w:val="000000" w:themeColor="text1"/>
          <w:szCs w:val="32"/>
          <w14:textFill>
            <w14:solidFill>
              <w14:schemeClr w14:val="tx1"/>
            </w14:solidFill>
          </w14:textFill>
        </w:rPr>
        <w:t>按照</w:t>
      </w:r>
      <w:r>
        <w:rPr>
          <w:rFonts w:ascii="仿宋_GB2312" w:hAnsi="仿宋_GB2312" w:eastAsia="仿宋_GB2312" w:cs="仿宋_GB2312"/>
          <w:bCs/>
          <w:color w:val="000000" w:themeColor="text1"/>
          <w:szCs w:val="32"/>
          <w14:textFill>
            <w14:solidFill>
              <w14:schemeClr w14:val="tx1"/>
            </w14:solidFill>
          </w14:textFill>
        </w:rPr>
        <w:t>《废弃井及长停井处置指南》（SY/T 6646-2017）</w:t>
      </w:r>
      <w:r>
        <w:rPr>
          <w:rFonts w:hint="eastAsia" w:ascii="仿宋_GB2312" w:hAnsi="仿宋_GB2312" w:eastAsia="仿宋_GB2312" w:cs="仿宋_GB2312"/>
          <w:bCs/>
          <w:color w:val="000000" w:themeColor="text1"/>
          <w:szCs w:val="32"/>
          <w14:textFill>
            <w14:solidFill>
              <w14:schemeClr w14:val="tx1"/>
            </w14:solidFill>
          </w14:textFill>
        </w:rPr>
        <w:t>中</w:t>
      </w:r>
      <w:r>
        <w:rPr>
          <w:rFonts w:ascii="仿宋_GB2312" w:hAnsi="仿宋_GB2312" w:eastAsia="仿宋_GB2312" w:cs="仿宋_GB2312"/>
          <w:bCs/>
          <w:color w:val="000000" w:themeColor="text1"/>
          <w:szCs w:val="32"/>
          <w14:textFill>
            <w14:solidFill>
              <w14:schemeClr w14:val="tx1"/>
            </w14:solidFill>
          </w14:textFill>
        </w:rPr>
        <w:t>封井规范进行退役封井</w:t>
      </w:r>
      <w:r>
        <w:rPr>
          <w:rFonts w:hint="eastAsia" w:ascii="仿宋_GB2312" w:hAnsi="仿宋_GB2312" w:eastAsia="仿宋_GB2312" w:cs="仿宋_GB2312"/>
          <w:bCs/>
          <w:color w:val="000000" w:themeColor="text1"/>
          <w:szCs w:val="32"/>
          <w14:textFill>
            <w14:solidFill>
              <w14:schemeClr w14:val="tx1"/>
            </w14:solidFill>
          </w14:textFill>
        </w:rPr>
        <w:t>处置</w:t>
      </w:r>
      <w:r>
        <w:rPr>
          <w:rFonts w:ascii="仿宋_GB2312" w:hAnsi="仿宋_GB2312" w:eastAsia="仿宋_GB2312" w:cs="仿宋_GB2312"/>
          <w:bCs/>
          <w:color w:val="000000" w:themeColor="text1"/>
          <w:szCs w:val="32"/>
          <w14:textFill>
            <w14:solidFill>
              <w14:schemeClr w14:val="tx1"/>
            </w14:solidFill>
          </w14:textFill>
        </w:rPr>
        <w:t>，并</w:t>
      </w:r>
      <w:r>
        <w:rPr>
          <w:rFonts w:hint="eastAsia" w:ascii="仿宋_GB2312" w:hAnsi="仿宋_GB2312" w:eastAsia="仿宋_GB2312" w:cs="仿宋_GB2312"/>
          <w:bCs/>
          <w:color w:val="000000" w:themeColor="text1"/>
          <w:szCs w:val="32"/>
          <w14:textFill>
            <w14:solidFill>
              <w14:schemeClr w14:val="tx1"/>
            </w14:solidFill>
          </w14:textFill>
        </w:rPr>
        <w:t>将</w:t>
      </w:r>
      <w:r>
        <w:rPr>
          <w:rFonts w:ascii="仿宋_GB2312" w:hAnsi="仿宋_GB2312" w:eastAsia="仿宋_GB2312" w:cs="仿宋_GB2312"/>
          <w:bCs/>
          <w:color w:val="000000" w:themeColor="text1"/>
          <w:szCs w:val="32"/>
          <w14:textFill>
            <w14:solidFill>
              <w14:schemeClr w14:val="tx1"/>
            </w14:solidFill>
          </w14:textFill>
        </w:rPr>
        <w:t>临时占地恢复原貌</w:t>
      </w:r>
      <w:r>
        <w:rPr>
          <w:rFonts w:hint="eastAsia" w:ascii="仿宋_GB2312" w:hAnsi="仿宋_GB2312" w:eastAsia="仿宋_GB2312" w:cs="仿宋_GB2312"/>
          <w:bCs/>
          <w:color w:val="000000" w:themeColor="text1"/>
          <w:szCs w:val="32"/>
          <w14:textFill>
            <w14:solidFill>
              <w14:schemeClr w14:val="tx1"/>
            </w14:solidFill>
          </w14:textFill>
        </w:rPr>
        <w:t>，拆除所有地面生产设施、平整井场。</w:t>
      </w:r>
      <w:r>
        <w:rPr>
          <w:rFonts w:hint="default" w:ascii="Times New Roman" w:hAnsi="Times New Roman" w:eastAsia="仿宋_GB2312" w:cs="Times New Roman"/>
          <w:color w:val="auto"/>
          <w:szCs w:val="32"/>
          <w:highlight w:val="none"/>
          <w:lang w:val="en-US" w:eastAsia="zh-CN"/>
        </w:rPr>
        <w:t>项目总投资974万元，其中环保投资127万元，占总投资的13.04%。</w:t>
      </w:r>
    </w:p>
    <w:p>
      <w:pPr>
        <w:numPr>
          <w:ilvl w:val="0"/>
          <w:numId w:val="0"/>
        </w:numPr>
        <w:spacing w:line="560" w:lineRule="exact"/>
        <w:ind w:firstLine="632" w:firstLineChars="200"/>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三、项目建设和运营中应重点做好以下工作：</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（一）严格落实生态保护措施。施工期间严格控制施工人员、施工机械活动范围和施工范围，减小对原始地貌的破坏。</w:t>
      </w:r>
      <w:r>
        <w:rPr>
          <w:rFonts w:hint="default" w:ascii="Times New Roman" w:hAnsi="Times New Roman" w:eastAsia="仿宋_GB2312" w:cs="Times New Roman"/>
          <w:bCs/>
          <w:color w:val="000000" w:themeColor="text1"/>
          <w:szCs w:val="32"/>
          <w:highlight w:val="none"/>
          <w14:textFill>
            <w14:solidFill>
              <w14:schemeClr w14:val="tx1"/>
            </w14:solidFill>
          </w14:textFill>
        </w:rPr>
        <w:t>施工</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占用</w:t>
      </w:r>
      <w:r>
        <w:rPr>
          <w:rFonts w:hint="default" w:ascii="Times New Roman" w:hAnsi="Times New Roman" w:eastAsia="仿宋_GB2312" w:cs="Times New Roman"/>
          <w:bCs/>
          <w:szCs w:val="32"/>
        </w:rPr>
        <w:t>基本农田</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w:t>
      </w:r>
      <w:r>
        <w:rPr>
          <w:rFonts w:hint="default" w:ascii="Times New Roman" w:hAnsi="Times New Roman" w:eastAsia="仿宋_GB2312" w:cs="Times New Roman"/>
          <w:bCs/>
          <w:color w:val="000000" w:themeColor="text1"/>
          <w:szCs w:val="32"/>
          <w:highlight w:val="none"/>
          <w:lang w:eastAsia="zh-CN"/>
          <w14:textFill>
            <w14:solidFill>
              <w14:schemeClr w14:val="tx1"/>
            </w14:solidFill>
          </w14:textFill>
        </w:rPr>
        <w:t>占地及补偿应按照地方有</w:t>
      </w:r>
      <w:r>
        <w:rPr>
          <w:rFonts w:hint="default" w:ascii="Times New Roman" w:hAnsi="Times New Roman" w:eastAsia="仿宋_GB2312" w:cs="Times New Roman"/>
          <w:bCs/>
          <w:color w:val="auto"/>
          <w:szCs w:val="32"/>
          <w:highlight w:val="none"/>
          <w:lang w:eastAsia="zh-CN"/>
        </w:rPr>
        <w:t>关工程征地及补偿要求进行，由相关部门许可后方可开工建设</w:t>
      </w:r>
      <w:r>
        <w:rPr>
          <w:rFonts w:hint="default" w:ascii="Times New Roman" w:hAnsi="Times New Roman" w:eastAsia="仿宋_GB2312" w:cs="Times New Roman"/>
          <w:bCs/>
          <w:color w:val="auto"/>
          <w:szCs w:val="32"/>
          <w:highlight w:val="none"/>
        </w:rPr>
        <w:t>。完井后及时清理场地、补种植被，做好生态恢复工作。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二）严格落实大气污染防治措施。施工期间运输车辆做好遮蔽，井场道路采取洒水抑尘，优选性能良好的施工机械，并做好施工机械的检修、维护工作。加强燃烧设备的运营维护，试油期井场的厂界非甲烷总烃浓度执行《陆上石油天然气开采工业大气污染物排放标准》（GB39728-2020）中企业边界污染物控制要求。</w:t>
      </w:r>
    </w:p>
    <w:p>
      <w:pPr>
        <w:spacing w:line="540" w:lineRule="exact"/>
        <w:ind w:firstLine="632" w:firstLineChars="200"/>
      </w:pPr>
      <w:r>
        <w:rPr>
          <w:rFonts w:hint="default" w:ascii="Times New Roman" w:hAnsi="Times New Roman" w:eastAsia="仿宋_GB2312" w:cs="Times New Roman"/>
          <w:bCs/>
          <w:color w:val="auto"/>
          <w:szCs w:val="32"/>
          <w:highlight w:val="none"/>
        </w:rPr>
        <w:t>（三）落实水污染防治措施。</w:t>
      </w:r>
      <w:r>
        <w:rPr>
          <w:rFonts w:hint="eastAsia" w:ascii="仿宋_GB2312" w:eastAsia="仿宋_GB2312"/>
          <w:bCs/>
          <w:szCs w:val="32"/>
        </w:rPr>
        <w:t>钻井废水进入泥浆不落地系统处理，分离出液相回用，钻井作业前井场铺设防渗膜；试油废水经罐车收集拉运至中石化新疆新春石油开发有限责任公司春风油田春风一号联合站；转移车辆安装GPS全程定位，</w:t>
      </w:r>
      <w:bookmarkStart w:id="0" w:name="_GoBack"/>
      <w:bookmarkEnd w:id="0"/>
      <w:r>
        <w:rPr>
          <w:rFonts w:hint="eastAsia" w:ascii="仿宋_GB2312" w:eastAsia="仿宋_GB2312"/>
          <w:bCs/>
          <w:szCs w:val="32"/>
        </w:rPr>
        <w:t>并保存相关影像资料；施工生活区设置临时环保厕所，钻井人员的生活污水经环保厕所收集至厕所底部的污水箱暂存，由罐车拉运至中石化新疆新春石油开发有限责任公司管理一区生活基地合理化处置。</w:t>
      </w:r>
      <w:r>
        <w:rPr>
          <w:rFonts w:hint="eastAsia" w:eastAsia="仿宋_GB2312"/>
          <w:bCs/>
          <w:szCs w:val="32"/>
        </w:rPr>
        <w:t>井场油罐、发电机、材料堆场等关键部位均采用防渗膜防渗，井筒采用下套管注水泥固井完井方式，对含水层进行固封处理，避免钻井液渗漏污染地下水</w:t>
      </w:r>
      <w:r>
        <w:rPr>
          <w:rFonts w:eastAsia="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（四）严格落实噪声防治措施。选用低噪声设备，高噪声设备进行消声、减振处理，确保噪声满足《建筑施工场界噪声排放标准》（GB 12523-2011）中限值要求。</w:t>
      </w:r>
    </w:p>
    <w:p>
      <w:pPr>
        <w:pStyle w:val="5"/>
        <w:spacing w:line="540" w:lineRule="exact"/>
        <w:ind w:firstLine="64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（五）固体废物实施分类管理和妥善处理处置。</w:t>
      </w:r>
      <w:r>
        <w:rPr>
          <w:rFonts w:hint="default" w:ascii="Times New Roman" w:hAnsi="Times New Roman" w:eastAsia="仿宋_GB2312" w:cs="Times New Roman"/>
          <w:bCs/>
          <w:color w:val="auto"/>
          <w:szCs w:val="32"/>
          <w:highlight w:val="none"/>
          <w:lang w:eastAsia="zh-CN"/>
        </w:rPr>
        <w:t>钻井时井筒返排的钻井液及岩屑经固液分离装置初步分离，分离出的液相回用于钻井液配置，不可分离的钻井泥浆及钻井岩屑排入岩屑罐，与岩屑一同委托</w:t>
      </w:r>
      <w:r>
        <w:rPr>
          <w:rFonts w:hint="default" w:ascii="Times New Roman" w:hAnsi="Times New Roman" w:eastAsia="仿宋_GB2312" w:cs="Times New Roman"/>
          <w:bCs/>
          <w:color w:val="auto"/>
          <w:szCs w:val="32"/>
          <w:highlight w:val="none"/>
          <w:lang w:val="en-US" w:eastAsia="zh-CN"/>
        </w:rPr>
        <w:t>处理单位</w:t>
      </w:r>
      <w:r>
        <w:rPr>
          <w:rFonts w:hint="default" w:ascii="Times New Roman" w:hAnsi="Times New Roman" w:eastAsia="仿宋_GB2312" w:cs="Times New Roman"/>
          <w:bCs/>
          <w:color w:val="auto"/>
          <w:szCs w:val="32"/>
          <w:highlight w:val="none"/>
          <w:lang w:eastAsia="zh-CN"/>
        </w:rPr>
        <w:t>进行处置，满足《油气田钻井固体废弃物综合利用污染物控制要求》（DB65/T3997-2017）的钻井泥浆及钻井岩屑进行综合利用，用于铺设油田临时道路及井场铺垫等</w:t>
      </w:r>
      <w:r>
        <w:rPr>
          <w:rFonts w:hint="default" w:ascii="Times New Roman" w:hAnsi="Times New Roman" w:eastAsia="仿宋_GB2312" w:cs="Times New Roman"/>
          <w:bCs/>
          <w:color w:val="auto"/>
          <w:szCs w:val="32"/>
          <w:highlight w:val="none"/>
        </w:rPr>
        <w:t>。</w:t>
      </w:r>
      <w:r>
        <w:rPr>
          <w:rFonts w:hint="eastAsia" w:ascii="仿宋_GB2312" w:eastAsia="仿宋_GB2312"/>
          <w:bCs/>
          <w:color w:val="000000" w:themeColor="text1"/>
          <w:szCs w:val="32"/>
          <w14:textFill>
            <w14:solidFill>
              <w14:schemeClr w14:val="tx1"/>
            </w14:solidFill>
          </w14:textFill>
        </w:rPr>
        <w:t>机械设备运行产生的废润滑油</w:t>
      </w:r>
      <w:r>
        <w:rPr>
          <w:rFonts w:hint="eastAsia" w:ascii="仿宋_GB2312" w:eastAsia="仿宋_GB2312"/>
          <w:bCs/>
          <w:color w:val="000000" w:themeColor="text1"/>
          <w:szCs w:val="32"/>
          <w:lang w:eastAsia="zh-CN"/>
          <w14:textFill>
            <w14:solidFill>
              <w14:schemeClr w14:val="tx1"/>
            </w14:solidFill>
          </w14:textFill>
        </w:rPr>
        <w:t>，</w:t>
      </w:r>
      <w:r>
        <w:rPr>
          <w:rFonts w:hint="eastAsia" w:ascii="仿宋_GB2312" w:eastAsia="仿宋_GB2312"/>
          <w:bCs/>
          <w:color w:val="000000" w:themeColor="text1"/>
          <w:szCs w:val="32"/>
          <w:lang w:val="en-US" w:eastAsia="zh-CN"/>
          <w14:textFill>
            <w14:solidFill>
              <w14:schemeClr w14:val="tx1"/>
            </w14:solidFill>
          </w14:textFill>
        </w:rPr>
        <w:t>废</w:t>
      </w:r>
      <w:r>
        <w:rPr>
          <w:rFonts w:hint="eastAsia" w:ascii="仿宋_GB2312" w:eastAsia="仿宋_GB2312"/>
          <w:bCs/>
          <w:color w:val="000000" w:themeColor="text1"/>
          <w:szCs w:val="32"/>
          <w14:textFill>
            <w14:solidFill>
              <w14:schemeClr w14:val="tx1"/>
            </w14:solidFill>
          </w14:textFill>
        </w:rPr>
        <w:t>沾油防渗材料</w:t>
      </w:r>
      <w:r>
        <w:rPr>
          <w:rFonts w:hint="eastAsia" w:ascii="仿宋_GB2312" w:eastAsia="仿宋_GB2312"/>
          <w:bCs/>
          <w:color w:val="000000" w:themeColor="text1"/>
          <w:szCs w:val="32"/>
          <w:lang w:eastAsia="zh-CN"/>
          <w14:textFill>
            <w14:solidFill>
              <w14:schemeClr w14:val="tx1"/>
            </w14:solidFill>
          </w14:textFill>
        </w:rPr>
        <w:t>，</w:t>
      </w:r>
      <w:r>
        <w:rPr>
          <w:rFonts w:hint="eastAsia" w:ascii="仿宋_GB2312" w:eastAsia="仿宋_GB2312"/>
          <w:bCs/>
          <w:color w:val="000000" w:themeColor="text1"/>
          <w:szCs w:val="32"/>
          <w14:textFill>
            <w14:solidFill>
              <w14:schemeClr w14:val="tx1"/>
            </w14:solidFill>
          </w14:textFill>
        </w:rPr>
        <w:t>废油桶</w:t>
      </w:r>
      <w:r>
        <w:rPr>
          <w:rFonts w:hint="eastAsia" w:ascii="仿宋_GB2312" w:eastAsia="仿宋_GB2312"/>
          <w:bCs/>
          <w:color w:val="000000" w:themeColor="text1"/>
          <w:szCs w:val="32"/>
          <w:lang w:eastAsia="zh-CN"/>
          <w14:textFill>
            <w14:solidFill>
              <w14:schemeClr w14:val="tx1"/>
            </w14:solidFill>
          </w14:textFill>
        </w:rPr>
        <w:t>，</w:t>
      </w:r>
      <w:r>
        <w:rPr>
          <w:rFonts w:hint="eastAsia" w:ascii="仿宋_GB2312" w:hAnsi="仿宋_GB2312" w:eastAsia="仿宋_GB2312" w:cs="仿宋_GB2312"/>
          <w:bCs/>
          <w:szCs w:val="32"/>
        </w:rPr>
        <w:t>废弃的含油抹布、劳保用品</w:t>
      </w:r>
      <w:r>
        <w:rPr>
          <w:rFonts w:hint="default" w:ascii="Times New Roman" w:hAnsi="Times New Roman" w:eastAsia="仿宋_GB2312" w:cs="Times New Roman"/>
          <w:bCs/>
          <w:color w:val="auto"/>
          <w:szCs w:val="32"/>
          <w:highlight w:val="none"/>
          <w:lang w:val="en-US" w:eastAsia="zh-CN"/>
        </w:rPr>
        <w:t>属于危险废物，必须交由</w:t>
      </w:r>
      <w:r>
        <w:rPr>
          <w:rFonts w:hint="default" w:ascii="Times New Roman" w:hAnsi="Times New Roman" w:eastAsia="仿宋_GB2312" w:cs="Times New Roman"/>
          <w:bCs/>
          <w:color w:val="auto"/>
          <w:szCs w:val="32"/>
          <w:highlight w:val="none"/>
        </w:rPr>
        <w:t>具有相应危险废物处置资质的单位进行处置。</w:t>
      </w:r>
      <w:r>
        <w:rPr>
          <w:rFonts w:hint="default" w:ascii="Times New Roman" w:hAnsi="Times New Roman" w:eastAsia="仿宋_GB2312" w:cs="Times New Roman"/>
          <w:bCs/>
          <w:color w:val="auto"/>
          <w:szCs w:val="32"/>
          <w:highlight w:val="none"/>
          <w:lang w:eastAsia="zh-CN"/>
        </w:rPr>
        <w:t>场</w:t>
      </w:r>
      <w:r>
        <w:rPr>
          <w:rFonts w:hint="default" w:ascii="Times New Roman" w:hAnsi="Times New Roman" w:eastAsia="仿宋_GB2312" w:cs="Times New Roman"/>
          <w:bCs/>
          <w:color w:val="auto"/>
          <w:szCs w:val="32"/>
          <w:highlight w:val="none"/>
        </w:rPr>
        <w:t>区危险废物须按照《危险废物收集贮存运输技术规范》（HJ2025-2012）及《危险废物贮存污染控制标准》（GB18597-2001）（2013年修正）的相关要求进行收集、贮存。</w:t>
      </w:r>
      <w:r>
        <w:rPr>
          <w:rFonts w:hint="default" w:ascii="Times New Roman" w:hAnsi="Times New Roman" w:eastAsia="仿宋_GB2312" w:cs="Times New Roman"/>
          <w:bCs/>
          <w:szCs w:val="32"/>
        </w:rPr>
        <w:t>生活垃圾集中收集后，定期拉运至128团生活垃圾暂存点，交由当地环卫部门统一处理。</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（六）严格落实环境风险防范措施。做好设备的日常巡检维护，建立健全各项环保管理制度、应急预案等，避免事故发生，引发环境污染。</w:t>
      </w:r>
    </w:p>
    <w:p>
      <w:pPr>
        <w:spacing w:line="600" w:lineRule="exact"/>
        <w:ind w:firstLine="632" w:firstLineChars="2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eastAsia="zh-CN"/>
        </w:rPr>
        <w:t>七</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pPr>
        <w:spacing w:line="600" w:lineRule="exact"/>
        <w:ind w:firstLine="632" w:firstLineChars="2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adjustRightInd w:val="0"/>
        <w:snapToGrid w:val="0"/>
        <w:spacing w:line="560" w:lineRule="exact"/>
        <w:ind w:firstLine="632" w:firstLineChars="200"/>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五、我局委托师市生态环境保护综合行政执法支队、</w:t>
      </w:r>
      <w:r>
        <w:rPr>
          <w:rFonts w:hint="default" w:ascii="Times New Roman" w:hAnsi="Times New Roman" w:eastAsia="仿宋_GB2312" w:cs="Times New Roman"/>
          <w:bCs/>
          <w:color w:val="auto"/>
          <w:szCs w:val="32"/>
          <w:highlight w:val="none"/>
          <w:lang w:val="en-US" w:eastAsia="zh-CN"/>
        </w:rPr>
        <w:t>128</w:t>
      </w:r>
      <w:r>
        <w:rPr>
          <w:rFonts w:hint="default" w:ascii="Times New Roman" w:hAnsi="Times New Roman" w:eastAsia="仿宋_GB2312" w:cs="Times New Roman"/>
          <w:bCs/>
          <w:color w:val="auto"/>
          <w:szCs w:val="32"/>
          <w:highlight w:val="none"/>
        </w:rPr>
        <w:t>团经济发展办公室组织开展该项目的“三同时”监督检查和日常监督管理工作。探井若转为生产井，则须重新进行环境影响评价</w:t>
      </w:r>
      <w:r>
        <w:rPr>
          <w:rFonts w:hint="default" w:ascii="Times New Roman" w:hAnsi="Times New Roman" w:eastAsia="仿宋_GB2312" w:cs="Times New Roman"/>
          <w:bCs/>
          <w:color w:val="auto"/>
          <w:szCs w:val="32"/>
          <w:highlight w:val="none"/>
          <w:lang w:eastAsia="zh-CN"/>
        </w:rPr>
        <w:t>。</w:t>
      </w:r>
    </w:p>
    <w:p>
      <w:pPr>
        <w:spacing w:line="600" w:lineRule="exact"/>
        <w:ind w:firstLine="632" w:firstLineChars="2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六、你单位应在接到本批复后20个工作日内，将批准后的环境影响报告表送师市生态环境保护综合行政执法支队、</w:t>
      </w:r>
      <w:r>
        <w:rPr>
          <w:rFonts w:hint="default" w:ascii="Times New Roman" w:hAnsi="Times New Roman" w:eastAsia="仿宋_GB2312" w:cs="Times New Roman"/>
          <w:bCs/>
          <w:color w:val="auto"/>
          <w:szCs w:val="32"/>
          <w:highlight w:val="none"/>
          <w:lang w:val="en-US" w:eastAsia="zh-CN"/>
        </w:rPr>
        <w:t>128</w:t>
      </w:r>
      <w:r>
        <w:rPr>
          <w:rFonts w:hint="default" w:ascii="Times New Roman" w:hAnsi="Times New Roman" w:eastAsia="仿宋_GB2312" w:cs="Times New Roman"/>
          <w:bCs/>
          <w:color w:val="auto"/>
          <w:szCs w:val="32"/>
          <w:highlight w:val="none"/>
        </w:rPr>
        <w:t>团经济发展办公室，并按规定接受各级生态环境主管部门的监督检查。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108" w:firstLineChars="13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202</w:t>
      </w:r>
      <w:r>
        <w:rPr>
          <w:rFonts w:hint="default" w:ascii="Times New Roman" w:hAnsi="Times New Roman" w:eastAsia="仿宋_GB2312" w:cs="Times New Roman"/>
          <w:bCs/>
          <w:color w:val="auto"/>
          <w:szCs w:val="32"/>
          <w:highlight w:val="none"/>
          <w:lang w:val="en-US" w:eastAsia="zh-CN"/>
        </w:rPr>
        <w:t>2</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8</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9</w:t>
      </w:r>
      <w:r>
        <w:rPr>
          <w:rFonts w:hint="default" w:ascii="Times New Roman" w:hAnsi="Times New Roman" w:eastAsia="仿宋_GB2312" w:cs="Times New Roman"/>
          <w:bCs/>
          <w:color w:val="auto"/>
          <w:szCs w:val="32"/>
          <w:highlight w:val="none"/>
        </w:rPr>
        <w:t>日</w:t>
      </w:r>
    </w:p>
    <w:p>
      <w:pPr>
        <w:pStyle w:val="14"/>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spacing w:line="400" w:lineRule="exact"/>
        <w:ind w:right="316" w:rightChars="100" w:firstLine="276"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59264;mso-width-relative:page;mso-height-relative:page;" filled="f" stroked="t" coordsize="21600,21600" o:gfxdata="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iU+t0AAAAAIBAAAPAAAAAAAAAAEAIAAAACIAAABkcnMvZG93bnJldi54bWxQSwECFAAU&#10;AAAACACHTuJA56pq1PkBAADzAwAADgAAAAAAAAABACAAAAAfAQAAZHJzL2Uyb0RvYy54bWxQSwUG&#10;AAAAAAYABgBZAQAAi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抄送：师市生态环境保护综合行政执法支队，</w:t>
      </w:r>
      <w:r>
        <w:rPr>
          <w:rFonts w:hint="default" w:ascii="Times New Roman" w:hAnsi="Times New Roman" w:eastAsia="仿宋_GB2312" w:cs="Times New Roman"/>
          <w:color w:val="auto"/>
          <w:sz w:val="28"/>
          <w:szCs w:val="28"/>
          <w:lang w:val="en-US" w:eastAsia="zh-CN"/>
        </w:rPr>
        <w:t>128</w:t>
      </w:r>
      <w:r>
        <w:rPr>
          <w:rFonts w:hint="default" w:ascii="Times New Roman" w:hAnsi="Times New Roman" w:eastAsia="仿宋_GB2312" w:cs="Times New Roman"/>
          <w:color w:val="auto"/>
          <w:sz w:val="28"/>
          <w:szCs w:val="28"/>
        </w:rPr>
        <w:t>团经济发展办公室。</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0288;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w:t>
      </w:r>
      <w:r>
        <w:rPr>
          <w:rFonts w:hint="eastAsia"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320" w:leftChars="100" w:right="320" w:rightChars="100"/>
      <w:rPr>
        <w:rStyle w:val="13"/>
        <w:rFonts w:hint="eastAsia" w:ascii="仿宋_GB2312" w:eastAsia="仿宋_GB2312"/>
        <w:b/>
        <w:bCs/>
        <w:sz w:val="28"/>
        <w:szCs w:val="28"/>
      </w:rPr>
    </w:pPr>
    <w:r>
      <w:rPr>
        <w:rStyle w:val="13"/>
        <w:rFonts w:hint="eastAsia" w:ascii="仿宋_GB2312" w:eastAsia="仿宋_GB2312"/>
        <w:sz w:val="28"/>
        <w:szCs w:val="28"/>
      </w:rPr>
      <w:t xml:space="preserve">— </w:t>
    </w:r>
    <w:r>
      <w:rPr>
        <w:rFonts w:hint="eastAsia" w:ascii="仿宋_GB2312" w:eastAsia="仿宋_GB2312"/>
        <w:sz w:val="28"/>
        <w:szCs w:val="28"/>
      </w:rPr>
      <w:fldChar w:fldCharType="begin"/>
    </w:r>
    <w:r>
      <w:rPr>
        <w:rStyle w:val="13"/>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3"/>
        <w:rFonts w:ascii="仿宋_GB2312" w:eastAsia="仿宋_GB2312"/>
        <w:sz w:val="28"/>
        <w:szCs w:val="28"/>
      </w:rPr>
      <w:t>1</w:t>
    </w:r>
    <w:r>
      <w:rPr>
        <w:rFonts w:hint="eastAsia" w:ascii="仿宋_GB2312" w:eastAsia="仿宋_GB2312"/>
        <w:sz w:val="28"/>
        <w:szCs w:val="28"/>
      </w:rPr>
      <w:fldChar w:fldCharType="end"/>
    </w:r>
    <w:r>
      <w:rPr>
        <w:rStyle w:val="13"/>
        <w:rFonts w:hint="eastAsia" w:ascii="仿宋_GB2312" w:eastAsia="仿宋_GB2312"/>
        <w:sz w:val="28"/>
        <w:szCs w:val="28"/>
      </w:rPr>
      <w:t xml:space="preserve"> —</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Pr>
    </w:pPr>
    <w:r>
      <w:fldChar w:fldCharType="begin"/>
    </w:r>
    <w:r>
      <w:rPr>
        <w:rStyle w:val="13"/>
      </w:rPr>
      <w:instrText xml:space="preserve">PAGE  </w:instrText>
    </w:r>
    <w:r>
      <w:fldChar w:fldCharType="separate"/>
    </w:r>
    <w:r>
      <w:rPr>
        <w:rStyle w:val="13"/>
      </w:rPr>
      <w:t>1</w:t>
    </w:r>
    <w: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3C2D3E"/>
    <w:multiLevelType w:val="singleLevel"/>
    <w:tmpl w:val="673C2D3E"/>
    <w:lvl w:ilvl="0" w:tentative="0">
      <w:start w:val="1"/>
      <w:numFmt w:val="chineseCounting"/>
      <w:suff w:val="nothing"/>
      <w:lvlText w:val="%1、"/>
      <w:lvlJc w:val="left"/>
      <w:rPr>
        <w:rFonts w:hint="eastAsia"/>
      </w:rPr>
    </w:lvl>
  </w:abstractNum>
  <w:abstractNum w:abstractNumId="1">
    <w:nsid w:val="7F401AFB"/>
    <w:multiLevelType w:val="multilevel"/>
    <w:tmpl w:val="7F401AFB"/>
    <w:lvl w:ilvl="0" w:tentative="0">
      <w:start w:val="1"/>
      <w:numFmt w:val="decimal"/>
      <w:pStyle w:val="3"/>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4B77D73"/>
    <w:rsid w:val="05737345"/>
    <w:rsid w:val="06C71389"/>
    <w:rsid w:val="06CC7B06"/>
    <w:rsid w:val="08EC6D80"/>
    <w:rsid w:val="1509523C"/>
    <w:rsid w:val="16B800EE"/>
    <w:rsid w:val="177121A0"/>
    <w:rsid w:val="20783D41"/>
    <w:rsid w:val="21162F81"/>
    <w:rsid w:val="21DD6837"/>
    <w:rsid w:val="24057B5F"/>
    <w:rsid w:val="24696853"/>
    <w:rsid w:val="247C78BD"/>
    <w:rsid w:val="260C6FC7"/>
    <w:rsid w:val="291034DE"/>
    <w:rsid w:val="2B665A9B"/>
    <w:rsid w:val="2BA03F96"/>
    <w:rsid w:val="2F130EE6"/>
    <w:rsid w:val="2F2B3664"/>
    <w:rsid w:val="2FEE4162"/>
    <w:rsid w:val="32C5491C"/>
    <w:rsid w:val="371F1D45"/>
    <w:rsid w:val="38453BBB"/>
    <w:rsid w:val="3BAC6099"/>
    <w:rsid w:val="3C25479F"/>
    <w:rsid w:val="3D7076AF"/>
    <w:rsid w:val="3EC1562C"/>
    <w:rsid w:val="3F0E35AF"/>
    <w:rsid w:val="4419237E"/>
    <w:rsid w:val="45D948F4"/>
    <w:rsid w:val="472130B8"/>
    <w:rsid w:val="47587B93"/>
    <w:rsid w:val="4CBF17F2"/>
    <w:rsid w:val="4CCA458A"/>
    <w:rsid w:val="50CD705E"/>
    <w:rsid w:val="54231BA0"/>
    <w:rsid w:val="609006D2"/>
    <w:rsid w:val="66BE66CF"/>
    <w:rsid w:val="68991CEA"/>
    <w:rsid w:val="6B762AC2"/>
    <w:rsid w:val="6D272415"/>
    <w:rsid w:val="721320EC"/>
    <w:rsid w:val="73323C81"/>
    <w:rsid w:val="745A0337"/>
    <w:rsid w:val="79621333"/>
    <w:rsid w:val="798C319D"/>
    <w:rsid w:val="79F35C8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1"/>
    <w:basedOn w:val="1"/>
    <w:next w:val="1"/>
    <w:qFormat/>
    <w:uiPriority w:val="0"/>
    <w:pPr>
      <w:keepNext/>
      <w:keepLines/>
      <w:numPr>
        <w:ilvl w:val="0"/>
        <w:numId w:val="1"/>
      </w:numPr>
      <w:outlineLvl w:val="0"/>
    </w:pPr>
    <w:rPr>
      <w:b/>
      <w:kern w:val="0"/>
      <w:sz w:val="28"/>
      <w:szCs w:val="28"/>
    </w:rPr>
  </w:style>
  <w:style w:type="paragraph" w:styleId="4">
    <w:name w:val="heading 2"/>
    <w:basedOn w:val="1"/>
    <w:next w:val="1"/>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2">
    <w:name w:val="heading 3"/>
    <w:basedOn w:val="1"/>
    <w:next w:val="1"/>
    <w:qFormat/>
    <w:uiPriority w:val="0"/>
    <w:pPr>
      <w:keepNext/>
      <w:keepLines/>
      <w:spacing w:line="360" w:lineRule="auto"/>
      <w:ind w:firstLine="200" w:firstLineChars="200"/>
      <w:outlineLvl w:val="2"/>
    </w:pPr>
    <w:rPr>
      <w:bCs/>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宋体" w:hAnsi="宋体"/>
    </w:rPr>
  </w:style>
  <w:style w:type="paragraph" w:styleId="6">
    <w:name w:val="Body Text"/>
    <w:basedOn w:val="1"/>
    <w:qFormat/>
    <w:uiPriority w:val="0"/>
    <w:rPr>
      <w:rFonts w:eastAsia="华文中宋"/>
      <w:b/>
      <w:bCs/>
      <w:w w:val="90"/>
      <w:sz w:val="44"/>
    </w:rPr>
  </w:style>
  <w:style w:type="paragraph" w:styleId="7">
    <w:name w:val="Block Text"/>
    <w:basedOn w:val="1"/>
    <w:qFormat/>
    <w:uiPriority w:val="99"/>
    <w:pPr>
      <w:spacing w:line="480" w:lineRule="exact"/>
      <w:ind w:left="-125" w:right="-56" w:firstLine="570"/>
    </w:pPr>
    <w:rPr>
      <w:sz w:val="28"/>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Body Text 2"/>
    <w:basedOn w:val="1"/>
    <w:unhideWhenUsed/>
    <w:qFormat/>
    <w:uiPriority w:val="99"/>
    <w:pPr>
      <w:spacing w:after="120" w:line="480" w:lineRule="auto"/>
    </w:pPr>
  </w:style>
  <w:style w:type="character" w:styleId="13">
    <w:name w:val="page number"/>
    <w:basedOn w:val="12"/>
    <w:qFormat/>
    <w:uiPriority w:val="0"/>
  </w:style>
  <w:style w:type="paragraph" w:customStyle="1" w:styleId="14">
    <w:name w:val="Char"/>
    <w:basedOn w:val="1"/>
    <w:qFormat/>
    <w:uiPriority w:val="0"/>
    <w:rPr>
      <w:rFonts w:cs="宋体"/>
      <w:sz w:val="28"/>
    </w:rPr>
  </w:style>
  <w:style w:type="paragraph" w:customStyle="1" w:styleId="15">
    <w:name w:val="YJ正文*"/>
    <w:basedOn w:val="1"/>
    <w:qFormat/>
    <w:uiPriority w:val="0"/>
    <w:pPr>
      <w:spacing w:line="500" w:lineRule="exact"/>
      <w:ind w:firstLine="200" w:firstLineChars="200"/>
      <w:jc w:val="both"/>
    </w:pPr>
    <w:rPr>
      <w:rFonts w:ascii="等线" w:hAnsi="等线" w:eastAsia="宋体"/>
      <w:sz w:val="24"/>
    </w:rPr>
  </w:style>
  <w:style w:type="paragraph" w:customStyle="1" w:styleId="16">
    <w:name w:val="表字-书"/>
    <w:basedOn w:val="1"/>
    <w:qFormat/>
    <w:uiPriority w:val="0"/>
    <w:pPr>
      <w:spacing w:line="240" w:lineRule="exact"/>
      <w:ind w:firstLine="0" w:firstLineChars="0"/>
      <w:jc w:val="center"/>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1911</Words>
  <Characters>2054</Characters>
  <Lines>11</Lines>
  <Paragraphs>3</Paragraphs>
  <TotalTime>113</TotalTime>
  <ScaleCrop>false</ScaleCrop>
  <LinksUpToDate>false</LinksUpToDate>
  <CharactersWithSpaces>2092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陈琛</cp:lastModifiedBy>
  <cp:lastPrinted>2022-08-05T08:09:04Z</cp:lastPrinted>
  <dcterms:modified xsi:type="dcterms:W3CDTF">2022-08-09T02:49:24Z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66F2E68609D343FE8D76D51282233A12</vt:lpwstr>
  </property>
</Properties>
</file>