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2430" w:rsidRDefault="00AF3377">
      <w:pPr>
        <w:jc w:val="center"/>
        <w:rPr>
          <w:rFonts w:eastAsia="黑体"/>
          <w:sz w:val="30"/>
          <w:szCs w:val="30"/>
          <w:shd w:val="clear" w:color="auto" w:fill="FFFFFF"/>
        </w:rPr>
      </w:pPr>
      <w:r>
        <w:rPr>
          <w:rFonts w:eastAsia="黑体" w:hAnsi="黑体"/>
          <w:sz w:val="30"/>
          <w:szCs w:val="30"/>
          <w:shd w:val="clear" w:color="auto" w:fill="FFFFFF"/>
        </w:rPr>
        <w:t>拟批准环境影响评价文件的建设项目</w:t>
      </w:r>
    </w:p>
    <w:tbl>
      <w:tblPr>
        <w:tblpPr w:leftFromText="180" w:rightFromText="180" w:horzAnchor="margin" w:tblpY="777"/>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769"/>
        <w:gridCol w:w="779"/>
        <w:gridCol w:w="720"/>
        <w:gridCol w:w="1024"/>
        <w:gridCol w:w="2126"/>
        <w:gridCol w:w="8222"/>
      </w:tblGrid>
      <w:tr w:rsidR="00EF2430" w:rsidTr="00FA3898">
        <w:trPr>
          <w:trHeight w:val="615"/>
        </w:trPr>
        <w:tc>
          <w:tcPr>
            <w:tcW w:w="360"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序号</w:t>
            </w:r>
          </w:p>
        </w:tc>
        <w:tc>
          <w:tcPr>
            <w:tcW w:w="769"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项目名称</w:t>
            </w:r>
          </w:p>
        </w:tc>
        <w:tc>
          <w:tcPr>
            <w:tcW w:w="779"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建设地点</w:t>
            </w:r>
          </w:p>
        </w:tc>
        <w:tc>
          <w:tcPr>
            <w:tcW w:w="720"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建设单位</w:t>
            </w:r>
          </w:p>
        </w:tc>
        <w:tc>
          <w:tcPr>
            <w:tcW w:w="1024"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环境影响评价机构</w:t>
            </w:r>
          </w:p>
        </w:tc>
        <w:tc>
          <w:tcPr>
            <w:tcW w:w="2126"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项目概况</w:t>
            </w:r>
          </w:p>
        </w:tc>
        <w:tc>
          <w:tcPr>
            <w:tcW w:w="8222"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b w:val="0"/>
                <w:bCs w:val="0"/>
                <w:sz w:val="18"/>
                <w:szCs w:val="18"/>
              </w:rPr>
            </w:pPr>
            <w:r>
              <w:rPr>
                <w:rStyle w:val="a3"/>
                <w:rFonts w:ascii="Times New Roman" w:cs="Times New Roman"/>
                <w:b w:val="0"/>
                <w:sz w:val="18"/>
                <w:szCs w:val="18"/>
              </w:rPr>
              <w:t>主要环境影响及预防或者减轻不良环境影响的对策和措施</w:t>
            </w:r>
          </w:p>
        </w:tc>
      </w:tr>
      <w:tr w:rsidR="00EF2430" w:rsidTr="00FA3898">
        <w:trPr>
          <w:trHeight w:val="552"/>
        </w:trPr>
        <w:tc>
          <w:tcPr>
            <w:tcW w:w="360" w:type="dxa"/>
            <w:vAlign w:val="center"/>
          </w:tcPr>
          <w:p w:rsidR="00EF2430" w:rsidRDefault="00AF3377">
            <w:pPr>
              <w:pStyle w:val="aa"/>
              <w:spacing w:before="0" w:beforeAutospacing="0" w:after="0" w:afterAutospacing="0" w:line="240" w:lineRule="atLeast"/>
              <w:jc w:val="center"/>
              <w:rPr>
                <w:rStyle w:val="a3"/>
                <w:rFonts w:ascii="Times New Roman" w:hAnsi="Times New Roman" w:cs="Times New Roman"/>
                <w:sz w:val="18"/>
                <w:szCs w:val="18"/>
              </w:rPr>
            </w:pPr>
            <w:r>
              <w:rPr>
                <w:rStyle w:val="a3"/>
                <w:rFonts w:ascii="Times New Roman" w:hAnsi="Times New Roman" w:cs="Times New Roman"/>
                <w:sz w:val="18"/>
                <w:szCs w:val="18"/>
              </w:rPr>
              <w:t>1</w:t>
            </w:r>
          </w:p>
        </w:tc>
        <w:tc>
          <w:tcPr>
            <w:tcW w:w="769" w:type="dxa"/>
            <w:vAlign w:val="center"/>
          </w:tcPr>
          <w:p w:rsidR="00EF2430" w:rsidRDefault="00F71AB7" w:rsidP="001352C7">
            <w:pPr>
              <w:jc w:val="center"/>
              <w:rPr>
                <w:sz w:val="18"/>
                <w:szCs w:val="18"/>
              </w:rPr>
            </w:pPr>
            <w:r w:rsidRPr="00F71AB7">
              <w:rPr>
                <w:rFonts w:hint="eastAsia"/>
                <w:sz w:val="18"/>
                <w:szCs w:val="18"/>
              </w:rPr>
              <w:t>排</w:t>
            </w:r>
            <w:r w:rsidRPr="00F71AB7">
              <w:rPr>
                <w:rFonts w:hint="eastAsia"/>
                <w:sz w:val="18"/>
                <w:szCs w:val="18"/>
              </w:rPr>
              <w:t>764</w:t>
            </w:r>
            <w:r w:rsidRPr="00F71AB7">
              <w:rPr>
                <w:rFonts w:hint="eastAsia"/>
                <w:sz w:val="18"/>
                <w:szCs w:val="18"/>
              </w:rPr>
              <w:t>、</w:t>
            </w:r>
            <w:r w:rsidR="001352C7">
              <w:rPr>
                <w:rFonts w:hint="eastAsia"/>
                <w:sz w:val="18"/>
                <w:szCs w:val="18"/>
              </w:rPr>
              <w:t>排</w:t>
            </w:r>
            <w:r w:rsidR="001352C7">
              <w:rPr>
                <w:rFonts w:hint="eastAsia"/>
                <w:sz w:val="18"/>
                <w:szCs w:val="18"/>
              </w:rPr>
              <w:t>7</w:t>
            </w:r>
            <w:r w:rsidR="001352C7">
              <w:rPr>
                <w:sz w:val="18"/>
                <w:szCs w:val="18"/>
              </w:rPr>
              <w:t>64</w:t>
            </w:r>
            <w:r w:rsidRPr="00F71AB7">
              <w:rPr>
                <w:rFonts w:hint="eastAsia"/>
                <w:sz w:val="18"/>
                <w:szCs w:val="18"/>
              </w:rPr>
              <w:t>-</w:t>
            </w:r>
            <w:r w:rsidR="001352C7" w:rsidRPr="00F71AB7">
              <w:rPr>
                <w:rFonts w:hint="eastAsia"/>
                <w:sz w:val="18"/>
                <w:szCs w:val="18"/>
              </w:rPr>
              <w:t xml:space="preserve"> </w:t>
            </w:r>
            <w:r w:rsidRPr="00F71AB7">
              <w:rPr>
                <w:rFonts w:hint="eastAsia"/>
                <w:sz w:val="18"/>
                <w:szCs w:val="18"/>
              </w:rPr>
              <w:t>1</w:t>
            </w:r>
            <w:r w:rsidRPr="00F71AB7">
              <w:rPr>
                <w:rFonts w:hint="eastAsia"/>
                <w:sz w:val="18"/>
                <w:szCs w:val="18"/>
              </w:rPr>
              <w:t>等</w:t>
            </w:r>
            <w:r w:rsidR="001352C7">
              <w:rPr>
                <w:rFonts w:hint="eastAsia"/>
                <w:sz w:val="18"/>
                <w:szCs w:val="18"/>
              </w:rPr>
              <w:t>2</w:t>
            </w:r>
            <w:r w:rsidRPr="00F71AB7">
              <w:rPr>
                <w:rFonts w:hint="eastAsia"/>
                <w:sz w:val="18"/>
                <w:szCs w:val="18"/>
              </w:rPr>
              <w:t>口探井</w:t>
            </w:r>
          </w:p>
        </w:tc>
        <w:tc>
          <w:tcPr>
            <w:tcW w:w="779" w:type="dxa"/>
            <w:vAlign w:val="center"/>
          </w:tcPr>
          <w:p w:rsidR="00EF2430" w:rsidRDefault="00F71AB7" w:rsidP="00FA3898">
            <w:pPr>
              <w:jc w:val="center"/>
              <w:rPr>
                <w:sz w:val="18"/>
                <w:szCs w:val="18"/>
              </w:rPr>
            </w:pPr>
            <w:r w:rsidRPr="00F71AB7">
              <w:rPr>
                <w:rFonts w:hint="eastAsia"/>
                <w:sz w:val="18"/>
                <w:szCs w:val="18"/>
              </w:rPr>
              <w:t>新疆生产建设兵团第七师</w:t>
            </w:r>
            <w:r w:rsidRPr="00F71AB7">
              <w:rPr>
                <w:rFonts w:hint="eastAsia"/>
                <w:sz w:val="18"/>
                <w:szCs w:val="18"/>
              </w:rPr>
              <w:t>128</w:t>
            </w:r>
            <w:r w:rsidRPr="00F71AB7">
              <w:rPr>
                <w:rFonts w:hint="eastAsia"/>
                <w:sz w:val="18"/>
                <w:szCs w:val="18"/>
              </w:rPr>
              <w:t>团</w:t>
            </w:r>
            <w:r>
              <w:rPr>
                <w:rFonts w:hint="eastAsia"/>
                <w:sz w:val="18"/>
                <w:szCs w:val="18"/>
              </w:rPr>
              <w:t>境内</w:t>
            </w:r>
          </w:p>
        </w:tc>
        <w:tc>
          <w:tcPr>
            <w:tcW w:w="720" w:type="dxa"/>
            <w:vAlign w:val="center"/>
          </w:tcPr>
          <w:p w:rsidR="00EF2430" w:rsidRDefault="00FA3898" w:rsidP="00FA3898">
            <w:pPr>
              <w:jc w:val="center"/>
              <w:rPr>
                <w:sz w:val="18"/>
                <w:szCs w:val="18"/>
              </w:rPr>
            </w:pPr>
            <w:r w:rsidRPr="00FA3898">
              <w:rPr>
                <w:sz w:val="18"/>
                <w:szCs w:val="18"/>
              </w:rPr>
              <w:t>中石化新疆新春石油开发有限责任公司</w:t>
            </w:r>
          </w:p>
        </w:tc>
        <w:tc>
          <w:tcPr>
            <w:tcW w:w="1024" w:type="dxa"/>
            <w:vAlign w:val="center"/>
          </w:tcPr>
          <w:p w:rsidR="00EF2430" w:rsidRDefault="00FA3898">
            <w:pPr>
              <w:rPr>
                <w:sz w:val="18"/>
                <w:szCs w:val="18"/>
              </w:rPr>
            </w:pPr>
            <w:r>
              <w:rPr>
                <w:rFonts w:hint="eastAsia"/>
                <w:sz w:val="18"/>
                <w:szCs w:val="18"/>
              </w:rPr>
              <w:t>森诺科技有限公司</w:t>
            </w:r>
          </w:p>
        </w:tc>
        <w:tc>
          <w:tcPr>
            <w:tcW w:w="2126" w:type="dxa"/>
            <w:vAlign w:val="center"/>
          </w:tcPr>
          <w:p w:rsidR="00EF2430" w:rsidRDefault="00AF3377" w:rsidP="001352C7">
            <w:pPr>
              <w:spacing w:line="240" w:lineRule="atLeast"/>
              <w:rPr>
                <w:sz w:val="18"/>
                <w:szCs w:val="18"/>
              </w:rPr>
            </w:pPr>
            <w:r>
              <w:rPr>
                <w:sz w:val="18"/>
                <w:szCs w:val="18"/>
              </w:rPr>
              <w:t>本工程主要建设内容：</w:t>
            </w:r>
            <w:r w:rsidR="00F71AB7" w:rsidRPr="00F71AB7">
              <w:rPr>
                <w:rFonts w:hint="eastAsia"/>
                <w:sz w:val="18"/>
                <w:szCs w:val="18"/>
              </w:rPr>
              <w:t>排</w:t>
            </w:r>
            <w:r w:rsidR="00F71AB7" w:rsidRPr="00F71AB7">
              <w:rPr>
                <w:rFonts w:hint="eastAsia"/>
                <w:sz w:val="18"/>
                <w:szCs w:val="18"/>
              </w:rPr>
              <w:t>764</w:t>
            </w:r>
            <w:r w:rsidR="00F71AB7" w:rsidRPr="00F71AB7">
              <w:rPr>
                <w:rFonts w:hint="eastAsia"/>
                <w:sz w:val="18"/>
                <w:szCs w:val="18"/>
              </w:rPr>
              <w:t>、排</w:t>
            </w:r>
            <w:r w:rsidR="001352C7">
              <w:rPr>
                <w:sz w:val="18"/>
                <w:szCs w:val="18"/>
              </w:rPr>
              <w:t>764</w:t>
            </w:r>
            <w:r w:rsidR="00F71AB7" w:rsidRPr="00F71AB7">
              <w:rPr>
                <w:rFonts w:hint="eastAsia"/>
                <w:sz w:val="18"/>
                <w:szCs w:val="18"/>
              </w:rPr>
              <w:t>-</w:t>
            </w:r>
            <w:r w:rsidR="001352C7">
              <w:rPr>
                <w:rFonts w:hint="eastAsia"/>
                <w:sz w:val="18"/>
                <w:szCs w:val="18"/>
              </w:rPr>
              <w:t>1</w:t>
            </w:r>
            <w:r w:rsidR="001352C7">
              <w:rPr>
                <w:rFonts w:hint="eastAsia"/>
                <w:sz w:val="18"/>
                <w:szCs w:val="18"/>
              </w:rPr>
              <w:t>等</w:t>
            </w:r>
            <w:r w:rsidR="001352C7">
              <w:rPr>
                <w:rFonts w:hint="eastAsia"/>
                <w:sz w:val="18"/>
                <w:szCs w:val="18"/>
              </w:rPr>
              <w:t>2</w:t>
            </w:r>
            <w:r w:rsidR="00F71AB7" w:rsidRPr="00F71AB7">
              <w:rPr>
                <w:rFonts w:hint="eastAsia"/>
                <w:sz w:val="18"/>
                <w:szCs w:val="18"/>
              </w:rPr>
              <w:t>口探井</w:t>
            </w:r>
            <w:r w:rsidR="00FA3898">
              <w:rPr>
                <w:rFonts w:hint="eastAsia"/>
                <w:sz w:val="18"/>
                <w:szCs w:val="18"/>
              </w:rPr>
              <w:t>，</w:t>
            </w:r>
            <w:r w:rsidR="00F71AB7">
              <w:rPr>
                <w:rFonts w:hint="eastAsia"/>
                <w:sz w:val="18"/>
                <w:szCs w:val="18"/>
              </w:rPr>
              <w:t>总</w:t>
            </w:r>
            <w:r w:rsidR="00FA3898">
              <w:rPr>
                <w:rFonts w:hint="eastAsia"/>
                <w:sz w:val="18"/>
                <w:szCs w:val="18"/>
              </w:rPr>
              <w:t>井深</w:t>
            </w:r>
            <w:r w:rsidR="00356A08">
              <w:rPr>
                <w:rFonts w:hint="eastAsia"/>
                <w:sz w:val="18"/>
                <w:szCs w:val="18"/>
              </w:rPr>
              <w:t>154</w:t>
            </w:r>
            <w:r w:rsidR="00F71AB7" w:rsidRPr="00F71AB7">
              <w:rPr>
                <w:sz w:val="18"/>
                <w:szCs w:val="18"/>
              </w:rPr>
              <w:t>0</w:t>
            </w:r>
            <w:r w:rsidR="00FA3898" w:rsidRPr="00FA3898">
              <w:rPr>
                <w:sz w:val="18"/>
                <w:szCs w:val="18"/>
              </w:rPr>
              <w:t>m</w:t>
            </w:r>
            <w:r>
              <w:rPr>
                <w:sz w:val="18"/>
                <w:szCs w:val="18"/>
              </w:rPr>
              <w:t>，</w:t>
            </w:r>
            <w:r w:rsidR="00FA3898">
              <w:rPr>
                <w:rFonts w:hint="eastAsia"/>
                <w:sz w:val="18"/>
                <w:szCs w:val="18"/>
              </w:rPr>
              <w:t>临时</w:t>
            </w:r>
            <w:r>
              <w:rPr>
                <w:sz w:val="18"/>
                <w:szCs w:val="18"/>
              </w:rPr>
              <w:t>占地面积约</w:t>
            </w:r>
            <w:r w:rsidR="00356A08" w:rsidRPr="00356A08">
              <w:rPr>
                <w:sz w:val="18"/>
                <w:szCs w:val="18"/>
              </w:rPr>
              <w:t>7249</w:t>
            </w:r>
            <w:r w:rsidR="00FA3898">
              <w:rPr>
                <w:rFonts w:hint="eastAsia"/>
                <w:sz w:val="18"/>
                <w:szCs w:val="18"/>
              </w:rPr>
              <w:t>m</w:t>
            </w:r>
            <w:r w:rsidR="00FA3898" w:rsidRPr="00FA3898">
              <w:rPr>
                <w:rFonts w:hint="eastAsia"/>
                <w:sz w:val="18"/>
                <w:szCs w:val="18"/>
                <w:vertAlign w:val="superscript"/>
              </w:rPr>
              <w:t>2</w:t>
            </w:r>
            <w:r>
              <w:rPr>
                <w:sz w:val="18"/>
                <w:szCs w:val="18"/>
              </w:rPr>
              <w:t>。总投资</w:t>
            </w:r>
            <w:r w:rsidR="00F71AB7" w:rsidRPr="00F71AB7">
              <w:rPr>
                <w:sz w:val="18"/>
                <w:szCs w:val="18"/>
              </w:rPr>
              <w:t>500</w:t>
            </w:r>
            <w:r>
              <w:rPr>
                <w:sz w:val="18"/>
                <w:szCs w:val="18"/>
              </w:rPr>
              <w:t>万元，环保投资</w:t>
            </w:r>
            <w:r w:rsidR="00356A08">
              <w:rPr>
                <w:rFonts w:hint="eastAsia"/>
                <w:sz w:val="18"/>
                <w:szCs w:val="18"/>
              </w:rPr>
              <w:t>5.6</w:t>
            </w:r>
            <w:r>
              <w:rPr>
                <w:sz w:val="18"/>
                <w:szCs w:val="18"/>
              </w:rPr>
              <w:t>万元。</w:t>
            </w:r>
          </w:p>
        </w:tc>
        <w:tc>
          <w:tcPr>
            <w:tcW w:w="8222" w:type="dxa"/>
            <w:vAlign w:val="center"/>
          </w:tcPr>
          <w:p w:rsidR="008A05F1" w:rsidRPr="008A05F1" w:rsidRDefault="008A05F1" w:rsidP="008A05F1">
            <w:pPr>
              <w:spacing w:line="240" w:lineRule="atLeast"/>
              <w:rPr>
                <w:rFonts w:ascii="宋体" w:cs="宋体"/>
                <w:color w:val="000000"/>
                <w:kern w:val="0"/>
                <w:sz w:val="18"/>
                <w:szCs w:val="18"/>
              </w:rPr>
            </w:pPr>
            <w:r w:rsidRPr="008A05F1">
              <w:rPr>
                <w:rFonts w:ascii="宋体" w:cs="宋体" w:hint="eastAsia"/>
                <w:color w:val="000000"/>
                <w:kern w:val="0"/>
                <w:sz w:val="18"/>
                <w:szCs w:val="18"/>
              </w:rPr>
              <w:t>（1）废气：项目施工、试油过程中均使用符合国家标准的燃料，减少污染物排放，项目施工、试油期较短，且周边地域空旷，扩散条件良好；施工现场采取洒水、围挡措施，物料集中堆放采取遮盖，车辆不要装载过满并采取密闭或者遮盖等措施后可以有效的抑制扬尘，对周围环境影响较小。</w:t>
            </w:r>
          </w:p>
          <w:p w:rsidR="008A05F1" w:rsidRPr="00772F67" w:rsidRDefault="008A05F1" w:rsidP="00772F67">
            <w:pPr>
              <w:spacing w:line="240" w:lineRule="atLeast"/>
              <w:rPr>
                <w:rFonts w:ascii="宋体" w:cs="宋体"/>
                <w:color w:val="000000"/>
                <w:kern w:val="0"/>
                <w:sz w:val="18"/>
                <w:szCs w:val="18"/>
              </w:rPr>
            </w:pPr>
            <w:r w:rsidRPr="008A05F1">
              <w:rPr>
                <w:rFonts w:ascii="宋体" w:cs="宋体" w:hint="eastAsia"/>
                <w:color w:val="000000"/>
                <w:kern w:val="0"/>
                <w:sz w:val="18"/>
                <w:szCs w:val="18"/>
              </w:rPr>
              <w:t>（2）废水：钻井</w:t>
            </w:r>
            <w:r w:rsidRPr="008A05F1">
              <w:rPr>
                <w:rFonts w:ascii="宋体" w:cs="宋体"/>
                <w:color w:val="000000"/>
                <w:kern w:val="0"/>
                <w:sz w:val="18"/>
                <w:szCs w:val="18"/>
              </w:rPr>
              <w:t>废水</w:t>
            </w:r>
            <w:r w:rsidRPr="008A05F1">
              <w:rPr>
                <w:rFonts w:ascii="宋体" w:cs="宋体" w:hint="eastAsia"/>
                <w:color w:val="000000"/>
                <w:kern w:val="0"/>
                <w:sz w:val="18"/>
                <w:szCs w:val="18"/>
              </w:rPr>
              <w:t>全部</w:t>
            </w:r>
            <w:r w:rsidRPr="008A05F1">
              <w:rPr>
                <w:rFonts w:ascii="宋体" w:cs="宋体"/>
                <w:color w:val="000000"/>
                <w:kern w:val="0"/>
                <w:sz w:val="18"/>
                <w:szCs w:val="18"/>
              </w:rPr>
              <w:t>排入</w:t>
            </w:r>
            <w:r w:rsidRPr="008A05F1">
              <w:rPr>
                <w:rFonts w:ascii="宋体" w:cs="宋体" w:hint="eastAsia"/>
                <w:color w:val="000000"/>
                <w:kern w:val="0"/>
                <w:sz w:val="18"/>
                <w:szCs w:val="18"/>
              </w:rPr>
              <w:t>“泥浆不落地”泥浆</w:t>
            </w:r>
            <w:r w:rsidRPr="008A05F1">
              <w:rPr>
                <w:rFonts w:ascii="宋体" w:cs="宋体"/>
                <w:color w:val="000000"/>
                <w:kern w:val="0"/>
                <w:sz w:val="18"/>
                <w:szCs w:val="18"/>
              </w:rPr>
              <w:t>槽中</w:t>
            </w:r>
            <w:r w:rsidRPr="008A05F1">
              <w:rPr>
                <w:rFonts w:ascii="宋体" w:cs="宋体" w:hint="eastAsia"/>
                <w:color w:val="000000"/>
                <w:kern w:val="0"/>
                <w:sz w:val="18"/>
                <w:szCs w:val="18"/>
              </w:rPr>
              <w:t>进行</w:t>
            </w:r>
            <w:r w:rsidRPr="008A05F1">
              <w:rPr>
                <w:rFonts w:ascii="宋体" w:cs="宋体"/>
                <w:color w:val="000000"/>
                <w:kern w:val="0"/>
                <w:sz w:val="18"/>
                <w:szCs w:val="18"/>
              </w:rPr>
              <w:t>循环利用，</w:t>
            </w:r>
            <w:r w:rsidRPr="008A05F1">
              <w:rPr>
                <w:rFonts w:ascii="宋体" w:cs="宋体" w:hint="eastAsia"/>
                <w:color w:val="000000"/>
                <w:kern w:val="0"/>
                <w:sz w:val="18"/>
                <w:szCs w:val="18"/>
              </w:rPr>
              <w:t>完井后废水运至春风一号联合站处理达标后回注地层</w:t>
            </w:r>
            <w:r w:rsidRPr="008A05F1">
              <w:rPr>
                <w:rFonts w:ascii="宋体" w:cs="宋体"/>
                <w:color w:val="000000"/>
                <w:kern w:val="0"/>
                <w:sz w:val="18"/>
                <w:szCs w:val="18"/>
              </w:rPr>
              <w:t>；</w:t>
            </w:r>
            <w:r w:rsidRPr="008A05F1">
              <w:rPr>
                <w:rFonts w:ascii="宋体" w:cs="宋体" w:hint="eastAsia"/>
                <w:color w:val="000000"/>
                <w:kern w:val="0"/>
                <w:sz w:val="18"/>
                <w:szCs w:val="18"/>
              </w:rPr>
              <w:t>试油废水拉运至春风油田春风一号联合站进行处理，经处理达到《碎屑岩油藏注水水质指标及分析方法》（SY/T 5329-2012）中推荐水质标准要求后用于产能开发回注地层；生活污水和粪便均排入环保厕所内，定期拉运至中石化新疆新春石油开发有限责任公司管理一区生活基地合理化处置，不会对环境造成明显影响</w:t>
            </w:r>
            <w:r w:rsidR="00772F67">
              <w:rPr>
                <w:rFonts w:ascii="宋体" w:cs="宋体" w:hint="eastAsia"/>
                <w:color w:val="000000"/>
                <w:kern w:val="0"/>
                <w:sz w:val="18"/>
                <w:szCs w:val="18"/>
              </w:rPr>
              <w:t>。</w:t>
            </w:r>
          </w:p>
          <w:p w:rsidR="00772F67" w:rsidRPr="00772F67" w:rsidRDefault="008A05F1" w:rsidP="00772F67">
            <w:pPr>
              <w:spacing w:line="240" w:lineRule="atLeast"/>
              <w:rPr>
                <w:rFonts w:ascii="宋体" w:cs="宋体"/>
                <w:color w:val="000000"/>
                <w:kern w:val="0"/>
                <w:sz w:val="18"/>
                <w:szCs w:val="18"/>
              </w:rPr>
            </w:pPr>
            <w:r w:rsidRPr="008A05F1">
              <w:rPr>
                <w:rFonts w:ascii="宋体" w:cs="宋体" w:hint="eastAsia"/>
                <w:color w:val="000000"/>
                <w:kern w:val="0"/>
                <w:sz w:val="18"/>
                <w:szCs w:val="18"/>
              </w:rPr>
              <w:t>（3</w:t>
            </w:r>
            <w:r w:rsidR="00772F67">
              <w:rPr>
                <w:rFonts w:ascii="宋体" w:cs="宋体" w:hint="eastAsia"/>
                <w:color w:val="000000"/>
                <w:kern w:val="0"/>
                <w:sz w:val="18"/>
                <w:szCs w:val="18"/>
              </w:rPr>
              <w:t>）噪声：</w:t>
            </w:r>
            <w:r w:rsidR="00772F67" w:rsidRPr="00772F67">
              <w:rPr>
                <w:rFonts w:ascii="宋体" w:cs="宋体" w:hint="eastAsia"/>
                <w:color w:val="000000"/>
                <w:kern w:val="0"/>
                <w:sz w:val="18"/>
                <w:szCs w:val="18"/>
              </w:rPr>
              <w:t>合理布局钻井现场，将</w:t>
            </w:r>
            <w:r w:rsidR="00772F67" w:rsidRPr="00772F67">
              <w:rPr>
                <w:rFonts w:ascii="宋体" w:cs="宋体"/>
                <w:color w:val="000000"/>
                <w:kern w:val="0"/>
                <w:sz w:val="18"/>
                <w:szCs w:val="18"/>
              </w:rPr>
              <w:t>高噪声设备布置在远离</w:t>
            </w:r>
            <w:r w:rsidR="00772F67" w:rsidRPr="00772F67">
              <w:rPr>
                <w:rFonts w:ascii="宋体" w:cs="宋体" w:hint="eastAsia"/>
                <w:color w:val="000000"/>
                <w:kern w:val="0"/>
                <w:sz w:val="18"/>
                <w:szCs w:val="18"/>
              </w:rPr>
              <w:t>井场道路</w:t>
            </w:r>
            <w:r w:rsidR="00772F67" w:rsidRPr="00772F67">
              <w:rPr>
                <w:rFonts w:ascii="宋体" w:cs="宋体"/>
                <w:color w:val="000000"/>
                <w:kern w:val="0"/>
                <w:sz w:val="18"/>
                <w:szCs w:val="18"/>
              </w:rPr>
              <w:t>一侧，尽量</w:t>
            </w:r>
            <w:r w:rsidR="00772F67" w:rsidRPr="00772F67">
              <w:rPr>
                <w:rFonts w:ascii="宋体" w:cs="宋体" w:hint="eastAsia"/>
                <w:color w:val="000000"/>
                <w:kern w:val="0"/>
                <w:sz w:val="18"/>
                <w:szCs w:val="18"/>
              </w:rPr>
              <w:t>选用低噪声设备；制定施工计划时，尽可能避免大量高噪声设备同时施工。同时，高噪声设备施工时间尽量安排在昼间；加强施工管理和设备维护，发现设备存在的问题及时维修，保证设备正常运转；整体设备要安放稳固，并与地面保持良好接触，有条件的应使用减振机座，柴油机、发电机和各种机泵等要安装消声隔声设施，最大限度地降低噪声源的噪声；加强对运输车辆的管理及疏导，尽量压缩施工区汽车数量和行车密度，控制汽车鸣笛</w:t>
            </w:r>
            <w:r w:rsidR="00772F67">
              <w:rPr>
                <w:rFonts w:ascii="宋体" w:cs="宋体" w:hint="eastAsia"/>
                <w:color w:val="000000"/>
                <w:kern w:val="0"/>
                <w:sz w:val="18"/>
                <w:szCs w:val="18"/>
              </w:rPr>
              <w:t>。</w:t>
            </w:r>
            <w:r w:rsidR="00772F67" w:rsidRPr="008A05F1">
              <w:rPr>
                <w:rFonts w:ascii="宋体" w:cs="宋体" w:hint="eastAsia"/>
                <w:color w:val="000000"/>
                <w:kern w:val="0"/>
                <w:sz w:val="18"/>
                <w:szCs w:val="18"/>
              </w:rPr>
              <w:t>通过采取上述措施后，施工机械产生噪声对周围环境的影响较小。</w:t>
            </w:r>
          </w:p>
          <w:p w:rsidR="00772F67" w:rsidRPr="00772F67" w:rsidRDefault="008A05F1" w:rsidP="00772F67">
            <w:pPr>
              <w:spacing w:line="240" w:lineRule="atLeast"/>
              <w:rPr>
                <w:rFonts w:ascii="宋体" w:cs="宋体"/>
                <w:color w:val="000000"/>
                <w:kern w:val="0"/>
                <w:sz w:val="18"/>
                <w:szCs w:val="18"/>
              </w:rPr>
            </w:pPr>
            <w:r w:rsidRPr="008A05F1">
              <w:rPr>
                <w:rFonts w:ascii="宋体" w:cs="宋体" w:hint="eastAsia"/>
                <w:color w:val="000000"/>
                <w:kern w:val="0"/>
                <w:sz w:val="18"/>
                <w:szCs w:val="18"/>
              </w:rPr>
              <w:t>（4）固废：</w:t>
            </w:r>
            <w:r w:rsidR="00772F67" w:rsidRPr="00772F67">
              <w:rPr>
                <w:rFonts w:ascii="宋体" w:cs="宋体" w:hint="eastAsia"/>
                <w:color w:val="000000"/>
                <w:kern w:val="0"/>
                <w:sz w:val="18"/>
                <w:szCs w:val="18"/>
              </w:rPr>
              <w:t>钻井固废全部排至“泥浆不落地”设备进行处理；处理后的钻井固废按照《油气田钻井固体废物综合利用污染控制要求》（DB65/T 3997-2017）的规范标准要求，可用于修路、铺垫井场；生活垃圾集中在生活垃圾收集箱内，定期拉运至128团生活垃圾暂存点，交由当地环卫部门统一处理</w:t>
            </w:r>
            <w:r w:rsidR="00772F67">
              <w:rPr>
                <w:rFonts w:ascii="宋体" w:cs="宋体" w:hint="eastAsia"/>
                <w:color w:val="000000"/>
                <w:kern w:val="0"/>
                <w:sz w:val="18"/>
                <w:szCs w:val="18"/>
              </w:rPr>
              <w:t>。</w:t>
            </w:r>
          </w:p>
          <w:p w:rsidR="00A028D2" w:rsidRPr="008A05F1" w:rsidRDefault="008A05F1" w:rsidP="008A05F1">
            <w:pPr>
              <w:spacing w:line="240" w:lineRule="atLeast"/>
              <w:rPr>
                <w:rFonts w:ascii="宋体" w:cs="宋体"/>
                <w:color w:val="000000"/>
                <w:kern w:val="0"/>
                <w:sz w:val="18"/>
                <w:szCs w:val="18"/>
              </w:rPr>
            </w:pPr>
            <w:r>
              <w:rPr>
                <w:rFonts w:ascii="宋体" w:cs="宋体" w:hint="eastAsia"/>
                <w:color w:val="000000"/>
                <w:kern w:val="0"/>
                <w:sz w:val="18"/>
                <w:szCs w:val="18"/>
              </w:rPr>
              <w:t>（5）</w:t>
            </w:r>
            <w:r w:rsidR="00772F67">
              <w:rPr>
                <w:rFonts w:ascii="宋体" w:cs="宋体" w:hint="eastAsia"/>
                <w:color w:val="000000"/>
                <w:kern w:val="0"/>
                <w:sz w:val="18"/>
                <w:szCs w:val="18"/>
              </w:rPr>
              <w:t>生态：</w:t>
            </w:r>
            <w:r w:rsidRPr="008A05F1">
              <w:rPr>
                <w:rFonts w:ascii="宋体" w:cs="宋体" w:hint="eastAsia"/>
                <w:color w:val="000000"/>
                <w:kern w:val="0"/>
                <w:sz w:val="18"/>
                <w:szCs w:val="18"/>
              </w:rPr>
              <w:t>在施工设计方面，合理规划、尽量减少修建进井路的施工作业带宽度，合理布局、尽量减少井场临时占地面积；在日常运行、施工过程等过程中会产生较大的扬尘，在开挖旁边空地设置表土临时堆放区域，区域施工现场尽量适时洒水，减少扬尘，施工使用的粉状材料，运输、堆放时应有遮盖，防止扬尘落地影响附近植被的生长；在员工的教育培训方面，加强管理，定期给施工人员进行施工作业培训，严格按照规范操作执行，尽量避让植被覆盖率较高的区域。加强教育，强化员工在工作中的责任</w:t>
            </w:r>
            <w:r w:rsidRPr="008A05F1">
              <w:rPr>
                <w:rFonts w:ascii="宋体" w:cs="宋体" w:hint="eastAsia"/>
                <w:color w:val="000000"/>
                <w:kern w:val="0"/>
                <w:sz w:val="18"/>
                <w:szCs w:val="18"/>
              </w:rPr>
              <w:lastRenderedPageBreak/>
              <w:t>心，巡检过程要认真仔细，实时监控；尽量减少因施工对植被的破坏，施工中大量设备的调运及人员的流动，会增加作业区内的拥挤度，项目区及外围设置明显的作业区域标识，新建道路需设</w:t>
            </w:r>
            <w:r>
              <w:rPr>
                <w:rFonts w:ascii="宋体" w:cs="宋体" w:hint="eastAsia"/>
                <w:color w:val="000000"/>
                <w:kern w:val="0"/>
                <w:sz w:val="18"/>
                <w:szCs w:val="18"/>
              </w:rPr>
              <w:t>置必要的标识和警示标牌，加强管理，把施工作业严格控制在作业区内</w:t>
            </w:r>
            <w:bookmarkStart w:id="0" w:name="_GoBack"/>
            <w:r>
              <w:rPr>
                <w:rFonts w:ascii="宋体" w:cs="宋体" w:hint="eastAsia"/>
                <w:color w:val="000000"/>
                <w:kern w:val="0"/>
                <w:sz w:val="18"/>
                <w:szCs w:val="18"/>
              </w:rPr>
              <w:t>；</w:t>
            </w:r>
            <w:r w:rsidRPr="008A05F1">
              <w:rPr>
                <w:rFonts w:ascii="宋体" w:cs="宋体" w:hint="eastAsia"/>
                <w:color w:val="000000"/>
                <w:kern w:val="0"/>
                <w:sz w:val="18"/>
                <w:szCs w:val="18"/>
              </w:rPr>
              <w:t>严格界定施工活动范围，尽可能缩小施工作业带宽度，减少对地表的碾压；钻井过程中严格执行钻井生产环境保护管理规定，钻井废水、废弃泥浆采用“泥浆不落地”设备进行处理；严格做好放喷池的防渗处理，并设置规范化的环保标识，防止污染土壤及地下水；项目建设完成后，对施工场地的废渣及一切废弃物资、设备应及时清理，对工地、料场、取土等地方，使用后应立即恢复原状，并及时进行人工干预恢复植被，以维持原有生态环境。工程建设完成后要求对施工料场、便道等临时用地进行清理、平整。严格执行《土地复垦条例》（2011年3月5日），凡受到施工车辆、机械破坏的地方都给予及时的修整，恢复原貌，被破坏的植被在施工结束后尽快恢复，完井后井场须平整，做到无油污，无地坑，无三废，确保周围环境无污染</w:t>
            </w:r>
            <w:r w:rsidR="00A028D2" w:rsidRPr="00A028D2">
              <w:rPr>
                <w:rFonts w:ascii="宋体" w:cs="宋体" w:hint="eastAsia"/>
                <w:color w:val="000000"/>
                <w:kern w:val="0"/>
                <w:sz w:val="18"/>
                <w:szCs w:val="18"/>
              </w:rPr>
              <w:t>。</w:t>
            </w:r>
            <w:bookmarkEnd w:id="0"/>
          </w:p>
        </w:tc>
      </w:tr>
    </w:tbl>
    <w:p w:rsidR="00EF2430" w:rsidRDefault="00EF2430">
      <w:pPr>
        <w:rPr>
          <w:rFonts w:eastAsia="黑体"/>
          <w:sz w:val="18"/>
          <w:szCs w:val="18"/>
        </w:rPr>
      </w:pPr>
    </w:p>
    <w:p w:rsidR="00AF3377" w:rsidRDefault="00AF3377">
      <w:pPr>
        <w:rPr>
          <w:rFonts w:eastAsia="黑体"/>
          <w:sz w:val="18"/>
          <w:szCs w:val="18"/>
        </w:rPr>
      </w:pPr>
    </w:p>
    <w:sectPr w:rsidR="00AF3377">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A1" w:rsidRDefault="00FC10A1" w:rsidP="00FA3898">
      <w:r>
        <w:separator/>
      </w:r>
    </w:p>
  </w:endnote>
  <w:endnote w:type="continuationSeparator" w:id="0">
    <w:p w:rsidR="00FC10A1" w:rsidRDefault="00FC10A1" w:rsidP="00FA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A1" w:rsidRDefault="00FC10A1" w:rsidP="00FA3898">
      <w:r>
        <w:separator/>
      </w:r>
    </w:p>
  </w:footnote>
  <w:footnote w:type="continuationSeparator" w:id="0">
    <w:p w:rsidR="00FC10A1" w:rsidRDefault="00FC10A1" w:rsidP="00FA3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93"/>
    <w:rsid w:val="00002C6F"/>
    <w:rsid w:val="00005654"/>
    <w:rsid w:val="00007CCD"/>
    <w:rsid w:val="00011531"/>
    <w:rsid w:val="00011D47"/>
    <w:rsid w:val="000123DB"/>
    <w:rsid w:val="00012C53"/>
    <w:rsid w:val="00012FEA"/>
    <w:rsid w:val="00027ABB"/>
    <w:rsid w:val="0003759C"/>
    <w:rsid w:val="000408DB"/>
    <w:rsid w:val="00056EE1"/>
    <w:rsid w:val="0006005C"/>
    <w:rsid w:val="00066C05"/>
    <w:rsid w:val="00072AC9"/>
    <w:rsid w:val="0007599B"/>
    <w:rsid w:val="000775B8"/>
    <w:rsid w:val="0008475B"/>
    <w:rsid w:val="00086BD9"/>
    <w:rsid w:val="00094377"/>
    <w:rsid w:val="00096CA1"/>
    <w:rsid w:val="000A0F78"/>
    <w:rsid w:val="000A3593"/>
    <w:rsid w:val="000B07E3"/>
    <w:rsid w:val="000B2D33"/>
    <w:rsid w:val="000B3D3E"/>
    <w:rsid w:val="000C0E12"/>
    <w:rsid w:val="000D3213"/>
    <w:rsid w:val="000D38D2"/>
    <w:rsid w:val="000E3EF0"/>
    <w:rsid w:val="000E40D9"/>
    <w:rsid w:val="000E59D0"/>
    <w:rsid w:val="000E5EB3"/>
    <w:rsid w:val="000E7546"/>
    <w:rsid w:val="000F41D4"/>
    <w:rsid w:val="000F4D55"/>
    <w:rsid w:val="000F781B"/>
    <w:rsid w:val="001013B5"/>
    <w:rsid w:val="00101ED5"/>
    <w:rsid w:val="00102CD8"/>
    <w:rsid w:val="001115FA"/>
    <w:rsid w:val="001153A0"/>
    <w:rsid w:val="00115705"/>
    <w:rsid w:val="00115BC1"/>
    <w:rsid w:val="00130930"/>
    <w:rsid w:val="00132124"/>
    <w:rsid w:val="001352C7"/>
    <w:rsid w:val="00142AA3"/>
    <w:rsid w:val="001518AA"/>
    <w:rsid w:val="001651A5"/>
    <w:rsid w:val="001658E2"/>
    <w:rsid w:val="0017475F"/>
    <w:rsid w:val="00175A2E"/>
    <w:rsid w:val="00177F70"/>
    <w:rsid w:val="0018483C"/>
    <w:rsid w:val="001861B8"/>
    <w:rsid w:val="001864ED"/>
    <w:rsid w:val="00187EE7"/>
    <w:rsid w:val="0019709C"/>
    <w:rsid w:val="001972F2"/>
    <w:rsid w:val="001A64E0"/>
    <w:rsid w:val="001B27F1"/>
    <w:rsid w:val="001B4079"/>
    <w:rsid w:val="001B4EFE"/>
    <w:rsid w:val="001B5F51"/>
    <w:rsid w:val="001C2112"/>
    <w:rsid w:val="001C453F"/>
    <w:rsid w:val="001C4969"/>
    <w:rsid w:val="001D028E"/>
    <w:rsid w:val="001D1BA3"/>
    <w:rsid w:val="001E06B5"/>
    <w:rsid w:val="001F05DC"/>
    <w:rsid w:val="001F0DD4"/>
    <w:rsid w:val="001F165B"/>
    <w:rsid w:val="001F40B6"/>
    <w:rsid w:val="00202F40"/>
    <w:rsid w:val="002063D9"/>
    <w:rsid w:val="002141FE"/>
    <w:rsid w:val="0021775D"/>
    <w:rsid w:val="002200BA"/>
    <w:rsid w:val="00227874"/>
    <w:rsid w:val="00244A05"/>
    <w:rsid w:val="002509C8"/>
    <w:rsid w:val="00250BC1"/>
    <w:rsid w:val="00253101"/>
    <w:rsid w:val="00256038"/>
    <w:rsid w:val="00263AB3"/>
    <w:rsid w:val="00274082"/>
    <w:rsid w:val="0028579F"/>
    <w:rsid w:val="00286486"/>
    <w:rsid w:val="00290F1C"/>
    <w:rsid w:val="002A0D98"/>
    <w:rsid w:val="002A3FE6"/>
    <w:rsid w:val="002B4265"/>
    <w:rsid w:val="002C0651"/>
    <w:rsid w:val="002C2F08"/>
    <w:rsid w:val="002E07E4"/>
    <w:rsid w:val="002E361F"/>
    <w:rsid w:val="002F033E"/>
    <w:rsid w:val="002F1EB3"/>
    <w:rsid w:val="002F36E0"/>
    <w:rsid w:val="002F5A70"/>
    <w:rsid w:val="00300FF9"/>
    <w:rsid w:val="00303C0B"/>
    <w:rsid w:val="00304788"/>
    <w:rsid w:val="003049ED"/>
    <w:rsid w:val="003104BB"/>
    <w:rsid w:val="00316D99"/>
    <w:rsid w:val="003230F0"/>
    <w:rsid w:val="003319DC"/>
    <w:rsid w:val="00331B22"/>
    <w:rsid w:val="00332AD9"/>
    <w:rsid w:val="00356A08"/>
    <w:rsid w:val="003615BE"/>
    <w:rsid w:val="00362B06"/>
    <w:rsid w:val="00365AD9"/>
    <w:rsid w:val="003709FB"/>
    <w:rsid w:val="0037408F"/>
    <w:rsid w:val="00381CC6"/>
    <w:rsid w:val="00382B7E"/>
    <w:rsid w:val="00393048"/>
    <w:rsid w:val="003A0D6D"/>
    <w:rsid w:val="003A1E10"/>
    <w:rsid w:val="003A4D99"/>
    <w:rsid w:val="003A50EB"/>
    <w:rsid w:val="003B161C"/>
    <w:rsid w:val="003C1B11"/>
    <w:rsid w:val="003C6249"/>
    <w:rsid w:val="003D0EA7"/>
    <w:rsid w:val="003D33E3"/>
    <w:rsid w:val="003D6AFC"/>
    <w:rsid w:val="003D6E95"/>
    <w:rsid w:val="003D7254"/>
    <w:rsid w:val="003E51F3"/>
    <w:rsid w:val="003F401B"/>
    <w:rsid w:val="003F5017"/>
    <w:rsid w:val="003F6386"/>
    <w:rsid w:val="004113B1"/>
    <w:rsid w:val="00417BC1"/>
    <w:rsid w:val="00430000"/>
    <w:rsid w:val="004351F3"/>
    <w:rsid w:val="0045020B"/>
    <w:rsid w:val="00450B46"/>
    <w:rsid w:val="00454647"/>
    <w:rsid w:val="00455D29"/>
    <w:rsid w:val="00457F43"/>
    <w:rsid w:val="004647EE"/>
    <w:rsid w:val="004671D0"/>
    <w:rsid w:val="004674ED"/>
    <w:rsid w:val="00473D40"/>
    <w:rsid w:val="00473FE6"/>
    <w:rsid w:val="00475458"/>
    <w:rsid w:val="00475CF9"/>
    <w:rsid w:val="00475EBC"/>
    <w:rsid w:val="004770D3"/>
    <w:rsid w:val="0048517B"/>
    <w:rsid w:val="004865AC"/>
    <w:rsid w:val="0049301D"/>
    <w:rsid w:val="004B0BCC"/>
    <w:rsid w:val="004B2BD8"/>
    <w:rsid w:val="004C391F"/>
    <w:rsid w:val="004C682C"/>
    <w:rsid w:val="004D3CCD"/>
    <w:rsid w:val="004D4353"/>
    <w:rsid w:val="004E4702"/>
    <w:rsid w:val="004E7E6F"/>
    <w:rsid w:val="004F0B2C"/>
    <w:rsid w:val="004F0DB5"/>
    <w:rsid w:val="00504A95"/>
    <w:rsid w:val="00515515"/>
    <w:rsid w:val="005175BF"/>
    <w:rsid w:val="005256C7"/>
    <w:rsid w:val="0053166C"/>
    <w:rsid w:val="00532FE2"/>
    <w:rsid w:val="00533DD3"/>
    <w:rsid w:val="005443E6"/>
    <w:rsid w:val="0055146F"/>
    <w:rsid w:val="00552091"/>
    <w:rsid w:val="00572E9C"/>
    <w:rsid w:val="00573330"/>
    <w:rsid w:val="00573D3A"/>
    <w:rsid w:val="005847B0"/>
    <w:rsid w:val="0059184B"/>
    <w:rsid w:val="005A1324"/>
    <w:rsid w:val="005A7EB3"/>
    <w:rsid w:val="005B5793"/>
    <w:rsid w:val="005B5939"/>
    <w:rsid w:val="005C27CE"/>
    <w:rsid w:val="005C4335"/>
    <w:rsid w:val="005C5C0D"/>
    <w:rsid w:val="005D0B25"/>
    <w:rsid w:val="005D16A3"/>
    <w:rsid w:val="005D37D3"/>
    <w:rsid w:val="005D4ABE"/>
    <w:rsid w:val="005D67EE"/>
    <w:rsid w:val="005D79C4"/>
    <w:rsid w:val="005E12A2"/>
    <w:rsid w:val="005E4F2E"/>
    <w:rsid w:val="005E7C9A"/>
    <w:rsid w:val="005F1B96"/>
    <w:rsid w:val="00600366"/>
    <w:rsid w:val="00605EB1"/>
    <w:rsid w:val="00614C41"/>
    <w:rsid w:val="006203BA"/>
    <w:rsid w:val="0063059A"/>
    <w:rsid w:val="00640F02"/>
    <w:rsid w:val="006439A2"/>
    <w:rsid w:val="00646079"/>
    <w:rsid w:val="00654D24"/>
    <w:rsid w:val="0065621A"/>
    <w:rsid w:val="00660234"/>
    <w:rsid w:val="00661D9C"/>
    <w:rsid w:val="00662750"/>
    <w:rsid w:val="006630D7"/>
    <w:rsid w:val="0066558F"/>
    <w:rsid w:val="006662EB"/>
    <w:rsid w:val="00674F80"/>
    <w:rsid w:val="00674FA8"/>
    <w:rsid w:val="00675187"/>
    <w:rsid w:val="0069278E"/>
    <w:rsid w:val="006A231E"/>
    <w:rsid w:val="006A429F"/>
    <w:rsid w:val="006B0568"/>
    <w:rsid w:val="006B1DC2"/>
    <w:rsid w:val="006B2A2B"/>
    <w:rsid w:val="006B630A"/>
    <w:rsid w:val="006C6AE1"/>
    <w:rsid w:val="006E2C4E"/>
    <w:rsid w:val="006E490D"/>
    <w:rsid w:val="006F5D47"/>
    <w:rsid w:val="00705699"/>
    <w:rsid w:val="0071521D"/>
    <w:rsid w:val="00715B87"/>
    <w:rsid w:val="00720768"/>
    <w:rsid w:val="007268BB"/>
    <w:rsid w:val="00730573"/>
    <w:rsid w:val="0073435C"/>
    <w:rsid w:val="00735441"/>
    <w:rsid w:val="00737C15"/>
    <w:rsid w:val="00747578"/>
    <w:rsid w:val="00751B77"/>
    <w:rsid w:val="00753EA5"/>
    <w:rsid w:val="00754933"/>
    <w:rsid w:val="00755B93"/>
    <w:rsid w:val="00761A97"/>
    <w:rsid w:val="00766F49"/>
    <w:rsid w:val="00772386"/>
    <w:rsid w:val="00772F67"/>
    <w:rsid w:val="00774BF5"/>
    <w:rsid w:val="007766DF"/>
    <w:rsid w:val="007833AB"/>
    <w:rsid w:val="0078617C"/>
    <w:rsid w:val="00787255"/>
    <w:rsid w:val="00794C7A"/>
    <w:rsid w:val="007A62BB"/>
    <w:rsid w:val="007A6706"/>
    <w:rsid w:val="007A717C"/>
    <w:rsid w:val="007B2604"/>
    <w:rsid w:val="007B442F"/>
    <w:rsid w:val="007B6C24"/>
    <w:rsid w:val="007C0CC4"/>
    <w:rsid w:val="007D2539"/>
    <w:rsid w:val="007D2914"/>
    <w:rsid w:val="007D5D2F"/>
    <w:rsid w:val="007D6C3B"/>
    <w:rsid w:val="007E293F"/>
    <w:rsid w:val="007E6964"/>
    <w:rsid w:val="007F015A"/>
    <w:rsid w:val="007F04AA"/>
    <w:rsid w:val="007F09B7"/>
    <w:rsid w:val="007F166A"/>
    <w:rsid w:val="007F5929"/>
    <w:rsid w:val="0080048C"/>
    <w:rsid w:val="0080185B"/>
    <w:rsid w:val="00803E32"/>
    <w:rsid w:val="008053A4"/>
    <w:rsid w:val="008217F7"/>
    <w:rsid w:val="008240BF"/>
    <w:rsid w:val="008276AD"/>
    <w:rsid w:val="00827880"/>
    <w:rsid w:val="00832A03"/>
    <w:rsid w:val="0083474F"/>
    <w:rsid w:val="00842E83"/>
    <w:rsid w:val="00850623"/>
    <w:rsid w:val="0085327D"/>
    <w:rsid w:val="0085751A"/>
    <w:rsid w:val="0086724F"/>
    <w:rsid w:val="0087723D"/>
    <w:rsid w:val="00883ED6"/>
    <w:rsid w:val="0088441E"/>
    <w:rsid w:val="00892A3B"/>
    <w:rsid w:val="008A05F1"/>
    <w:rsid w:val="008A157E"/>
    <w:rsid w:val="008A36FC"/>
    <w:rsid w:val="008A3B93"/>
    <w:rsid w:val="008A58C4"/>
    <w:rsid w:val="008B0CF1"/>
    <w:rsid w:val="008B4D1D"/>
    <w:rsid w:val="008B4E83"/>
    <w:rsid w:val="008B7740"/>
    <w:rsid w:val="008C2B56"/>
    <w:rsid w:val="008C5862"/>
    <w:rsid w:val="008C7A06"/>
    <w:rsid w:val="008E0FB1"/>
    <w:rsid w:val="008F2AED"/>
    <w:rsid w:val="00900909"/>
    <w:rsid w:val="009040B4"/>
    <w:rsid w:val="0091490A"/>
    <w:rsid w:val="00916139"/>
    <w:rsid w:val="009173FE"/>
    <w:rsid w:val="00921B91"/>
    <w:rsid w:val="00922178"/>
    <w:rsid w:val="009259CF"/>
    <w:rsid w:val="00926BBD"/>
    <w:rsid w:val="0093421C"/>
    <w:rsid w:val="00956845"/>
    <w:rsid w:val="009640C5"/>
    <w:rsid w:val="00975B65"/>
    <w:rsid w:val="00975CAD"/>
    <w:rsid w:val="00976D55"/>
    <w:rsid w:val="0097732E"/>
    <w:rsid w:val="0097797A"/>
    <w:rsid w:val="00986B2D"/>
    <w:rsid w:val="009900FE"/>
    <w:rsid w:val="009903C8"/>
    <w:rsid w:val="00991349"/>
    <w:rsid w:val="009A593A"/>
    <w:rsid w:val="009B6676"/>
    <w:rsid w:val="009C0175"/>
    <w:rsid w:val="009C1761"/>
    <w:rsid w:val="009C3CF5"/>
    <w:rsid w:val="009C59EA"/>
    <w:rsid w:val="009D236F"/>
    <w:rsid w:val="009D3417"/>
    <w:rsid w:val="009D37E9"/>
    <w:rsid w:val="009D7067"/>
    <w:rsid w:val="009E087C"/>
    <w:rsid w:val="009E0C66"/>
    <w:rsid w:val="009E41CB"/>
    <w:rsid w:val="009E72BD"/>
    <w:rsid w:val="009E7984"/>
    <w:rsid w:val="009E79C6"/>
    <w:rsid w:val="009F5F61"/>
    <w:rsid w:val="00A028D2"/>
    <w:rsid w:val="00A02C77"/>
    <w:rsid w:val="00A16204"/>
    <w:rsid w:val="00A17CE6"/>
    <w:rsid w:val="00A21960"/>
    <w:rsid w:val="00A231AF"/>
    <w:rsid w:val="00A23B65"/>
    <w:rsid w:val="00A24FC0"/>
    <w:rsid w:val="00A26943"/>
    <w:rsid w:val="00A2744C"/>
    <w:rsid w:val="00A36C4F"/>
    <w:rsid w:val="00A37F50"/>
    <w:rsid w:val="00A40109"/>
    <w:rsid w:val="00A41711"/>
    <w:rsid w:val="00A51E43"/>
    <w:rsid w:val="00A53C5A"/>
    <w:rsid w:val="00A61964"/>
    <w:rsid w:val="00A6462D"/>
    <w:rsid w:val="00A65187"/>
    <w:rsid w:val="00A72343"/>
    <w:rsid w:val="00A72C1E"/>
    <w:rsid w:val="00A8735E"/>
    <w:rsid w:val="00A91AD1"/>
    <w:rsid w:val="00A924C4"/>
    <w:rsid w:val="00A95777"/>
    <w:rsid w:val="00AA04E9"/>
    <w:rsid w:val="00AA0734"/>
    <w:rsid w:val="00AA074E"/>
    <w:rsid w:val="00AA1330"/>
    <w:rsid w:val="00AA3089"/>
    <w:rsid w:val="00AC045A"/>
    <w:rsid w:val="00AC35E9"/>
    <w:rsid w:val="00AD1393"/>
    <w:rsid w:val="00AE6057"/>
    <w:rsid w:val="00AF00FE"/>
    <w:rsid w:val="00AF3377"/>
    <w:rsid w:val="00AF7809"/>
    <w:rsid w:val="00B03BA1"/>
    <w:rsid w:val="00B04852"/>
    <w:rsid w:val="00B15F22"/>
    <w:rsid w:val="00B17964"/>
    <w:rsid w:val="00B206F9"/>
    <w:rsid w:val="00B207EC"/>
    <w:rsid w:val="00B20FD2"/>
    <w:rsid w:val="00B24609"/>
    <w:rsid w:val="00B31298"/>
    <w:rsid w:val="00B33503"/>
    <w:rsid w:val="00B35751"/>
    <w:rsid w:val="00B42AAF"/>
    <w:rsid w:val="00B505A6"/>
    <w:rsid w:val="00B5456B"/>
    <w:rsid w:val="00B545E2"/>
    <w:rsid w:val="00B57499"/>
    <w:rsid w:val="00B62080"/>
    <w:rsid w:val="00B63771"/>
    <w:rsid w:val="00B82132"/>
    <w:rsid w:val="00B92DFC"/>
    <w:rsid w:val="00B96A92"/>
    <w:rsid w:val="00BA2DEF"/>
    <w:rsid w:val="00BA4B11"/>
    <w:rsid w:val="00BA6B2C"/>
    <w:rsid w:val="00BB46D4"/>
    <w:rsid w:val="00BB7CFD"/>
    <w:rsid w:val="00BC537D"/>
    <w:rsid w:val="00BC6909"/>
    <w:rsid w:val="00BD4854"/>
    <w:rsid w:val="00BE2DC6"/>
    <w:rsid w:val="00BE50E9"/>
    <w:rsid w:val="00BE7CCD"/>
    <w:rsid w:val="00BF07F2"/>
    <w:rsid w:val="00BF54F5"/>
    <w:rsid w:val="00C01D9A"/>
    <w:rsid w:val="00C04207"/>
    <w:rsid w:val="00C23E40"/>
    <w:rsid w:val="00C25A95"/>
    <w:rsid w:val="00C26D23"/>
    <w:rsid w:val="00C2735A"/>
    <w:rsid w:val="00C27EB0"/>
    <w:rsid w:val="00C33FB6"/>
    <w:rsid w:val="00C34ED1"/>
    <w:rsid w:val="00C35539"/>
    <w:rsid w:val="00C42A7D"/>
    <w:rsid w:val="00C44A19"/>
    <w:rsid w:val="00C45743"/>
    <w:rsid w:val="00C4768D"/>
    <w:rsid w:val="00C47BFC"/>
    <w:rsid w:val="00C52157"/>
    <w:rsid w:val="00C5604E"/>
    <w:rsid w:val="00C62E20"/>
    <w:rsid w:val="00C758DB"/>
    <w:rsid w:val="00C80CA3"/>
    <w:rsid w:val="00C82937"/>
    <w:rsid w:val="00C844B6"/>
    <w:rsid w:val="00C91B3A"/>
    <w:rsid w:val="00C92900"/>
    <w:rsid w:val="00CA5198"/>
    <w:rsid w:val="00CB4EFB"/>
    <w:rsid w:val="00CB5EDD"/>
    <w:rsid w:val="00CB65D5"/>
    <w:rsid w:val="00CD35FE"/>
    <w:rsid w:val="00CD5526"/>
    <w:rsid w:val="00CD681E"/>
    <w:rsid w:val="00CD6FD4"/>
    <w:rsid w:val="00CE755E"/>
    <w:rsid w:val="00CF11E6"/>
    <w:rsid w:val="00CF3829"/>
    <w:rsid w:val="00D100A8"/>
    <w:rsid w:val="00D2041A"/>
    <w:rsid w:val="00D215D6"/>
    <w:rsid w:val="00D31406"/>
    <w:rsid w:val="00D3536C"/>
    <w:rsid w:val="00D44E1F"/>
    <w:rsid w:val="00D475AD"/>
    <w:rsid w:val="00D523DA"/>
    <w:rsid w:val="00D534F6"/>
    <w:rsid w:val="00D54963"/>
    <w:rsid w:val="00D54C20"/>
    <w:rsid w:val="00D56266"/>
    <w:rsid w:val="00D61CDE"/>
    <w:rsid w:val="00D6735C"/>
    <w:rsid w:val="00D82071"/>
    <w:rsid w:val="00D82B4B"/>
    <w:rsid w:val="00D91122"/>
    <w:rsid w:val="00DA5C52"/>
    <w:rsid w:val="00DA6719"/>
    <w:rsid w:val="00DA70CD"/>
    <w:rsid w:val="00DB0762"/>
    <w:rsid w:val="00DB4F29"/>
    <w:rsid w:val="00DC1913"/>
    <w:rsid w:val="00DC7B4A"/>
    <w:rsid w:val="00DD4BD8"/>
    <w:rsid w:val="00DE0622"/>
    <w:rsid w:val="00DE3826"/>
    <w:rsid w:val="00DE410E"/>
    <w:rsid w:val="00DE45EE"/>
    <w:rsid w:val="00DE65E8"/>
    <w:rsid w:val="00DE7ACE"/>
    <w:rsid w:val="00DF23C8"/>
    <w:rsid w:val="00DF60DD"/>
    <w:rsid w:val="00DF6A0F"/>
    <w:rsid w:val="00E004C1"/>
    <w:rsid w:val="00E01F3F"/>
    <w:rsid w:val="00E10295"/>
    <w:rsid w:val="00E161E2"/>
    <w:rsid w:val="00E168C5"/>
    <w:rsid w:val="00E2016E"/>
    <w:rsid w:val="00E2754E"/>
    <w:rsid w:val="00E3670D"/>
    <w:rsid w:val="00E46E41"/>
    <w:rsid w:val="00E56AFF"/>
    <w:rsid w:val="00E72242"/>
    <w:rsid w:val="00E80847"/>
    <w:rsid w:val="00E80B85"/>
    <w:rsid w:val="00E848F6"/>
    <w:rsid w:val="00E91431"/>
    <w:rsid w:val="00E91D08"/>
    <w:rsid w:val="00EA04EA"/>
    <w:rsid w:val="00EA501E"/>
    <w:rsid w:val="00EA578E"/>
    <w:rsid w:val="00EB5255"/>
    <w:rsid w:val="00EC46B7"/>
    <w:rsid w:val="00EC48CE"/>
    <w:rsid w:val="00EC5265"/>
    <w:rsid w:val="00EC7115"/>
    <w:rsid w:val="00EC7A71"/>
    <w:rsid w:val="00ED0849"/>
    <w:rsid w:val="00ED7EA6"/>
    <w:rsid w:val="00EF2430"/>
    <w:rsid w:val="00F037B4"/>
    <w:rsid w:val="00F06376"/>
    <w:rsid w:val="00F06D92"/>
    <w:rsid w:val="00F06F4B"/>
    <w:rsid w:val="00F12013"/>
    <w:rsid w:val="00F12A66"/>
    <w:rsid w:val="00F140C2"/>
    <w:rsid w:val="00F20617"/>
    <w:rsid w:val="00F21DFC"/>
    <w:rsid w:val="00F3248E"/>
    <w:rsid w:val="00F32954"/>
    <w:rsid w:val="00F354DA"/>
    <w:rsid w:val="00F37844"/>
    <w:rsid w:val="00F45E8F"/>
    <w:rsid w:val="00F46F09"/>
    <w:rsid w:val="00F47E61"/>
    <w:rsid w:val="00F47F4C"/>
    <w:rsid w:val="00F5680D"/>
    <w:rsid w:val="00F60680"/>
    <w:rsid w:val="00F64A5B"/>
    <w:rsid w:val="00F70183"/>
    <w:rsid w:val="00F71AB7"/>
    <w:rsid w:val="00F74DF4"/>
    <w:rsid w:val="00F8241D"/>
    <w:rsid w:val="00F830FA"/>
    <w:rsid w:val="00F87552"/>
    <w:rsid w:val="00F9677E"/>
    <w:rsid w:val="00FA0182"/>
    <w:rsid w:val="00FA0F7E"/>
    <w:rsid w:val="00FA3898"/>
    <w:rsid w:val="00FA3938"/>
    <w:rsid w:val="00FA49F3"/>
    <w:rsid w:val="00FC10A1"/>
    <w:rsid w:val="00FC4205"/>
    <w:rsid w:val="00FC5829"/>
    <w:rsid w:val="00FC7B77"/>
    <w:rsid w:val="00FD0D82"/>
    <w:rsid w:val="00FE4C66"/>
    <w:rsid w:val="00FF2B04"/>
    <w:rsid w:val="00FF7C2D"/>
    <w:rsid w:val="09012BD3"/>
    <w:rsid w:val="0B1B56CF"/>
    <w:rsid w:val="1EA90DB5"/>
    <w:rsid w:val="32C338D5"/>
    <w:rsid w:val="3A5B3251"/>
    <w:rsid w:val="543E7BF7"/>
    <w:rsid w:val="59A11951"/>
    <w:rsid w:val="6FF7503E"/>
    <w:rsid w:val="7D31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25C7"/>
  <w15:chartTrackingRefBased/>
  <w15:docId w15:val="{B61C2C89-5FFA-44A3-9E56-1CA28041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qFormat/>
    <w:pPr>
      <w:keepNext/>
      <w:keepLines/>
      <w:spacing w:before="340" w:after="330" w:line="578" w:lineRule="auto"/>
      <w:jc w:val="center"/>
      <w:outlineLvl w:val="0"/>
    </w:pPr>
    <w:rPr>
      <w:rFonts w:eastAsia="方正小标宋简体"/>
      <w:bCs/>
      <w:kern w:val="44"/>
      <w:sz w:val="32"/>
      <w:szCs w:val="44"/>
    </w:rPr>
  </w:style>
  <w:style w:type="paragraph" w:styleId="2">
    <w:name w:val="heading 2"/>
    <w:basedOn w:val="a"/>
    <w:next w:val="a"/>
    <w:link w:val="20"/>
    <w:unhideWhenUsed/>
    <w:qFormat/>
    <w:rsid w:val="00A028D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页眉 字符"/>
    <w:link w:val="a5"/>
    <w:rPr>
      <w:rFonts w:eastAsia="宋体"/>
      <w:kern w:val="2"/>
      <w:sz w:val="18"/>
      <w:szCs w:val="18"/>
      <w:lang w:val="en-US" w:eastAsia="zh-CN" w:bidi="ar-SA"/>
    </w:rPr>
  </w:style>
  <w:style w:type="character" w:customStyle="1" w:styleId="a6">
    <w:name w:val="页脚 字符"/>
    <w:link w:val="a7"/>
    <w:rPr>
      <w:kern w:val="2"/>
      <w:sz w:val="18"/>
      <w:szCs w:val="18"/>
    </w:rPr>
  </w:style>
  <w:style w:type="character" w:customStyle="1" w:styleId="Char">
    <w:name w:val="正文(首行缩进) Char"/>
    <w:link w:val="a8"/>
    <w:uiPriority w:val="99"/>
    <w:qFormat/>
    <w:rPr>
      <w:snapToGrid w:val="0"/>
      <w:color w:val="000000"/>
      <w:sz w:val="24"/>
      <w:szCs w:val="24"/>
    </w:rPr>
  </w:style>
  <w:style w:type="character" w:customStyle="1" w:styleId="Char0">
    <w:name w:val="报告书正文 Char"/>
    <w:basedOn w:val="a0"/>
    <w:link w:val="a9"/>
    <w:qFormat/>
    <w:rPr>
      <w:rFonts w:cs="宋体"/>
      <w:color w:val="000000"/>
      <w:sz w:val="24"/>
      <w:szCs w:val="21"/>
      <w:lang w:bidi="en-US"/>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7">
    <w:name w:val="footer"/>
    <w:basedOn w:val="a"/>
    <w:link w:val="a6"/>
    <w:pPr>
      <w:tabs>
        <w:tab w:val="center" w:pos="4153"/>
        <w:tab w:val="right" w:pos="8306"/>
      </w:tabs>
      <w:snapToGrid w:val="0"/>
      <w:jc w:val="left"/>
    </w:pPr>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customStyle="1" w:styleId="a8">
    <w:name w:val="正文(首行缩进)"/>
    <w:basedOn w:val="a"/>
    <w:next w:val="a"/>
    <w:link w:val="Char"/>
    <w:qFormat/>
    <w:pPr>
      <w:widowControl/>
      <w:spacing w:line="360" w:lineRule="auto"/>
      <w:ind w:firstLineChars="225" w:firstLine="540"/>
      <w:jc w:val="left"/>
    </w:pPr>
    <w:rPr>
      <w:snapToGrid w:val="0"/>
      <w:color w:val="000000"/>
      <w:kern w:val="0"/>
      <w:sz w:val="24"/>
    </w:rPr>
  </w:style>
  <w:style w:type="paragraph" w:customStyle="1" w:styleId="CharCharCharCharCharCharCharCharCharCharCharCharCharCharCharChar">
    <w:name w:val="Char Char Char Char Char Char Char Char Char Char Char Char Char Char Char Char"/>
    <w:basedOn w:val="a"/>
  </w:style>
  <w:style w:type="paragraph" w:customStyle="1" w:styleId="CharCharCharCharChar">
    <w:name w:val="Char Char Char Char Char"/>
    <w:basedOn w:val="a"/>
    <w:pPr>
      <w:snapToGrid w:val="0"/>
      <w:spacing w:line="360" w:lineRule="auto"/>
      <w:ind w:firstLineChars="200" w:firstLine="200"/>
    </w:pPr>
  </w:style>
  <w:style w:type="paragraph" w:customStyle="1" w:styleId="ab">
    <w:name w:val="表格文字"/>
    <w:basedOn w:val="a"/>
    <w:pPr>
      <w:adjustRightInd w:val="0"/>
      <w:snapToGrid w:val="0"/>
      <w:jc w:val="center"/>
    </w:pPr>
    <w:rPr>
      <w:rFonts w:ascii="宋体" w:hAnsi="宋体"/>
      <w:szCs w:val="20"/>
    </w:rPr>
  </w:style>
  <w:style w:type="paragraph" w:customStyle="1" w:styleId="a9">
    <w:name w:val="报告书正文"/>
    <w:basedOn w:val="a"/>
    <w:link w:val="Char0"/>
    <w:qFormat/>
    <w:pPr>
      <w:widowControl/>
      <w:spacing w:beforeLines="25" w:afterLines="25" w:line="360" w:lineRule="auto"/>
      <w:ind w:firstLineChars="200" w:firstLine="480"/>
    </w:pPr>
    <w:rPr>
      <w:rFonts w:cs="宋体"/>
      <w:color w:val="000000"/>
      <w:kern w:val="0"/>
      <w:sz w:val="24"/>
      <w:szCs w:val="21"/>
      <w:lang w:bidi="en-US"/>
    </w:rPr>
  </w:style>
  <w:style w:type="paragraph" w:customStyle="1" w:styleId="-jying">
    <w:name w:val="正文用-jying"/>
    <w:basedOn w:val="a"/>
    <w:qFormat/>
    <w:pPr>
      <w:spacing w:line="480" w:lineRule="exact"/>
      <w:ind w:firstLineChars="200" w:firstLine="480"/>
    </w:pPr>
    <w:rPr>
      <w:rFonts w:ascii="宋体" w:hAnsi="宋体"/>
      <w:sz w:val="24"/>
    </w:rPr>
  </w:style>
  <w:style w:type="paragraph" w:styleId="ac">
    <w:name w:val="Plain Text"/>
    <w:aliases w:val="纯文本 Char Char Char,纯文本 Char Char,纯文本 Char Char Char Char Char Char Char Char,纯文本 Char Char Char Char Char Char Char Char Char Char Char Char Char,普通文字 Char Char,普通文字 Char Char Char Char Char Char,普通文字 Char Char Char Char Char,普通文字 Char,纯文本 Char,正 文 "/>
    <w:basedOn w:val="a"/>
    <w:link w:val="ad"/>
    <w:qFormat/>
    <w:rsid w:val="001658E2"/>
    <w:rPr>
      <w:rFonts w:ascii="宋体" w:hAnsi="Courier New"/>
      <w:szCs w:val="20"/>
    </w:rPr>
  </w:style>
  <w:style w:type="character" w:customStyle="1" w:styleId="ad">
    <w:name w:val="纯文本 字符"/>
    <w:aliases w:val="纯文本 Char Char Char 字符,纯文本 Char Char 字符,纯文本 Char Char Char Char Char Char Char Char 字符,纯文本 Char Char Char Char Char Char Char Char Char Char Char Char Char 字符,普通文字 Char Char 字符,普通文字 Char Char Char Char Char Char 字符,普通文字 Char Char Char Char Char 字符"/>
    <w:basedOn w:val="a0"/>
    <w:link w:val="ac"/>
    <w:rsid w:val="001658E2"/>
    <w:rPr>
      <w:rFonts w:ascii="宋体" w:hAnsi="Courier New"/>
      <w:kern w:val="2"/>
      <w:sz w:val="21"/>
    </w:rPr>
  </w:style>
  <w:style w:type="character" w:customStyle="1" w:styleId="20">
    <w:name w:val="标题 2 字符"/>
    <w:basedOn w:val="a0"/>
    <w:link w:val="2"/>
    <w:rsid w:val="00A028D2"/>
    <w:rPr>
      <w:rFonts w:asciiTheme="majorHAnsi" w:eastAsiaTheme="majorEastAsia" w:hAnsiTheme="majorHAnsi" w:cstheme="majorBidi"/>
      <w:b/>
      <w:bCs/>
      <w:kern w:val="2"/>
      <w:sz w:val="32"/>
      <w:szCs w:val="32"/>
    </w:rPr>
  </w:style>
  <w:style w:type="character" w:customStyle="1" w:styleId="CharChar">
    <w:name w:val="正文(首行缩进) Char Char"/>
    <w:rsid w:val="00A028D2"/>
    <w:rPr>
      <w:snapToGrid w:val="0"/>
      <w:color w:val="000000"/>
      <w:sz w:val="24"/>
      <w:szCs w:val="24"/>
    </w:rPr>
  </w:style>
  <w:style w:type="paragraph" w:customStyle="1" w:styleId="ae">
    <w:name w:val="文本"/>
    <w:basedOn w:val="a"/>
    <w:qFormat/>
    <w:rsid w:val="00A028D2"/>
    <w:pPr>
      <w:adjustRightInd w:val="0"/>
      <w:snapToGrid w:val="0"/>
      <w:spacing w:line="360" w:lineRule="auto"/>
      <w:ind w:firstLineChars="200" w:firstLine="480"/>
      <w:jc w:val="left"/>
    </w:pPr>
    <w:rPr>
      <w:sz w:val="24"/>
    </w:rPr>
  </w:style>
  <w:style w:type="paragraph" w:customStyle="1" w:styleId="00">
    <w:name w:val="00.正文格式"/>
    <w:basedOn w:val="af"/>
    <w:qFormat/>
    <w:rsid w:val="00A028D2"/>
    <w:pPr>
      <w:spacing w:line="360" w:lineRule="auto"/>
      <w:ind w:firstLine="200"/>
    </w:pPr>
    <w:rPr>
      <w:snapToGrid w:val="0"/>
      <w:kern w:val="0"/>
      <w:sz w:val="20"/>
      <w:szCs w:val="20"/>
    </w:rPr>
  </w:style>
  <w:style w:type="paragraph" w:styleId="af">
    <w:name w:val="Normal Indent"/>
    <w:basedOn w:val="a"/>
    <w:rsid w:val="00A028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242</Words>
  <Characters>1381</Characters>
  <Application>Microsoft Office Word</Application>
  <DocSecurity>0</DocSecurity>
  <PresentationFormat/>
  <Lines>11</Lines>
  <Paragraphs>3</Paragraphs>
  <Slides>0</Slides>
  <Notes>0</Notes>
  <HiddenSlides>0</HiddenSlides>
  <MMClips>0</MMClips>
  <ScaleCrop>false</ScaleCrop>
  <Manager/>
  <Company>信念技术论坛</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Administrator</dc:creator>
  <cp:keywords/>
  <dc:description/>
  <cp:lastModifiedBy>huawei</cp:lastModifiedBy>
  <cp:revision>10</cp:revision>
  <dcterms:created xsi:type="dcterms:W3CDTF">2020-05-19T17:30:00Z</dcterms:created>
  <dcterms:modified xsi:type="dcterms:W3CDTF">2022-06-20T09:44:00Z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