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E394B">
      <w:pPr>
        <w:keepNext w:val="0"/>
        <w:keepLines w:val="0"/>
        <w:pageBreakBefore w:val="0"/>
        <w:widowControl w:val="0"/>
        <w:kinsoku/>
        <w:wordWrap/>
        <w:overflowPunct/>
        <w:topLinePunct w:val="0"/>
        <w:autoSpaceDE/>
        <w:autoSpaceDN/>
        <w:bidi w:val="0"/>
        <w:adjustRightInd/>
        <w:snapToGrid/>
        <w:spacing w:line="800" w:lineRule="exact"/>
        <w:textAlignment w:val="auto"/>
        <w:rPr>
          <w:rFonts w:hint="default" w:ascii="Times New Roman" w:hAnsi="Times New Roman" w:eastAsia="仿宋_GB2312" w:cs="Times New Roman"/>
          <w:snapToGrid w:val="0"/>
          <w:color w:val="auto"/>
          <w:kern w:val="0"/>
        </w:rPr>
      </w:pPr>
    </w:p>
    <w:p w14:paraId="60852BAE">
      <w:pPr>
        <w:tabs>
          <w:tab w:val="left" w:pos="8500"/>
        </w:tabs>
        <w:spacing w:line="600" w:lineRule="exact"/>
        <w:jc w:val="center"/>
        <w:rPr>
          <w:rFonts w:hint="default" w:ascii="Times New Roman" w:hAnsi="Times New Roman" w:eastAsia="仿宋_GB2312" w:cs="Times New Roman"/>
          <w:snapToGrid w:val="0"/>
          <w:color w:val="auto"/>
          <w:kern w:val="0"/>
          <w:szCs w:val="32"/>
          <w:highlight w:val="none"/>
        </w:rPr>
      </w:pPr>
      <w:r>
        <w:rPr>
          <w:rFonts w:hint="default" w:ascii="Times New Roman" w:hAnsi="Times New Roman" w:eastAsia="仿宋_GB2312" w:cs="Times New Roman"/>
          <w:snapToGrid w:val="0"/>
          <w:color w:val="auto"/>
          <w:kern w:val="0"/>
          <w:szCs w:val="32"/>
        </w:rPr>
        <w:t xml:space="preserve">                             </w:t>
      </w:r>
      <w:r>
        <w:rPr>
          <w:rFonts w:hint="default" w:ascii="Times New Roman" w:hAnsi="Times New Roman" w:eastAsia="仿宋_GB2312" w:cs="Times New Roman"/>
          <w:snapToGrid w:val="0"/>
          <w:color w:val="auto"/>
          <w:kern w:val="0"/>
          <w:szCs w:val="32"/>
          <w:highlight w:val="none"/>
        </w:rPr>
        <w:t xml:space="preserve">  </w:t>
      </w:r>
      <w:r>
        <w:rPr>
          <w:rFonts w:hint="default" w:ascii="Times New Roman" w:hAnsi="Times New Roman" w:eastAsia="仿宋_GB2312" w:cs="Times New Roman"/>
          <w:snapToGrid w:val="0"/>
          <w:color w:val="auto"/>
          <w:kern w:val="0"/>
          <w:szCs w:val="32"/>
          <w:highlight w:val="none"/>
          <w:lang w:val="en-US" w:eastAsia="zh-CN"/>
        </w:rPr>
        <w:t xml:space="preserve">  </w:t>
      </w:r>
      <w:r>
        <w:rPr>
          <w:rFonts w:hint="default" w:ascii="Times New Roman" w:hAnsi="Times New Roman" w:eastAsia="仿宋_GB2312" w:cs="Times New Roman"/>
          <w:snapToGrid w:val="0"/>
          <w:color w:val="auto"/>
          <w:kern w:val="0"/>
          <w:szCs w:val="32"/>
          <w:highlight w:val="none"/>
        </w:rPr>
        <w:t>师市环审〔202</w:t>
      </w:r>
      <w:r>
        <w:rPr>
          <w:rFonts w:hint="default" w:ascii="Times New Roman" w:hAnsi="Times New Roman" w:eastAsia="仿宋_GB2312" w:cs="Times New Roman"/>
          <w:snapToGrid w:val="0"/>
          <w:color w:val="auto"/>
          <w:kern w:val="0"/>
          <w:szCs w:val="32"/>
          <w:highlight w:val="none"/>
          <w:lang w:val="en-US" w:eastAsia="zh-CN"/>
        </w:rPr>
        <w:t>6</w:t>
      </w:r>
      <w:r>
        <w:rPr>
          <w:rFonts w:hint="default" w:ascii="Times New Roman" w:hAnsi="Times New Roman" w:eastAsia="仿宋_GB2312" w:cs="Times New Roman"/>
          <w:snapToGrid w:val="0"/>
          <w:color w:val="auto"/>
          <w:kern w:val="0"/>
          <w:szCs w:val="32"/>
          <w:highlight w:val="none"/>
        </w:rPr>
        <w:t>〕</w:t>
      </w:r>
      <w:r>
        <w:rPr>
          <w:rFonts w:hint="eastAsia" w:eastAsia="仿宋_GB2312" w:cs="Times New Roman"/>
          <w:snapToGrid w:val="0"/>
          <w:color w:val="auto"/>
          <w:kern w:val="0"/>
          <w:szCs w:val="32"/>
          <w:highlight w:val="none"/>
          <w:lang w:val="en-US" w:eastAsia="zh-CN"/>
        </w:rPr>
        <w:t>43</w:t>
      </w:r>
      <w:r>
        <w:rPr>
          <w:rFonts w:hint="default" w:ascii="Times New Roman" w:hAnsi="Times New Roman" w:eastAsia="仿宋_GB2312" w:cs="Times New Roman"/>
          <w:snapToGrid w:val="0"/>
          <w:color w:val="auto"/>
          <w:kern w:val="0"/>
          <w:szCs w:val="32"/>
          <w:highlight w:val="none"/>
        </w:rPr>
        <w:t>号</w:t>
      </w:r>
    </w:p>
    <w:p w14:paraId="7E66B2A4">
      <w:pPr>
        <w:spacing w:line="600" w:lineRule="exact"/>
        <w:rPr>
          <w:rFonts w:hint="default" w:ascii="Times New Roman" w:hAnsi="Times New Roman" w:eastAsia="仿宋_GB2312" w:cs="Times New Roman"/>
          <w:snapToGrid w:val="0"/>
          <w:color w:val="auto"/>
          <w:kern w:val="0"/>
          <w:sz w:val="30"/>
          <w:highlight w:val="none"/>
        </w:rPr>
      </w:pPr>
    </w:p>
    <w:p w14:paraId="654F7DD8">
      <w:pPr>
        <w:spacing w:line="600" w:lineRule="exact"/>
        <w:jc w:val="center"/>
        <w:rPr>
          <w:rFonts w:hint="eastAsia" w:ascii="方正小标宋简体" w:hAnsi="方正小标宋简体" w:eastAsia="方正小标宋简体" w:cs="方正小标宋简体"/>
          <w:bCs/>
          <w:color w:val="auto"/>
          <w:kern w:val="2"/>
          <w:sz w:val="44"/>
          <w:szCs w:val="44"/>
          <w:lang w:val="zh-CN" w:bidi="ar"/>
        </w:rPr>
      </w:pPr>
      <w:r>
        <w:rPr>
          <w:rFonts w:hint="default" w:ascii="Times New Roman" w:hAnsi="Times New Roman" w:eastAsia="方正小标宋简体" w:cs="Times New Roman"/>
          <w:color w:val="auto"/>
          <w:sz w:val="44"/>
          <w:szCs w:val="44"/>
          <w:highlight w:val="none"/>
          <w:lang w:val="zh-CN"/>
        </w:rPr>
        <w:t>关</w:t>
      </w:r>
      <w:r>
        <w:rPr>
          <w:rFonts w:hint="eastAsia" w:ascii="方正小标宋简体" w:hAnsi="方正小标宋简体" w:eastAsia="方正小标宋简体" w:cs="方正小标宋简体"/>
          <w:color w:val="auto"/>
          <w:sz w:val="44"/>
          <w:szCs w:val="44"/>
          <w:highlight w:val="none"/>
          <w:lang w:val="zh-CN"/>
        </w:rPr>
        <w:t>于</w:t>
      </w:r>
      <w:r>
        <w:rPr>
          <w:rFonts w:hint="eastAsia" w:ascii="方正小标宋简体" w:hAnsi="方正小标宋简体" w:eastAsia="方正小标宋简体" w:cs="方正小标宋简体"/>
          <w:bCs/>
          <w:color w:val="auto"/>
          <w:kern w:val="2"/>
          <w:sz w:val="44"/>
          <w:szCs w:val="44"/>
          <w:lang w:val="zh-CN" w:bidi="ar"/>
        </w:rPr>
        <w:t>2026年新春公司探井转开发建设工程</w:t>
      </w:r>
    </w:p>
    <w:p w14:paraId="6A46747D">
      <w:pPr>
        <w:spacing w:line="600" w:lineRule="exact"/>
        <w:jc w:val="center"/>
        <w:rPr>
          <w:rFonts w:hint="default" w:ascii="Times New Roman" w:hAnsi="Times New Roman" w:eastAsia="仿宋_GB2312" w:cs="Times New Roman"/>
          <w:color w:val="auto"/>
          <w:kern w:val="0"/>
          <w:szCs w:val="32"/>
          <w:highlight w:val="none"/>
        </w:rPr>
      </w:pPr>
      <w:r>
        <w:rPr>
          <w:rFonts w:hint="eastAsia" w:ascii="方正小标宋简体" w:hAnsi="方正小标宋简体" w:eastAsia="方正小标宋简体" w:cs="方正小标宋简体"/>
          <w:bCs/>
          <w:color w:val="auto"/>
          <w:kern w:val="2"/>
          <w:sz w:val="44"/>
          <w:szCs w:val="44"/>
          <w:lang w:val="zh-CN" w:bidi="ar"/>
        </w:rPr>
        <w:t>（第七师辖区）</w:t>
      </w:r>
      <w:r>
        <w:rPr>
          <w:rFonts w:hint="eastAsia" w:ascii="Times New Roman" w:hAnsi="Times New Roman" w:eastAsia="方正小标宋简体"/>
          <w:bCs/>
          <w:color w:val="000000"/>
          <w:sz w:val="44"/>
          <w:szCs w:val="44"/>
        </w:rPr>
        <w:t>环境影响报告书</w:t>
      </w:r>
      <w:r>
        <w:rPr>
          <w:rFonts w:hint="default" w:ascii="Times New Roman" w:hAnsi="Times New Roman" w:eastAsia="方正小标宋简体" w:cs="Times New Roman"/>
          <w:color w:val="auto"/>
          <w:sz w:val="44"/>
          <w:szCs w:val="44"/>
          <w:highlight w:val="none"/>
          <w:lang w:val="zh-CN"/>
        </w:rPr>
        <w:t>的</w:t>
      </w:r>
      <w:r>
        <w:rPr>
          <w:rFonts w:hint="default" w:ascii="Times New Roman" w:hAnsi="Times New Roman" w:eastAsia="方正小标宋简体" w:cs="Times New Roman"/>
          <w:snapToGrid w:val="0"/>
          <w:color w:val="auto"/>
          <w:kern w:val="0"/>
          <w:sz w:val="44"/>
          <w:szCs w:val="44"/>
          <w:highlight w:val="none"/>
        </w:rPr>
        <w:t>批复</w:t>
      </w:r>
    </w:p>
    <w:p w14:paraId="019C596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Cs w:val="32"/>
          <w:highlight w:val="none"/>
        </w:rPr>
      </w:pPr>
    </w:p>
    <w:p w14:paraId="6A9256D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Cs w:val="32"/>
          <w:highlight w:val="none"/>
        </w:rPr>
      </w:pPr>
      <w:r>
        <w:rPr>
          <w:rFonts w:hint="default" w:ascii="Times New Roman" w:hAnsi="Times New Roman" w:eastAsia="仿宋_GB2312" w:cs="Times New Roman"/>
          <w:bCs/>
          <w:color w:val="auto"/>
          <w:szCs w:val="32"/>
          <w:highlight w:val="none"/>
        </w:rPr>
        <w:t>中石化新疆新春石油开发有限责任公司：</w:t>
      </w:r>
    </w:p>
    <w:p w14:paraId="662674EC">
      <w:pPr>
        <w:keepNext w:val="0"/>
        <w:keepLines w:val="0"/>
        <w:pageBreakBefore w:val="0"/>
        <w:widowControl w:val="0"/>
        <w:kinsoku/>
        <w:wordWrap/>
        <w:overflowPunct/>
        <w:topLinePunct w:val="0"/>
        <w:autoSpaceDE/>
        <w:autoSpaceDN/>
        <w:bidi w:val="0"/>
        <w:adjustRightInd/>
        <w:snapToGrid/>
        <w:spacing w:line="53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你公司《关于审批&lt;</w:t>
      </w:r>
      <w:r>
        <w:rPr>
          <w:rFonts w:hint="default" w:ascii="Times New Roman" w:hAnsi="Times New Roman" w:eastAsia="仿宋_GB2312" w:cs="Times New Roman"/>
          <w:sz w:val="32"/>
          <w:szCs w:val="32"/>
          <w:lang w:val="zh-CN"/>
        </w:rPr>
        <w:t>2</w:t>
      </w:r>
      <w:r>
        <w:rPr>
          <w:rFonts w:hint="eastAsia" w:ascii="Times New Roman" w:hAnsi="Times New Roman" w:eastAsia="仿宋_GB2312" w:cs="Times New Roman"/>
          <w:sz w:val="32"/>
          <w:szCs w:val="32"/>
          <w:lang w:val="en-US" w:eastAsia="zh-CN"/>
        </w:rPr>
        <w:t>026</w:t>
      </w:r>
      <w:r>
        <w:rPr>
          <w:rFonts w:hint="default" w:ascii="Times New Roman" w:hAnsi="Times New Roman" w:eastAsia="仿宋_GB2312" w:cs="Times New Roman"/>
          <w:sz w:val="32"/>
          <w:szCs w:val="32"/>
          <w:lang w:val="zh-CN"/>
        </w:rPr>
        <w:t>年新春公司探井转开发建设工程（第七师辖区）</w:t>
      </w:r>
      <w:r>
        <w:rPr>
          <w:rFonts w:hint="default" w:ascii="Times New Roman" w:hAnsi="Times New Roman" w:eastAsia="仿宋_GB2312" w:cs="Times New Roman"/>
          <w:sz w:val="32"/>
          <w:szCs w:val="32"/>
        </w:rPr>
        <w:t>环境影响报告书&gt;的请示》收悉。经研究，批复如下：</w:t>
      </w:r>
    </w:p>
    <w:p w14:paraId="79F418A9">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bCs/>
          <w:color w:val="auto"/>
          <w:szCs w:val="32"/>
          <w:highlight w:val="none"/>
          <w:lang w:val="zh-CN"/>
        </w:rPr>
      </w:pPr>
      <w:r>
        <w:rPr>
          <w:rFonts w:hint="default" w:ascii="Times New Roman" w:hAnsi="Times New Roman" w:eastAsia="仿宋_GB2312" w:cs="Times New Roman"/>
          <w:color w:val="auto"/>
          <w:szCs w:val="32"/>
          <w:highlight w:val="none"/>
          <w:lang w:val="en-US" w:eastAsia="zh-CN"/>
        </w:rPr>
        <w:t>一、</w:t>
      </w:r>
      <w:r>
        <w:rPr>
          <w:rFonts w:hint="default" w:ascii="Times New Roman" w:hAnsi="Times New Roman" w:eastAsia="仿宋_GB2312" w:cs="Times New Roman"/>
          <w:color w:val="auto"/>
          <w:szCs w:val="32"/>
          <w:highlight w:val="none"/>
        </w:rPr>
        <w:t>该项目位于第七师128团，项目中心地理位置坐标为</w:t>
      </w:r>
      <w:r>
        <w:rPr>
          <w:rFonts w:hint="default" w:ascii="Times New Roman" w:hAnsi="Times New Roman" w:eastAsia="仿宋_GB2312" w:cs="Times New Roman"/>
          <w:color w:val="auto"/>
          <w:szCs w:val="32"/>
          <w:highlight w:val="none"/>
          <w:lang w:val="zh-CN"/>
        </w:rPr>
        <w:t>东经84°36'43.31"，北纬45°3'20.98"</w:t>
      </w:r>
      <w:r>
        <w:rPr>
          <w:rFonts w:hint="default" w:ascii="Times New Roman" w:hAnsi="Times New Roman" w:eastAsia="仿宋_GB2312" w:cs="Times New Roman"/>
          <w:color w:val="auto"/>
          <w:szCs w:val="32"/>
          <w:highlight w:val="none"/>
        </w:rPr>
        <w:t>。项目为扩建项目</w:t>
      </w:r>
      <w:r>
        <w:rPr>
          <w:rFonts w:hint="eastAsia" w:eastAsia="仿宋_GB2312" w:cs="Times New Roman"/>
          <w:color w:val="auto"/>
          <w:szCs w:val="32"/>
          <w:highlight w:val="none"/>
          <w:lang w:eastAsia="zh-CN"/>
        </w:rPr>
        <w:t>，将现有</w:t>
      </w:r>
      <w:r>
        <w:rPr>
          <w:rFonts w:hint="eastAsia" w:eastAsia="仿宋_GB2312" w:cs="Times New Roman"/>
          <w:color w:val="auto"/>
          <w:szCs w:val="32"/>
          <w:highlight w:val="none"/>
          <w:lang w:val="en-US" w:eastAsia="zh-CN"/>
        </w:rPr>
        <w:t>的</w:t>
      </w:r>
      <w:r>
        <w:rPr>
          <w:rFonts w:hint="eastAsia" w:eastAsia="仿宋_GB2312" w:cs="Times New Roman"/>
          <w:color w:val="auto"/>
          <w:szCs w:val="32"/>
          <w:highlight w:val="none"/>
          <w:lang w:eastAsia="zh-CN"/>
        </w:rPr>
        <w:t>17口探井转为采油井，新建Φ89×6</w:t>
      </w:r>
      <w:r>
        <w:rPr>
          <w:rFonts w:hint="eastAsia" w:eastAsia="仿宋_GB2312" w:cs="Times New Roman"/>
          <w:color w:val="auto"/>
          <w:szCs w:val="32"/>
          <w:highlight w:val="none"/>
          <w:lang w:val="en-US" w:eastAsia="zh-CN"/>
        </w:rPr>
        <w:t>毫米</w:t>
      </w:r>
      <w:r>
        <w:rPr>
          <w:rFonts w:hint="eastAsia" w:eastAsia="仿宋_GB2312" w:cs="Times New Roman"/>
          <w:color w:val="auto"/>
          <w:szCs w:val="32"/>
          <w:highlight w:val="none"/>
          <w:lang w:eastAsia="zh-CN"/>
        </w:rPr>
        <w:t>集油管线1.8</w:t>
      </w:r>
      <w:r>
        <w:rPr>
          <w:rFonts w:hint="eastAsia" w:eastAsia="仿宋_GB2312" w:cs="Times New Roman"/>
          <w:color w:val="auto"/>
          <w:szCs w:val="32"/>
          <w:highlight w:val="none"/>
          <w:lang w:val="en-US" w:eastAsia="zh-CN"/>
        </w:rPr>
        <w:t>千米</w:t>
      </w:r>
      <w:r>
        <w:rPr>
          <w:rFonts w:hint="eastAsia" w:eastAsia="仿宋_GB2312" w:cs="Times New Roman"/>
          <w:color w:val="auto"/>
          <w:szCs w:val="32"/>
          <w:highlight w:val="none"/>
          <w:lang w:eastAsia="zh-CN"/>
        </w:rPr>
        <w:t>，Φ114×7</w:t>
      </w:r>
      <w:r>
        <w:rPr>
          <w:rFonts w:hint="eastAsia" w:eastAsia="仿宋_GB2312" w:cs="Times New Roman"/>
          <w:color w:val="auto"/>
          <w:szCs w:val="32"/>
          <w:highlight w:val="none"/>
          <w:lang w:val="en-US" w:eastAsia="zh-CN"/>
        </w:rPr>
        <w:t>毫米</w:t>
      </w:r>
      <w:r>
        <w:rPr>
          <w:rFonts w:hint="eastAsia" w:eastAsia="仿宋_GB2312" w:cs="Times New Roman"/>
          <w:color w:val="auto"/>
          <w:szCs w:val="32"/>
          <w:highlight w:val="none"/>
          <w:lang w:eastAsia="zh-CN"/>
        </w:rPr>
        <w:t>集油管线0.5</w:t>
      </w:r>
      <w:r>
        <w:rPr>
          <w:rFonts w:hint="eastAsia" w:eastAsia="仿宋_GB2312" w:cs="Times New Roman"/>
          <w:color w:val="auto"/>
          <w:szCs w:val="32"/>
          <w:highlight w:val="none"/>
          <w:lang w:val="en-US" w:eastAsia="zh-CN"/>
        </w:rPr>
        <w:t>千米</w:t>
      </w:r>
      <w:r>
        <w:rPr>
          <w:rFonts w:hint="eastAsia" w:eastAsia="仿宋_GB2312" w:cs="Times New Roman"/>
          <w:color w:val="auto"/>
          <w:szCs w:val="32"/>
          <w:highlight w:val="none"/>
          <w:lang w:eastAsia="zh-CN"/>
        </w:rPr>
        <w:t>，Φ89×11</w:t>
      </w:r>
      <w:r>
        <w:rPr>
          <w:rFonts w:hint="eastAsia" w:eastAsia="仿宋_GB2312" w:cs="Times New Roman"/>
          <w:color w:val="auto"/>
          <w:szCs w:val="32"/>
          <w:highlight w:val="none"/>
          <w:lang w:val="en-US" w:eastAsia="zh-CN"/>
        </w:rPr>
        <w:t>毫米</w:t>
      </w:r>
      <w:r>
        <w:rPr>
          <w:rFonts w:hint="eastAsia" w:eastAsia="仿宋_GB2312" w:cs="Times New Roman"/>
          <w:color w:val="auto"/>
          <w:szCs w:val="32"/>
          <w:highlight w:val="none"/>
          <w:lang w:eastAsia="zh-CN"/>
        </w:rPr>
        <w:t>注汽管线1.5</w:t>
      </w:r>
      <w:r>
        <w:rPr>
          <w:rFonts w:hint="eastAsia" w:eastAsia="仿宋_GB2312" w:cs="Times New Roman"/>
          <w:color w:val="auto"/>
          <w:szCs w:val="32"/>
          <w:highlight w:val="none"/>
          <w:lang w:val="en-US" w:eastAsia="zh-CN"/>
        </w:rPr>
        <w:t>千米</w:t>
      </w:r>
      <w:r>
        <w:rPr>
          <w:rFonts w:hint="eastAsia" w:eastAsia="仿宋_GB2312" w:cs="Times New Roman"/>
          <w:color w:val="auto"/>
          <w:szCs w:val="32"/>
          <w:highlight w:val="none"/>
          <w:lang w:eastAsia="zh-CN"/>
        </w:rPr>
        <w:t>。</w:t>
      </w:r>
      <w:r>
        <w:rPr>
          <w:rFonts w:hint="eastAsia" w:eastAsia="仿宋_GB2312" w:cs="Times New Roman"/>
          <w:color w:val="auto"/>
          <w:szCs w:val="32"/>
          <w:highlight w:val="none"/>
          <w:lang w:val="en-US" w:eastAsia="zh-CN"/>
        </w:rPr>
        <w:t>项目建成后产能为2.05×10</w:t>
      </w:r>
      <w:r>
        <w:rPr>
          <w:rFonts w:hint="eastAsia" w:eastAsia="仿宋_GB2312" w:cs="Times New Roman"/>
          <w:color w:val="auto"/>
          <w:szCs w:val="32"/>
          <w:highlight w:val="none"/>
          <w:vertAlign w:val="superscript"/>
          <w:lang w:val="en-US" w:eastAsia="zh-CN"/>
        </w:rPr>
        <w:t>4</w:t>
      </w:r>
      <w:r>
        <w:rPr>
          <w:rFonts w:hint="eastAsia" w:eastAsia="仿宋_GB2312" w:cs="Times New Roman"/>
          <w:color w:val="auto"/>
          <w:szCs w:val="32"/>
          <w:highlight w:val="none"/>
          <w:lang w:val="en-US" w:eastAsia="zh-CN"/>
        </w:rPr>
        <w:t>吨/年，开发10年累计产油12.8×10</w:t>
      </w:r>
      <w:r>
        <w:rPr>
          <w:rFonts w:hint="eastAsia" w:eastAsia="仿宋_GB2312" w:cs="Times New Roman"/>
          <w:color w:val="auto"/>
          <w:szCs w:val="32"/>
          <w:highlight w:val="none"/>
          <w:vertAlign w:val="superscript"/>
          <w:lang w:val="en-US" w:eastAsia="zh-CN"/>
        </w:rPr>
        <w:t>4</w:t>
      </w:r>
      <w:r>
        <w:rPr>
          <w:rFonts w:hint="eastAsia" w:eastAsia="仿宋_GB2312" w:cs="Times New Roman"/>
          <w:color w:val="auto"/>
          <w:szCs w:val="32"/>
          <w:highlight w:val="none"/>
          <w:lang w:val="en-US" w:eastAsia="zh-CN"/>
        </w:rPr>
        <w:t>吨。项目总投资6604.84万元，其中环保投资约150万元，占总投资的2.27%。</w:t>
      </w:r>
    </w:p>
    <w:p w14:paraId="22C4F70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二、项目实施后会对环境造成一定不利影响，必须严格落实各项污染防治和生态环境保护措施，采取严格的环境风险防范措施、环境管理制度、环境监控和应急措施。综合考虑，我局原则同意该项目环境影响</w:t>
      </w:r>
      <w:r>
        <w:rPr>
          <w:rFonts w:hint="default" w:ascii="Times New Roman" w:hAnsi="Times New Roman" w:eastAsia="仿宋_GB2312" w:cs="Times New Roman"/>
          <w:color w:val="auto"/>
          <w:szCs w:val="32"/>
          <w:highlight w:val="none"/>
          <w:lang w:eastAsia="zh-CN"/>
        </w:rPr>
        <w:t>报告</w:t>
      </w:r>
      <w:r>
        <w:rPr>
          <w:rFonts w:hint="eastAsia" w:eastAsia="仿宋_GB2312" w:cs="Times New Roman"/>
          <w:color w:val="auto"/>
          <w:szCs w:val="32"/>
          <w:highlight w:val="none"/>
          <w:lang w:val="en-US" w:eastAsia="zh-CN"/>
        </w:rPr>
        <w:t>书</w:t>
      </w:r>
      <w:r>
        <w:rPr>
          <w:rFonts w:hint="default" w:ascii="Times New Roman" w:hAnsi="Times New Roman" w:eastAsia="仿宋_GB2312" w:cs="Times New Roman"/>
          <w:color w:val="auto"/>
          <w:szCs w:val="32"/>
          <w:highlight w:val="none"/>
        </w:rPr>
        <w:t>中所列建设项目的性质、规模、地点、工艺和环境保护对策措施。</w:t>
      </w:r>
    </w:p>
    <w:p w14:paraId="1381139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三、项目建设和运营中应重点做好以下工作：</w:t>
      </w:r>
    </w:p>
    <w:p w14:paraId="2791147C">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一</w:t>
      </w:r>
      <w:r>
        <w:rPr>
          <w:rFonts w:hint="default" w:ascii="Times New Roman" w:hAnsi="Times New Roman" w:eastAsia="仿宋_GB2312" w:cs="Times New Roman"/>
          <w:bCs/>
          <w:color w:val="auto"/>
          <w:szCs w:val="32"/>
          <w:highlight w:val="none"/>
        </w:rPr>
        <w:t>）</w:t>
      </w:r>
      <w:r>
        <w:rPr>
          <w:rFonts w:hint="default" w:ascii="Times New Roman" w:hAnsi="Times New Roman" w:eastAsia="仿宋_GB2312" w:cs="Times New Roman"/>
          <w:b w:val="0"/>
          <w:bCs/>
          <w:sz w:val="32"/>
          <w:szCs w:val="32"/>
        </w:rPr>
        <w:t>严格落实生态保护措施。定期巡查井场、管线等，严防跑、冒、滴、漏，避免泄漏油品污染周围生态环境；井场永久占地采取砾石覆盖，减少风蚀量；地表及时进行植被恢复工作，防止水土流失；管道维修二次开挖回填时，尽量按原有土壤层次进行回填；加强环境保护宣传工作，增强环保意识，特别是对野生动物和自然植被的保护。</w:t>
      </w:r>
    </w:p>
    <w:p w14:paraId="6CD40992">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eastAsia" w:ascii="Times New Roman" w:hAnsi="Times New Roman" w:eastAsia="仿宋_GB2312" w:cs="Times New Roman"/>
          <w:bCs/>
          <w:color w:val="auto"/>
          <w:kern w:val="2"/>
          <w:sz w:val="32"/>
          <w:szCs w:val="32"/>
          <w:lang w:val="en-US" w:eastAsia="zh-CN" w:bidi="ar-SA"/>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二</w:t>
      </w:r>
      <w:r>
        <w:rPr>
          <w:rFonts w:hint="default" w:ascii="Times New Roman" w:hAnsi="Times New Roman" w:eastAsia="仿宋_GB2312" w:cs="Times New Roman"/>
          <w:bCs/>
          <w:color w:val="auto"/>
          <w:szCs w:val="32"/>
          <w:highlight w:val="none"/>
        </w:rPr>
        <w:t>）严格落实大气污染防治措施。选用质量可靠的设备、仪表、阀门等</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定期对井场的设备、阀门、管线</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lang w:val="en-US" w:eastAsia="zh-CN"/>
        </w:rPr>
        <w:t>储油罐</w:t>
      </w:r>
      <w:r>
        <w:rPr>
          <w:rFonts w:hint="default" w:ascii="Times New Roman" w:hAnsi="Times New Roman" w:eastAsia="仿宋_GB2312" w:cs="Times New Roman"/>
          <w:bCs/>
          <w:color w:val="auto"/>
          <w:szCs w:val="32"/>
          <w:highlight w:val="none"/>
        </w:rPr>
        <w:t>等检查、检修，防止跑、冒、漏现象的发生；做好油井的压力监测及应急准备；加强对密闭管线及密封点的巡检。井场厂界非甲烷总烃排放浓度</w:t>
      </w:r>
      <w:r>
        <w:rPr>
          <w:rFonts w:hint="eastAsia" w:eastAsia="仿宋_GB2312" w:cs="Times New Roman"/>
          <w:bCs/>
          <w:color w:val="auto"/>
          <w:szCs w:val="32"/>
          <w:highlight w:val="none"/>
          <w:lang w:val="en-US" w:eastAsia="zh-CN"/>
        </w:rPr>
        <w:t>执行</w:t>
      </w:r>
      <w:r>
        <w:rPr>
          <w:rFonts w:hint="default" w:ascii="Times New Roman" w:hAnsi="Times New Roman" w:eastAsia="仿宋_GB2312" w:cs="Times New Roman"/>
          <w:bCs/>
          <w:color w:val="auto"/>
          <w:szCs w:val="32"/>
          <w:highlight w:val="none"/>
        </w:rPr>
        <w:t>《陆上石油天然气开采工业大气污染物排放标准》（GB39728-2020）中企业边界污染物控制要求。</w:t>
      </w:r>
    </w:p>
    <w:p w14:paraId="40873B27">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rPr>
      </w:pPr>
      <w:r>
        <w:rPr>
          <w:rFonts w:hint="eastAsia" w:ascii="Times New Roman" w:hAnsi="Times New Roman" w:eastAsia="仿宋_GB2312" w:cs="Times New Roman"/>
          <w:bCs/>
          <w:color w:val="auto"/>
          <w:kern w:val="2"/>
          <w:sz w:val="32"/>
          <w:szCs w:val="32"/>
          <w:lang w:val="en-US" w:eastAsia="zh-CN" w:bidi="ar-SA"/>
        </w:rPr>
        <w:t>（</w:t>
      </w:r>
      <w:r>
        <w:rPr>
          <w:rFonts w:hint="eastAsia" w:eastAsia="仿宋_GB2312" w:cs="Times New Roman"/>
          <w:bCs/>
          <w:color w:val="auto"/>
          <w:kern w:val="2"/>
          <w:sz w:val="32"/>
          <w:szCs w:val="32"/>
          <w:lang w:val="en-US" w:eastAsia="zh-CN" w:bidi="ar-SA"/>
        </w:rPr>
        <w:t>三</w:t>
      </w:r>
      <w:r>
        <w:rPr>
          <w:rFonts w:hint="eastAsia" w:ascii="Times New Roman" w:hAnsi="Times New Roman" w:eastAsia="仿宋_GB2312" w:cs="Times New Roman"/>
          <w:bCs/>
          <w:color w:val="auto"/>
          <w:kern w:val="2"/>
          <w:sz w:val="32"/>
          <w:szCs w:val="32"/>
          <w:lang w:val="en-US" w:eastAsia="zh-CN" w:bidi="ar-SA"/>
        </w:rPr>
        <w:t>）</w:t>
      </w:r>
      <w:r>
        <w:rPr>
          <w:rFonts w:hint="eastAsia" w:eastAsia="仿宋_GB2312" w:cs="Times New Roman"/>
          <w:bCs/>
          <w:color w:val="auto"/>
          <w:szCs w:val="32"/>
          <w:highlight w:val="none"/>
          <w:lang w:val="en-US" w:eastAsia="zh-CN"/>
        </w:rPr>
        <w:t>严格</w:t>
      </w:r>
      <w:r>
        <w:rPr>
          <w:rFonts w:hint="default" w:ascii="Times New Roman" w:hAnsi="Times New Roman" w:eastAsia="仿宋_GB2312" w:cs="Times New Roman"/>
          <w:bCs/>
          <w:color w:val="auto"/>
          <w:szCs w:val="32"/>
          <w:highlight w:val="none"/>
        </w:rPr>
        <w:t>落实水污染防治措施。采出水、井下作业废水通过管输和罐车拉运至春风联合站处理，出水水质满足《碎屑岩油藏注水水质指标技术要求及分析方法》（SY/T5329-2022）中注水水质指标要求后回注油藏。</w:t>
      </w:r>
    </w:p>
    <w:p w14:paraId="5A968F02">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lang w:val="en-US" w:eastAsia="zh-CN"/>
        </w:rPr>
      </w:pPr>
      <w:r>
        <w:rPr>
          <w:rFonts w:hint="eastAsia" w:ascii="Times New Roman" w:hAnsi="Times New Roman" w:eastAsia="仿宋_GB2312" w:cs="Times New Roman"/>
          <w:bCs/>
          <w:color w:val="auto"/>
          <w:szCs w:val="32"/>
          <w:highlight w:val="none"/>
          <w:lang w:val="en-US" w:eastAsia="zh-CN"/>
        </w:rPr>
        <w:t>（</w:t>
      </w:r>
      <w:r>
        <w:rPr>
          <w:rFonts w:hint="eastAsia" w:eastAsia="仿宋_GB2312" w:cs="Times New Roman"/>
          <w:bCs/>
          <w:color w:val="auto"/>
          <w:szCs w:val="32"/>
          <w:highlight w:val="none"/>
          <w:lang w:val="en-US" w:eastAsia="zh-CN"/>
        </w:rPr>
        <w:t>四</w:t>
      </w:r>
      <w:r>
        <w:rPr>
          <w:rFonts w:hint="eastAsia" w:ascii="Times New Roman" w:hAnsi="Times New Roman" w:eastAsia="仿宋_GB2312" w:cs="Times New Roman"/>
          <w:bCs/>
          <w:color w:val="auto"/>
          <w:szCs w:val="32"/>
          <w:highlight w:val="none"/>
          <w:lang w:val="en-US" w:eastAsia="zh-CN"/>
        </w:rPr>
        <w:t>）</w:t>
      </w:r>
      <w:r>
        <w:rPr>
          <w:rFonts w:hint="default" w:ascii="Times New Roman" w:hAnsi="Times New Roman" w:eastAsia="仿宋_GB2312" w:cs="Times New Roman"/>
          <w:bCs/>
          <w:color w:val="auto"/>
          <w:szCs w:val="32"/>
          <w:highlight w:val="none"/>
          <w:lang w:val="en-US" w:eastAsia="zh-CN"/>
        </w:rPr>
        <w:t>严格落实噪声防治措施。优化井场布置，选用低噪声设备</w:t>
      </w:r>
      <w:r>
        <w:rPr>
          <w:rFonts w:hint="eastAsia" w:eastAsia="仿宋_GB2312" w:cs="Times New Roman"/>
          <w:bCs/>
          <w:color w:val="auto"/>
          <w:szCs w:val="32"/>
          <w:highlight w:val="none"/>
          <w:lang w:val="en-US" w:eastAsia="zh-CN"/>
        </w:rPr>
        <w:t>。</w:t>
      </w:r>
      <w:r>
        <w:rPr>
          <w:rFonts w:hint="default" w:ascii="Times New Roman" w:hAnsi="Times New Roman" w:eastAsia="仿宋_GB2312" w:cs="Times New Roman"/>
          <w:bCs/>
          <w:color w:val="auto"/>
          <w:szCs w:val="32"/>
          <w:highlight w:val="none"/>
          <w:lang w:val="en-US" w:eastAsia="zh-CN"/>
        </w:rPr>
        <w:t>加强设备的维修、管理，对设备采取减振措施</w:t>
      </w:r>
      <w:r>
        <w:rPr>
          <w:rFonts w:hint="eastAsia" w:eastAsia="仿宋_GB2312" w:cs="Times New Roman"/>
          <w:bCs/>
          <w:color w:val="auto"/>
          <w:szCs w:val="32"/>
          <w:highlight w:val="none"/>
          <w:lang w:val="en-US" w:eastAsia="zh-CN"/>
        </w:rPr>
        <w:t>。</w:t>
      </w:r>
      <w:r>
        <w:rPr>
          <w:rFonts w:hint="default" w:ascii="Times New Roman" w:hAnsi="Times New Roman" w:eastAsia="仿宋_GB2312" w:cs="Times New Roman"/>
          <w:bCs/>
          <w:color w:val="auto"/>
          <w:szCs w:val="32"/>
          <w:highlight w:val="none"/>
          <w:lang w:val="en-US" w:eastAsia="zh-CN"/>
        </w:rPr>
        <w:t>项目运营期厂界噪声值</w:t>
      </w:r>
      <w:r>
        <w:rPr>
          <w:rFonts w:hint="eastAsia" w:eastAsia="仿宋_GB2312" w:cs="Times New Roman"/>
          <w:bCs/>
          <w:color w:val="auto"/>
          <w:szCs w:val="32"/>
          <w:highlight w:val="none"/>
          <w:lang w:val="en-US" w:eastAsia="zh-CN"/>
        </w:rPr>
        <w:t>执行</w:t>
      </w:r>
      <w:r>
        <w:rPr>
          <w:rFonts w:hint="default" w:ascii="Times New Roman" w:hAnsi="Times New Roman" w:eastAsia="仿宋_GB2312" w:cs="Times New Roman"/>
          <w:bCs/>
          <w:color w:val="auto"/>
          <w:szCs w:val="32"/>
          <w:highlight w:val="none"/>
          <w:lang w:val="en-US" w:eastAsia="zh-CN"/>
        </w:rPr>
        <w:t>《工业企业厂界环境噪声排放标准》（GB12348-2008）中2类标准要求</w:t>
      </w:r>
      <w:r>
        <w:rPr>
          <w:rFonts w:hint="eastAsia" w:eastAsia="仿宋_GB2312" w:cs="Times New Roman"/>
          <w:bCs/>
          <w:color w:val="auto"/>
          <w:szCs w:val="32"/>
          <w:highlight w:val="none"/>
          <w:lang w:val="en-US" w:eastAsia="zh-CN"/>
        </w:rPr>
        <w:t>。</w:t>
      </w:r>
    </w:p>
    <w:p w14:paraId="280E3420">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lang w:val="en-US" w:eastAsia="zh-CN"/>
        </w:rPr>
      </w:pPr>
      <w:r>
        <w:rPr>
          <w:rFonts w:hint="eastAsia" w:ascii="Times New Roman" w:hAnsi="Times New Roman" w:eastAsia="仿宋_GB2312" w:cs="Times New Roman"/>
          <w:bCs/>
          <w:color w:val="auto"/>
          <w:kern w:val="2"/>
          <w:sz w:val="32"/>
          <w:szCs w:val="32"/>
          <w:lang w:val="en-US" w:eastAsia="zh-CN" w:bidi="ar-SA"/>
        </w:rPr>
        <w:t>（</w:t>
      </w:r>
      <w:r>
        <w:rPr>
          <w:rFonts w:hint="eastAsia" w:eastAsia="仿宋_GB2312" w:cs="Times New Roman"/>
          <w:bCs/>
          <w:color w:val="auto"/>
          <w:kern w:val="2"/>
          <w:sz w:val="32"/>
          <w:szCs w:val="32"/>
          <w:lang w:val="en-US" w:eastAsia="zh-CN" w:bidi="ar-SA"/>
        </w:rPr>
        <w:t>五</w:t>
      </w:r>
      <w:r>
        <w:rPr>
          <w:rFonts w:hint="eastAsia" w:ascii="Times New Roman" w:hAnsi="Times New Roman" w:eastAsia="仿宋_GB2312" w:cs="Times New Roman"/>
          <w:bCs/>
          <w:color w:val="auto"/>
          <w:kern w:val="2"/>
          <w:sz w:val="32"/>
          <w:szCs w:val="32"/>
          <w:lang w:val="en-US" w:eastAsia="zh-CN" w:bidi="ar-SA"/>
        </w:rPr>
        <w:t>）</w:t>
      </w:r>
      <w:r>
        <w:rPr>
          <w:rFonts w:hint="default" w:ascii="Times New Roman" w:hAnsi="Times New Roman" w:eastAsia="仿宋_GB2312" w:cs="Times New Roman"/>
          <w:bCs/>
          <w:color w:val="auto"/>
          <w:szCs w:val="32"/>
          <w:highlight w:val="none"/>
        </w:rPr>
        <w:t>固体废物实施分类管理和妥善处理处置。落地油、废防渗</w:t>
      </w:r>
      <w:r>
        <w:rPr>
          <w:rFonts w:hint="default" w:ascii="Times New Roman" w:hAnsi="Times New Roman" w:eastAsia="仿宋_GB2312" w:cs="Times New Roman"/>
          <w:bCs/>
          <w:color w:val="auto"/>
          <w:szCs w:val="32"/>
          <w:highlight w:val="none"/>
          <w:lang w:val="en-US" w:eastAsia="zh-CN"/>
        </w:rPr>
        <w:t>材料</w:t>
      </w:r>
      <w:r>
        <w:rPr>
          <w:rFonts w:hint="default" w:ascii="Times New Roman" w:hAnsi="Times New Roman" w:eastAsia="仿宋_GB2312" w:cs="Times New Roman"/>
          <w:bCs/>
          <w:color w:val="auto"/>
          <w:szCs w:val="32"/>
          <w:highlight w:val="none"/>
        </w:rPr>
        <w:t>、清罐底泥</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清管废渣、废润滑油、废弃的含油抹布、劳保用品</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联合站新增清罐底泥、联合站新增含油污泥</w:t>
      </w:r>
      <w:r>
        <w:rPr>
          <w:rFonts w:hint="eastAsia" w:ascii="Times New Roman" w:hAnsi="Times New Roman" w:eastAsia="仿宋_GB2312"/>
          <w:color w:val="000000"/>
          <w:lang w:val="en-US" w:eastAsia="zh-CN"/>
        </w:rPr>
        <w:t>属于</w:t>
      </w:r>
      <w:r>
        <w:rPr>
          <w:rFonts w:hint="eastAsia" w:eastAsia="仿宋_GB2312" w:cs="Times New Roman"/>
          <w:bCs/>
          <w:color w:val="auto"/>
          <w:szCs w:val="32"/>
          <w:highlight w:val="none"/>
          <w:lang w:val="en-US" w:eastAsia="zh-CN"/>
        </w:rPr>
        <w:t>危险废物，</w:t>
      </w:r>
      <w:r>
        <w:rPr>
          <w:rFonts w:hint="eastAsia" w:eastAsia="仿宋_GB2312"/>
          <w:highlight w:val="none"/>
          <w:lang w:val="en-US" w:eastAsia="zh-CN"/>
        </w:rPr>
        <w:t>收集后</w:t>
      </w:r>
      <w:r>
        <w:rPr>
          <w:rFonts w:ascii="Times New Roman" w:hAnsi="Times New Roman" w:eastAsia="仿宋_GB2312"/>
          <w:highlight w:val="none"/>
        </w:rPr>
        <w:t>交由有资质</w:t>
      </w:r>
      <w:r>
        <w:rPr>
          <w:rFonts w:hint="eastAsia" w:eastAsia="仿宋_GB2312"/>
          <w:highlight w:val="none"/>
          <w:lang w:val="en-US" w:eastAsia="zh-CN"/>
        </w:rPr>
        <w:t>的</w:t>
      </w:r>
      <w:r>
        <w:rPr>
          <w:rFonts w:ascii="Times New Roman" w:hAnsi="Times New Roman" w:eastAsia="仿宋_GB2312"/>
          <w:highlight w:val="none"/>
        </w:rPr>
        <w:t>单位处置</w:t>
      </w:r>
      <w:r>
        <w:rPr>
          <w:rFonts w:hint="eastAsia" w:eastAsia="仿宋_GB2312"/>
          <w:highlight w:val="none"/>
          <w:lang w:eastAsia="zh-CN"/>
        </w:rPr>
        <w:t>。</w:t>
      </w:r>
      <w:r>
        <w:rPr>
          <w:rFonts w:hint="default" w:ascii="Times New Roman" w:hAnsi="Times New Roman" w:eastAsia="仿宋_GB2312" w:cs="Times New Roman"/>
          <w:bCs/>
          <w:color w:val="auto"/>
          <w:szCs w:val="32"/>
          <w:highlight w:val="none"/>
          <w:lang w:val="en-US" w:eastAsia="zh-CN"/>
        </w:rPr>
        <w:t>危险废物的收集、贮存、运输须符合《危险废物收集 贮存 运输技术规范》（HJ2025-2012）及《危险废物转移管理办法》的相关要求。</w:t>
      </w:r>
    </w:p>
    <w:p w14:paraId="06209AD6">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eastAsia" w:eastAsia="仿宋_GB2312" w:cs="Times New Roman"/>
          <w:color w:val="auto"/>
          <w:kern w:val="2"/>
          <w:szCs w:val="32"/>
          <w:highlight w:val="none"/>
          <w:lang w:eastAsia="zh-CN"/>
        </w:rPr>
      </w:pPr>
      <w:r>
        <w:rPr>
          <w:rFonts w:hint="default" w:ascii="Times New Roman" w:hAnsi="Times New Roman" w:eastAsia="仿宋_GB2312" w:cs="Times New Roman"/>
        </w:rPr>
        <w:t>（</w:t>
      </w:r>
      <w:r>
        <w:rPr>
          <w:rFonts w:hint="eastAsia" w:eastAsia="仿宋_GB2312" w:cs="Times New Roman"/>
          <w:lang w:val="en-US" w:eastAsia="zh-CN"/>
        </w:rPr>
        <w:t>六</w:t>
      </w:r>
      <w:r>
        <w:rPr>
          <w:rFonts w:hint="default" w:ascii="Times New Roman" w:hAnsi="Times New Roman" w:eastAsia="仿宋_GB2312" w:cs="Times New Roman"/>
        </w:rPr>
        <w:t>）严格落实</w:t>
      </w:r>
      <w:r>
        <w:rPr>
          <w:rFonts w:hint="default" w:ascii="Times New Roman" w:hAnsi="Times New Roman" w:eastAsia="仿宋_GB2312" w:cs="Times New Roman"/>
          <w:lang w:val="en-US" w:eastAsia="zh-CN"/>
        </w:rPr>
        <w:t>地下水及</w:t>
      </w:r>
      <w:r>
        <w:rPr>
          <w:rFonts w:hint="default" w:ascii="Times New Roman" w:hAnsi="Times New Roman" w:eastAsia="仿宋_GB2312" w:cs="Times New Roman"/>
        </w:rPr>
        <w:t>土壤污染防治措施。</w:t>
      </w:r>
      <w:r>
        <w:rPr>
          <w:rFonts w:hint="eastAsia" w:eastAsia="仿宋_GB2312" w:cs="Times New Roman"/>
          <w:bCs/>
          <w:color w:val="auto"/>
          <w:szCs w:val="32"/>
          <w:highlight w:val="none"/>
          <w:lang w:eastAsia="zh-CN"/>
        </w:rPr>
        <w:t>按照源头防控、分区防治、污染监控、应急响应的原则进行地下水污染防治。严格按照导则要求，落实分区防渗和监控措施，</w:t>
      </w:r>
      <w:r>
        <w:rPr>
          <w:rFonts w:hint="eastAsia" w:eastAsia="仿宋_GB2312" w:cs="Times New Roman"/>
          <w:bCs/>
          <w:color w:val="auto"/>
          <w:szCs w:val="32"/>
          <w:highlight w:val="none"/>
          <w:lang w:val="en-US" w:eastAsia="zh-CN"/>
        </w:rPr>
        <w:t>对采油井场井口、高架油罐区</w:t>
      </w:r>
      <w:r>
        <w:rPr>
          <w:rFonts w:hint="eastAsia" w:ascii="Times New Roman" w:hAnsi="Times New Roman" w:eastAsia="仿宋_GB2312"/>
          <w:color w:val="000000"/>
          <w:lang w:val="en-US" w:eastAsia="zh-CN"/>
        </w:rPr>
        <w:t>进行一般</w:t>
      </w:r>
      <w:r>
        <w:rPr>
          <w:rFonts w:hint="default" w:ascii="Times New Roman" w:hAnsi="Times New Roman" w:eastAsia="仿宋_GB2312" w:cs="Times New Roman"/>
        </w:rPr>
        <w:t>防渗</w:t>
      </w:r>
      <w:r>
        <w:rPr>
          <w:rFonts w:hint="eastAsia" w:eastAsia="仿宋_GB2312" w:cs="Times New Roman"/>
          <w:lang w:eastAsia="zh-CN"/>
        </w:rPr>
        <w:t>。</w:t>
      </w:r>
      <w:r>
        <w:rPr>
          <w:rFonts w:hint="eastAsia" w:eastAsia="仿宋_GB2312" w:cs="Times New Roman"/>
          <w:color w:val="auto"/>
          <w:kern w:val="2"/>
          <w:szCs w:val="32"/>
          <w:highlight w:val="none"/>
          <w:lang w:eastAsia="zh-CN"/>
        </w:rPr>
        <w:t>加强防渗设施的日常维护，对出现损坏的防渗设施应及时修复和加固，确保防渗设施牢固安全。</w:t>
      </w:r>
    </w:p>
    <w:p w14:paraId="1172D56E">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七</w:t>
      </w:r>
      <w:r>
        <w:rPr>
          <w:rFonts w:hint="default" w:ascii="Times New Roman" w:hAnsi="Times New Roman" w:eastAsia="仿宋_GB2312" w:cs="Times New Roman"/>
          <w:bCs/>
          <w:color w:val="auto"/>
          <w:szCs w:val="32"/>
          <w:highlight w:val="none"/>
        </w:rPr>
        <w:t>）</w:t>
      </w:r>
      <w:r>
        <w:rPr>
          <w:rFonts w:hint="default" w:ascii="Times New Roman" w:hAnsi="Times New Roman" w:eastAsia="仿宋_GB2312" w:cs="Times New Roman"/>
          <w:bCs/>
          <w:color w:val="auto"/>
          <w:szCs w:val="32"/>
          <w:highlight w:val="none"/>
          <w:lang w:eastAsia="zh-CN"/>
        </w:rPr>
        <w:t>加强施工期环境保护，落实防沙治沙措施，防止施工废水、扬尘、噪声污染、水土流失和生态破坏。</w:t>
      </w:r>
    </w:p>
    <w:p w14:paraId="21C8611F">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八</w:t>
      </w:r>
      <w:r>
        <w:rPr>
          <w:rFonts w:hint="default" w:ascii="Times New Roman" w:hAnsi="Times New Roman" w:eastAsia="仿宋_GB2312" w:cs="Times New Roman"/>
          <w:bCs/>
          <w:color w:val="auto"/>
          <w:szCs w:val="32"/>
          <w:highlight w:val="none"/>
        </w:rPr>
        <w:t>）强化各项环境风险防范措施，有效防范环境风险。定期开展环境风险应急培训和演练，落实各项应急环境管理措施以及各项风险防范措施，确保风险事故得到有效控制。</w:t>
      </w:r>
    </w:p>
    <w:p w14:paraId="24F231E2">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eastAsia="zh-CN"/>
        </w:rPr>
        <w:t>（</w:t>
      </w:r>
      <w:r>
        <w:rPr>
          <w:rFonts w:hint="eastAsia" w:eastAsia="仿宋_GB2312" w:cs="Times New Roman"/>
          <w:bCs/>
          <w:color w:val="auto"/>
          <w:szCs w:val="32"/>
          <w:highlight w:val="none"/>
          <w:lang w:val="en-US" w:eastAsia="zh-CN"/>
        </w:rPr>
        <w:t>九</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在工程运营过程中，应建立畅通的公众参与平台，加强宣传与沟通工作，及时解决公众提出的合理环境诉求。定期发布企业环境信息，并主动接受社会监督。</w:t>
      </w:r>
    </w:p>
    <w:p w14:paraId="367ABA6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36983DF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五、环境影响报告</w:t>
      </w:r>
      <w:r>
        <w:rPr>
          <w:rFonts w:hint="eastAsia" w:eastAsia="仿宋_GB2312" w:cs="Times New Roman"/>
          <w:bCs/>
          <w:color w:val="auto"/>
          <w:szCs w:val="32"/>
          <w:highlight w:val="none"/>
          <w:lang w:val="en-US" w:eastAsia="zh-CN"/>
        </w:rPr>
        <w:t>书</w:t>
      </w:r>
      <w:r>
        <w:rPr>
          <w:rFonts w:hint="default" w:ascii="Times New Roman" w:hAnsi="Times New Roman" w:eastAsia="仿宋_GB2312" w:cs="Times New Roman"/>
          <w:bCs/>
          <w:color w:val="auto"/>
          <w:szCs w:val="32"/>
          <w:highlight w:val="none"/>
        </w:rPr>
        <w:t>经批准后，该项目的性质、规模、地点、生产工艺和环境保护措施发生重大变动，且可能导致环境影响显著变化</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特别是不利环境影响加重</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的，应当重新报批该项目环境影响评价报告。</w:t>
      </w:r>
    </w:p>
    <w:p w14:paraId="0212C16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val="en-US" w:eastAsia="zh-CN"/>
        </w:rPr>
        <w:t>六</w:t>
      </w:r>
      <w:r>
        <w:rPr>
          <w:rFonts w:hint="default" w:ascii="Times New Roman" w:hAnsi="Times New Roman" w:eastAsia="仿宋_GB2312" w:cs="Times New Roman"/>
          <w:bCs/>
          <w:color w:val="auto"/>
          <w:szCs w:val="32"/>
          <w:highlight w:val="none"/>
        </w:rPr>
        <w:t>、</w:t>
      </w:r>
      <w:r>
        <w:rPr>
          <w:rFonts w:hint="default" w:ascii="Times New Roman" w:hAnsi="Times New Roman" w:eastAsia="仿宋_GB2312" w:cs="Times New Roman"/>
          <w:bCs/>
          <w:sz w:val="32"/>
          <w:szCs w:val="32"/>
          <w:lang w:val="en-US" w:eastAsia="zh-CN"/>
        </w:rPr>
        <w:t>1</w:t>
      </w:r>
      <w:r>
        <w:rPr>
          <w:rFonts w:hint="eastAsia" w:eastAsia="仿宋_GB2312" w:cs="Times New Roman"/>
          <w:bCs/>
          <w:sz w:val="32"/>
          <w:szCs w:val="32"/>
          <w:lang w:val="en-US" w:eastAsia="zh-CN"/>
        </w:rPr>
        <w:t>28</w:t>
      </w:r>
      <w:r>
        <w:rPr>
          <w:rFonts w:hint="default" w:ascii="Times New Roman" w:hAnsi="Times New Roman" w:eastAsia="仿宋_GB2312" w:cs="Times New Roman"/>
          <w:bCs/>
          <w:sz w:val="32"/>
          <w:szCs w:val="32"/>
        </w:rPr>
        <w:t>团城镇和生态保护中心要</w:t>
      </w:r>
      <w:r>
        <w:rPr>
          <w:rFonts w:hint="eastAsia" w:eastAsia="仿宋_GB2312" w:cs="Times New Roman"/>
          <w:bCs/>
          <w:sz w:val="32"/>
          <w:szCs w:val="32"/>
          <w:lang w:val="en-US" w:eastAsia="zh-CN"/>
        </w:rPr>
        <w:t>切实承担</w:t>
      </w:r>
      <w:r>
        <w:rPr>
          <w:rFonts w:hint="default" w:ascii="Times New Roman" w:hAnsi="Times New Roman" w:eastAsia="仿宋_GB2312" w:cs="Times New Roman"/>
          <w:bCs/>
          <w:sz w:val="32"/>
          <w:szCs w:val="32"/>
        </w:rPr>
        <w:t>对</w:t>
      </w:r>
      <w:r>
        <w:rPr>
          <w:rFonts w:hint="eastAsia" w:eastAsia="仿宋_GB2312" w:cs="Times New Roman"/>
          <w:bCs/>
          <w:sz w:val="32"/>
          <w:szCs w:val="32"/>
          <w:lang w:val="en-US" w:eastAsia="zh-CN"/>
        </w:rPr>
        <w:t>该</w:t>
      </w:r>
      <w:r>
        <w:rPr>
          <w:rFonts w:hint="default" w:ascii="Times New Roman" w:hAnsi="Times New Roman" w:eastAsia="仿宋_GB2312" w:cs="Times New Roman"/>
          <w:bCs/>
          <w:sz w:val="32"/>
          <w:szCs w:val="32"/>
        </w:rPr>
        <w:t>项目日常</w:t>
      </w:r>
      <w:r>
        <w:rPr>
          <w:rFonts w:hint="eastAsia" w:eastAsia="仿宋_GB2312" w:cs="Times New Roman"/>
          <w:bCs/>
          <w:sz w:val="32"/>
          <w:szCs w:val="32"/>
          <w:lang w:val="en-US" w:eastAsia="zh-CN"/>
        </w:rPr>
        <w:t>环境</w:t>
      </w:r>
      <w:r>
        <w:rPr>
          <w:rFonts w:hint="default" w:ascii="Times New Roman" w:hAnsi="Times New Roman" w:eastAsia="仿宋_GB2312" w:cs="Times New Roman"/>
          <w:bCs/>
          <w:sz w:val="32"/>
          <w:szCs w:val="32"/>
        </w:rPr>
        <w:t>监督管理</w:t>
      </w:r>
      <w:r>
        <w:rPr>
          <w:rFonts w:hint="eastAsia" w:eastAsia="仿宋_GB2312" w:cs="Times New Roman"/>
          <w:bCs/>
          <w:sz w:val="32"/>
          <w:szCs w:val="32"/>
          <w:lang w:val="en-US" w:eastAsia="zh-CN"/>
        </w:rPr>
        <w:t>责任</w:t>
      </w:r>
      <w:r>
        <w:rPr>
          <w:rFonts w:hint="eastAsia" w:eastAsia="仿宋_GB2312" w:cs="Times New Roman"/>
          <w:bCs/>
          <w:sz w:val="32"/>
          <w:szCs w:val="32"/>
          <w:lang w:eastAsia="zh-CN"/>
        </w:rPr>
        <w:t>。</w:t>
      </w:r>
    </w:p>
    <w:p w14:paraId="66A63F0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val="en-US" w:eastAsia="zh-CN"/>
        </w:rPr>
        <w:t>七</w:t>
      </w:r>
      <w:r>
        <w:rPr>
          <w:rFonts w:hint="default" w:ascii="Times New Roman" w:hAnsi="Times New Roman" w:eastAsia="仿宋_GB2312" w:cs="Times New Roman"/>
          <w:bCs/>
          <w:color w:val="auto"/>
          <w:szCs w:val="32"/>
          <w:highlight w:val="none"/>
        </w:rPr>
        <w:t>、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报告</w:t>
      </w:r>
      <w:r>
        <w:rPr>
          <w:rFonts w:hint="eastAsia" w:eastAsia="仿宋_GB2312" w:cs="Times New Roman"/>
          <w:bCs/>
          <w:color w:val="auto"/>
          <w:szCs w:val="32"/>
          <w:highlight w:val="none"/>
          <w:lang w:val="en-US" w:eastAsia="zh-CN"/>
        </w:rPr>
        <w:t>书</w:t>
      </w:r>
      <w:r>
        <w:rPr>
          <w:rFonts w:hint="default" w:ascii="Times New Roman" w:hAnsi="Times New Roman" w:eastAsia="仿宋_GB2312" w:cs="Times New Roman"/>
          <w:bCs/>
          <w:color w:val="auto"/>
          <w:szCs w:val="32"/>
          <w:highlight w:val="none"/>
        </w:rPr>
        <w:t>送师市生态环境保护综合行政执法支队、生态环境监测站、</w:t>
      </w:r>
      <w:r>
        <w:rPr>
          <w:rFonts w:hint="eastAsia" w:eastAsia="仿宋_GB2312" w:cs="Times New Roman"/>
          <w:bCs/>
          <w:color w:val="auto"/>
          <w:szCs w:val="32"/>
          <w:highlight w:val="none"/>
          <w:lang w:val="en-US" w:eastAsia="zh-CN"/>
        </w:rPr>
        <w:t>128团城镇和生态保护中心</w:t>
      </w:r>
      <w:r>
        <w:rPr>
          <w:rFonts w:hint="default" w:ascii="Times New Roman" w:hAnsi="Times New Roman" w:eastAsia="仿宋_GB2312" w:cs="Times New Roman"/>
          <w:bCs/>
          <w:color w:val="auto"/>
          <w:szCs w:val="32"/>
          <w:highlight w:val="none"/>
        </w:rPr>
        <w:t>，并按规定接受各级生态环境主管部门的监督检查。</w:t>
      </w:r>
    </w:p>
    <w:p w14:paraId="3F8719BC">
      <w:pPr>
        <w:keepNext w:val="0"/>
        <w:keepLines w:val="0"/>
        <w:pageBreakBefore w:val="0"/>
        <w:widowControl w:val="0"/>
        <w:kinsoku/>
        <w:wordWrap/>
        <w:overflowPunct/>
        <w:topLinePunct w:val="0"/>
        <w:autoSpaceDE/>
        <w:autoSpaceDN/>
        <w:bidi w:val="0"/>
        <w:adjustRightInd/>
        <w:snapToGrid/>
        <w:spacing w:line="740" w:lineRule="exact"/>
        <w:ind w:firstLine="4740" w:firstLineChars="1500"/>
        <w:textAlignment w:val="auto"/>
        <w:rPr>
          <w:rFonts w:hint="default" w:ascii="Times New Roman" w:hAnsi="Times New Roman" w:eastAsia="仿宋_GB2312" w:cs="Times New Roman"/>
          <w:bCs/>
          <w:color w:val="auto"/>
          <w:szCs w:val="32"/>
          <w:highlight w:val="none"/>
        </w:rPr>
      </w:pPr>
    </w:p>
    <w:p w14:paraId="6E2FBCCF">
      <w:pPr>
        <w:keepNext w:val="0"/>
        <w:keepLines w:val="0"/>
        <w:pageBreakBefore w:val="0"/>
        <w:widowControl w:val="0"/>
        <w:kinsoku/>
        <w:wordWrap/>
        <w:overflowPunct/>
        <w:topLinePunct w:val="0"/>
        <w:autoSpaceDE/>
        <w:autoSpaceDN/>
        <w:bidi w:val="0"/>
        <w:adjustRightInd/>
        <w:snapToGrid/>
        <w:spacing w:line="740" w:lineRule="exact"/>
        <w:ind w:firstLine="4740" w:firstLineChars="1500"/>
        <w:textAlignment w:val="auto"/>
        <w:rPr>
          <w:rFonts w:hint="default" w:ascii="Times New Roman" w:hAnsi="Times New Roman" w:eastAsia="仿宋_GB2312" w:cs="Times New Roman"/>
          <w:bCs/>
          <w:color w:val="auto"/>
          <w:szCs w:val="32"/>
          <w:highlight w:val="none"/>
        </w:rPr>
      </w:pPr>
    </w:p>
    <w:p w14:paraId="5167903C">
      <w:pPr>
        <w:keepNext w:val="0"/>
        <w:keepLines w:val="0"/>
        <w:pageBreakBefore w:val="0"/>
        <w:widowControl w:val="0"/>
        <w:kinsoku/>
        <w:wordWrap/>
        <w:overflowPunct/>
        <w:topLinePunct w:val="0"/>
        <w:autoSpaceDE/>
        <w:autoSpaceDN/>
        <w:bidi w:val="0"/>
        <w:adjustRightInd/>
        <w:snapToGrid/>
        <w:spacing w:line="400" w:lineRule="exact"/>
        <w:ind w:firstLine="4740" w:firstLineChars="15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 xml:space="preserve">第七师胡杨河市生态环境局 </w:t>
      </w:r>
    </w:p>
    <w:p w14:paraId="64D7B946">
      <w:pPr>
        <w:keepNext w:val="0"/>
        <w:keepLines w:val="0"/>
        <w:pageBreakBefore w:val="0"/>
        <w:widowControl w:val="0"/>
        <w:kinsoku/>
        <w:wordWrap/>
        <w:overflowPunct/>
        <w:topLinePunct w:val="0"/>
        <w:autoSpaceDE/>
        <w:autoSpaceDN/>
        <w:bidi w:val="0"/>
        <w:adjustRightInd/>
        <w:snapToGrid/>
        <w:spacing w:line="400" w:lineRule="exact"/>
        <w:ind w:firstLine="5372" w:firstLineChars="17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Cs/>
          <w:color w:val="auto"/>
          <w:szCs w:val="32"/>
          <w:highlight w:val="none"/>
        </w:rPr>
        <w:t>202</w:t>
      </w:r>
      <w:r>
        <w:rPr>
          <w:rFonts w:hint="eastAsia" w:eastAsia="仿宋_GB2312" w:cs="Times New Roman"/>
          <w:bCs/>
          <w:color w:val="auto"/>
          <w:szCs w:val="32"/>
          <w:highlight w:val="none"/>
          <w:lang w:val="en-US" w:eastAsia="zh-CN"/>
        </w:rPr>
        <w:t>6</w:t>
      </w:r>
      <w:r>
        <w:rPr>
          <w:rFonts w:hint="default" w:ascii="Times New Roman" w:hAnsi="Times New Roman" w:eastAsia="仿宋_GB2312" w:cs="Times New Roman"/>
          <w:bCs/>
          <w:color w:val="auto"/>
          <w:szCs w:val="32"/>
          <w:highlight w:val="none"/>
        </w:rPr>
        <w:t>年</w:t>
      </w:r>
      <w:r>
        <w:rPr>
          <w:rFonts w:hint="eastAsia" w:eastAsia="仿宋_GB2312" w:cs="Times New Roman"/>
          <w:bCs/>
          <w:color w:val="auto"/>
          <w:szCs w:val="32"/>
          <w:highlight w:val="none"/>
          <w:lang w:val="en-US" w:eastAsia="zh-CN"/>
        </w:rPr>
        <w:t>9</w:t>
      </w:r>
      <w:r>
        <w:rPr>
          <w:rFonts w:hint="default" w:ascii="Times New Roman" w:hAnsi="Times New Roman" w:eastAsia="仿宋_GB2312" w:cs="Times New Roman"/>
          <w:bCs/>
          <w:color w:val="auto"/>
          <w:szCs w:val="32"/>
          <w:highlight w:val="none"/>
        </w:rPr>
        <w:t>月</w:t>
      </w:r>
      <w:r>
        <w:rPr>
          <w:rFonts w:hint="eastAsia" w:eastAsia="仿宋_GB2312" w:cs="Times New Roman"/>
          <w:bCs/>
          <w:color w:val="auto"/>
          <w:szCs w:val="32"/>
          <w:highlight w:val="none"/>
          <w:lang w:val="en-US" w:eastAsia="zh-CN"/>
        </w:rPr>
        <w:t>9</w:t>
      </w:r>
      <w:r>
        <w:rPr>
          <w:rFonts w:hint="default" w:ascii="Times New Roman" w:hAnsi="Times New Roman" w:eastAsia="仿宋_GB2312" w:cs="Times New Roman"/>
          <w:bCs/>
          <w:color w:val="auto"/>
          <w:szCs w:val="32"/>
          <w:highlight w:val="none"/>
        </w:rPr>
        <w:t>日</w:t>
      </w:r>
    </w:p>
    <w:p w14:paraId="78E62357">
      <w:pPr>
        <w:spacing w:line="400" w:lineRule="exact"/>
        <w:ind w:right="316" w:rightChars="100"/>
        <w:rPr>
          <w:rFonts w:hint="default" w:ascii="Times New Roman" w:hAnsi="Times New Roman" w:eastAsia="仿宋_GB2312" w:cs="Times New Roman"/>
          <w:color w:val="auto"/>
          <w:sz w:val="28"/>
          <w:szCs w:val="28"/>
        </w:rPr>
      </w:pPr>
    </w:p>
    <w:p w14:paraId="0899815C">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38B5262">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6BBEC3A">
      <w:pPr>
        <w:pStyle w:val="8"/>
        <w:keepNext w:val="0"/>
        <w:keepLines w:val="0"/>
        <w:pageBreakBefore w:val="0"/>
        <w:widowControl w:val="0"/>
        <w:kinsoku/>
        <w:wordWrap/>
        <w:overflowPunct/>
        <w:topLinePunct w:val="0"/>
        <w:autoSpaceDE/>
        <w:autoSpaceDN/>
        <w:bidi w:val="0"/>
        <w:adjustRightInd/>
        <w:snapToGrid/>
        <w:spacing w:line="800" w:lineRule="exact"/>
        <w:textAlignment w:val="auto"/>
        <w:rPr>
          <w:rFonts w:hint="default"/>
        </w:rPr>
      </w:pPr>
    </w:p>
    <w:p w14:paraId="35C2C75D">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-10795</wp:posOffset>
                </wp:positionV>
                <wp:extent cx="5568315" cy="1079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568315" cy="1079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0.85pt;height:0.85pt;width:438.45pt;z-index:251660288;mso-width-relative:page;mso-height-relative:page;" filled="f" stroked="t" coordsize="21600,21600" o:gfxdata="UEsDBAoAAAAAAIdO4kAAAAAAAAAAAAAAAAAEAAAAZHJzL1BLAwQUAAAACACHTuJAI+Fs39MAAAAE&#10;AQAADwAAAGRycy9kb3ducmV2LnhtbE2PzW7CMBCE75V4B2sr9YLATg9AQxwOSEWqRA9AH2CJlyQ0&#10;Xkex+enbdzm1x9lZzXxTrO6+U1caYhvYQjY1oIir4FquLXwd3icLUDEhO+wCk4UfirAqR08F5i7c&#10;eEfXfaqVhHDM0UKTUp9rHauGPMZp6InFO4XBYxI51NoNeJNw3+lXY2baY8vS0GBP64aq7/3FW4hj&#10;3n7utlJ6IDqZ87jfbPyHtS/PmVmCSnRPf8/wwBd0KIXpGC7souosyJBkYZLNQYm7mM/eQB0fZ10W&#10;+j98+QtQSwMEFAAAAAgAh07iQImf1W4EAgAAAQQAAA4AAABkcnMvZTJvRG9jLnhtbK1TvY4TMRDu&#10;kXgHyz3ZzaEcd6tsrrhwNAhO4qd3/LNryX/yONnkJXgBJDqoKOnvbTgeg7F3iY6jSYELazwz/jzf&#10;N+Pl1d4aspMRtHctnc9qSqTjXmjXtfTD+5tnF5RAYk4w451s6UECvVo9fbIcQiPPfO+NkJEgiINm&#10;CC3tUwpNVQHvpWUw80E6DCofLUt4jF0lIhsQ3ZrqrK7Pq8FHEaLnEgC96zFIJ8R4CqBXSnO59nxr&#10;pUsjapSGJaQEvQ5AV6VapSRPb5UCmYhpKTJNZcdH0N7kvVotWdNFFnrNpxLYKSU84mSZdvjoEWrN&#10;EiPbqP+BsppHD16lGfe2GokURZDFvH6kzbueBVm4oNQQjqLD/4Plb3a3kWiBk0CJYxYbfv/5x89P&#10;X3/dfcH9/vs3Ms8iDQEazL12t3E6QbiNmfFeRUuU0eFjxsgeZEX2ReLDUWK5T4Sjc7E4v3g+X1DC&#10;MTavX1wuMno1wuTLIUJ6Jb0l2Wip0S4rwBq2ew1pTP2Tkt3GkQGBLusFdpQznEeFc4CmDcgJXFcu&#10;gzda3Ghj8hWI3ebaRLJjeSbKmmr4Ky2/smbQj3kllNNY00smXjpB0iGgWg4/Cc01WCkoMRL/VLZK&#10;ZmLanJKJ9I3L0LJM7EQ0Sz6KnK2NFwfs1DZE3fUoTOlKlSM4GUXBaYrz6D08o/3w56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PhbN/TAAAABAEAAA8AAAAAAAAAAQAgAAAAIgAAAGRycy9kb3du&#10;cmV2LnhtbFBLAQIUABQAAAAIAIdO4kCJn9VuBAIAAAEEAAAOAAAAAAAAAAEAIAAAACIBAABkcnMv&#10;ZTJvRG9jLnhtbFBLBQYAAAAABgAGAFkBAACYBQ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抄送：师市生态环境保护综合行政执法支队</w:t>
      </w:r>
      <w:r>
        <w:rPr>
          <w:rFonts w:hint="eastAsia" w:eastAsia="仿宋_GB2312" w:cs="Times New Roman"/>
          <w:color w:val="auto"/>
          <w:sz w:val="28"/>
          <w:szCs w:val="28"/>
          <w:lang w:eastAsia="zh-CN"/>
        </w:rPr>
        <w:t>，</w:t>
      </w:r>
      <w:bookmarkStart w:id="0" w:name="_GoBack"/>
      <w:bookmarkEnd w:id="0"/>
      <w:r>
        <w:rPr>
          <w:rFonts w:hint="default" w:ascii="Times New Roman" w:hAnsi="Times New Roman" w:eastAsia="仿宋_GB2312" w:cs="Times New Roman"/>
          <w:color w:val="auto"/>
          <w:sz w:val="28"/>
          <w:szCs w:val="28"/>
        </w:rPr>
        <w:t>生态环境监测站、</w:t>
      </w:r>
      <w:r>
        <w:rPr>
          <w:rFonts w:hint="default" w:ascii="Times New Roman" w:hAnsi="Times New Roman" w:eastAsia="仿宋_GB2312" w:cs="Times New Roman"/>
          <w:color w:val="auto"/>
          <w:sz w:val="28"/>
          <w:szCs w:val="28"/>
          <w:lang w:val="en-US" w:eastAsia="zh-CN"/>
        </w:rPr>
        <w:t>128团城镇和生态保护中心</w:t>
      </w:r>
      <w:r>
        <w:rPr>
          <w:rFonts w:hint="default" w:ascii="Times New Roman" w:hAnsi="Times New Roman" w:eastAsia="仿宋_GB2312" w:cs="Times New Roman"/>
          <w:color w:val="auto"/>
          <w:sz w:val="28"/>
          <w:szCs w:val="28"/>
        </w:rPr>
        <w:t>。</w:t>
      </w:r>
    </w:p>
    <w:p w14:paraId="66A4461E">
      <w:pPr>
        <w:spacing w:line="600" w:lineRule="exact"/>
        <w:ind w:right="316" w:rightChars="100" w:firstLine="254" w:firstLineChars="100"/>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color w:val="auto"/>
          <w:spacing w:val="-11"/>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382270</wp:posOffset>
                </wp:positionV>
                <wp:extent cx="5615940" cy="1905"/>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940" cy="190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1pt;height:0.15pt;width:442.2pt;z-index:251661312;mso-width-relative:page;mso-height-relative:page;" filled="f" stroked="t" coordsize="21600,21600" o:gfxdata="UEsDBAoAAAAAAIdO4kAAAAAAAAAAAAAAAAAEAAAAZHJzL1BLAwQUAAAACACHTuJAObkz1dQAAAAG&#10;AQAADwAAAGRycy9kb3ducmV2LnhtbE2PwU7DMAyG70i8Q2QkbizZ1E2hNJ3EJC67UabB0WtMW9E4&#10;VZN169uTneBo/78+fy62V9eLicbQeTawXCgQxLW3HTcGDh9vTxpEiMgWe89kYKYA2/L+rsDc+gu/&#10;01TFRiQIhxwNtDEOuZShbslhWPiBOGXffnQY0zg20o54SXDXy5VSG+mw43ShxYF2LdU/1dklyvpT&#10;v+5RH+a5r76es91xP7Ez5vFhqV5ARLrGvzLc9JM6lMnp5M9sg+gNpEeigY1agUip1lkG4nRbrEGW&#10;hfyvX/4CUEsDBBQAAAAIAIdO4kAeJISH+AEAAPYDAAAOAAAAZHJzL2Uyb0RvYy54bWytU0uOEzEQ&#10;3SNxB8t70klERkwrnVlMGDYIIgEHqLjd3Zb8k8tJJ5fgAkjsYMWSPbdh5hiU3U2YzyYLeuEuu56f&#10;6z2Xl1cHo9leBlTOVnw2mXImrXC1sm3FP328efGKM4xga9DOyoofJfKr1fNny96Xcu46p2sZGJFY&#10;LHtf8S5GXxYFik4awInz0lKyccFApGloizpAT+xGF/Pp9KLoXah9cEIi0up6SPKRMZxD6JpGCbl2&#10;YmekjQNrkBoiScJOeeSrXG3TSBHfNw3KyHTFSWnMIx1C8TaNxWoJZRvAd0qMJcA5JTzSZEBZOvRE&#10;tYYIbBfUEyqjRHDomjgRzhSDkOwIqZhNH3nzoQMvsxayGv3JdPx/tOLdfhOYqis+58yCoQu//fLz&#10;9+dvd7++0nj74zubJ5N6jyVhr+0mjDP0m5AUH5pg0p+0sEM29ngyVh4iE7S4uJgtLl+S54Jys8vp&#10;IlEW//b6gPGNdIaloOJa2SQbSti/xThA/0LSsrasH3gSJVATNnT5FBpPQtC2eTM6reobpXXagqHd&#10;XuvA9pAaIX9jDQ9g6ZQ1YDfgcirBoOwk1K9tzeLRk0WWXgZPNRhZc6YlPaQUZWQEpc9BknxtE7XM&#10;bToKTT4PzqZo6+ojXc/OB9V2ZMws15wy1A7ZwbF1U7/dn1N8/7mu/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5uTPV1AAAAAYBAAAPAAAAAAAAAAEAIAAAACIAAABkcnMvZG93bnJldi54bWxQSwEC&#10;FAAUAAAACACHTuJAHiSEh/gBAAD2AwAADgAAAAAAAAABACAAAAAjAQAAZHJzL2Uyb0RvYy54bWxQ&#10;SwUGAAAAAAYABgBZAQAAjQ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pacing w:val="-11"/>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-6350</wp:posOffset>
                </wp:positionV>
                <wp:extent cx="5577840" cy="635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577840" cy="635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0.5pt;height:0.5pt;width:439.2pt;z-index:251661312;mso-width-relative:page;mso-height-relative:page;" filled="f" stroked="t" coordsize="21600,21600" o:gfxdata="UEsDBAoAAAAAAIdO4kAAAAAAAAAAAAAAAAAEAAAAZHJzL1BLAwQUAAAACACHTuJA4iMwQNMAAAAE&#10;AQAADwAAAGRycy9kb3ducmV2LnhtbE2PQU/DMAyF70j8h8hI3LakA0HXNZ0QAi5ISBuFc9qYtiJx&#10;qibrxr/HO8HJen7We5/L7ck7MeMUh0AasqUCgdQGO1CnoX5/XuQgYjJkjQuEGn4wwra6vChNYcOR&#10;djjvUyc4hGJhNPQpjYWUse3Rm7gMIxJ7X2HyJrGcOmknc+Rw7+RKqTvpzUDc0JsRH3tsv/cHr+Hh&#10;8/Xp5m1ufHB23dUf1tfqZaX19VWmNiASntLfMZzxGR0qZmrCgWwUTgM/kjQsMp7s5vf5LYjmvJZV&#10;Kf/DV79QSwMEFAAAAAgAh07iQPj8sJsGAgAA/wMAAA4AAABkcnMvZTJvRG9jLnhtbK1TS44TMRDd&#10;I3EHy3vS+ZCZoZXOLCYMGwSR+Owr/nRb8k+2k04uwQWQ2MGK5ey5DcMxKLtDNAybLOiFVXaVX9V7&#10;fr243htNdiJE5WxDJ6MxJcIyx5VtG/rh/e2zK0piAstBOysaehCRXi+fPln0vhZT1znNRSAIYmPd&#10;+4Z2Kfm6qiLrhIE4cl5YTEoXDCTchrbiAXpEN7qajscXVe8C98ExESOeroYkPSKGcwCdlIqJlWNb&#10;I2waUIPQkJBS7JSPdFmmlVKw9FbKKBLRDUWmqazYBONNXqvlAuo2gO8UO44A54zwiJMBZbHpCWoF&#10;Ccg2qH+gjGLBRSfTiDlTDUSKIshiMn6kzbsOvChcUOroT6LH/wfL3uzWgSje0BklFgw++P3nu5+f&#10;vv768QXX++/fyCyL1PtYY+2NXYfjLvp1yIz3MhgitfIf0U1FA2RF9kXiw0lisU+E4eF8fnl59RzV&#10;Z5i7mM3LC1QDSkbzIaZXwhmSg4ZqZbMAUMPudUzYGUv/lORjbUnf0Bfz6RwRAd0o0QUYGo+Mom3L&#10;3ei04rdK63wjhnZzowPZQXZE+TI/xP2rLDdZQeyGupIavNIJ4C8tJ+ngUSuLvwjNIxjBKdEC/6gc&#10;ISDUCZQ+pxJba5sviOLXI88s+CBxjjaOH/Cdtj6otkNdJmXmnEFflOmPHs7Ge7jH+OF/u/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iMwQNMAAAAEAQAADwAAAAAAAAABACAAAAAiAAAAZHJzL2Rv&#10;d25yZXYueG1sUEsBAhQAFAAAAAgAh07iQPj8sJsGAgAA/wMAAA4AAAAAAAAAAQAgAAAAIgEAAGRy&#10;cy9lMm9Eb2MueG1sUEsFBgAAAAAGAAYAWQEAAJo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pacing w:val="-11"/>
          <w:sz w:val="28"/>
          <w:szCs w:val="28"/>
        </w:rPr>
        <w:t>新疆生产建设兵团第七师胡杨河市生态环境局</w:t>
      </w:r>
      <w:r>
        <w:rPr>
          <w:rFonts w:hint="default" w:ascii="Times New Roman" w:hAnsi="Times New Roman" w:eastAsia="仿宋_GB2312" w:cs="Times New Roman"/>
          <w:color w:val="FF0000"/>
          <w:sz w:val="28"/>
          <w:szCs w:val="28"/>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202</w:t>
      </w:r>
      <w:r>
        <w:rPr>
          <w:rFonts w:hint="eastAsia"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年</w:t>
      </w:r>
      <w:r>
        <w:rPr>
          <w:rFonts w:hint="eastAsia"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rPr>
        <w:t>月</w:t>
      </w:r>
      <w:r>
        <w:rPr>
          <w:rFonts w:hint="eastAsia"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rPr>
        <w:t>日印发</w:t>
      </w:r>
    </w:p>
    <w:sectPr>
      <w:headerReference r:id="rId3" w:type="default"/>
      <w:footerReference r:id="rId4" w:type="default"/>
      <w:footerReference r:id="rId5" w:type="even"/>
      <w:pgSz w:w="11906" w:h="16838"/>
      <w:pgMar w:top="2098" w:right="1474" w:bottom="1984" w:left="1587" w:header="851" w:footer="1418" w:gutter="0"/>
      <w:pgNumType w:fmt="decimal"/>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ronet">
    <w:altName w:val="微软雅黑"/>
    <w:panose1 w:val="00000000000000000000"/>
    <w:charset w:val="00"/>
    <w:family w:val="script"/>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66150">
    <w:pPr>
      <w:pStyle w:val="1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219075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3E986">
                          <w:pPr>
                            <w:pStyle w:val="14"/>
                            <w:ind w:left="320" w:leftChars="100" w:right="320" w:rightChars="100"/>
                            <w:rPr>
                              <w:rStyle w:val="25"/>
                              <w:rFonts w:hint="eastAsia" w:ascii="仿宋_GB2312" w:eastAsia="仿宋_GB2312"/>
                              <w:b/>
                              <w:bCs/>
                              <w:sz w:val="28"/>
                              <w:szCs w:val="28"/>
                            </w:rPr>
                          </w:pPr>
                          <w:r>
                            <w:rPr>
                              <w:rStyle w:val="25"/>
                              <w:rFonts w:hint="eastAsia" w:ascii="仿宋_GB2312" w:eastAsia="仿宋_GB2312"/>
                              <w:sz w:val="28"/>
                              <w:szCs w:val="28"/>
                            </w:rPr>
                            <w:t xml:space="preserve">— </w:t>
                          </w:r>
                          <w:r>
                            <w:rPr>
                              <w:rFonts w:hint="eastAsia" w:ascii="仿宋_GB2312" w:eastAsia="仿宋_GB2312"/>
                              <w:sz w:val="28"/>
                              <w:szCs w:val="28"/>
                            </w:rPr>
                            <w:fldChar w:fldCharType="begin"/>
                          </w:r>
                          <w:r>
                            <w:rPr>
                              <w:rStyle w:val="25"/>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25"/>
                              <w:rFonts w:ascii="仿宋_GB2312" w:eastAsia="仿宋_GB2312"/>
                              <w:sz w:val="28"/>
                              <w:szCs w:val="28"/>
                            </w:rPr>
                            <w:t>1</w:t>
                          </w:r>
                          <w:r>
                            <w:rPr>
                              <w:rFonts w:hint="eastAsia" w:ascii="仿宋_GB2312" w:eastAsia="仿宋_GB2312"/>
                              <w:sz w:val="28"/>
                              <w:szCs w:val="28"/>
                            </w:rPr>
                            <w:fldChar w:fldCharType="end"/>
                          </w:r>
                          <w:r>
                            <w:rPr>
                              <w:rStyle w:val="25"/>
                              <w:rFonts w:hint="eastAsia" w:ascii="仿宋_GB2312" w:eastAsia="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7.25pt;height:144pt;width:144pt;mso-position-horizontal:outside;mso-position-horizontal-relative:margin;mso-wrap-style:none;z-index:251659264;mso-width-relative:page;mso-height-relative:page;" filled="f" stroked="f" coordsize="21600,21600" o:gfxdata="UEsDBAoAAAAAAIdO4kAAAAAAAAAAAAAAAAAEAAAAZHJzL1BLAwQUAAAACACHTuJAF/LxMNQAAAAH&#10;AQAADwAAAGRycy9kb3ducmV2LnhtbE2PwU7DMBBE70j8g7VI3KjTtEVRiFOJinBEouHA0Y2XJGCv&#10;I9tNw9+znOA4M6uZt9V+cVbMGOLoScF6lYFA6rwZqVfw1jZ3BYiYNBltPaGCb4ywr6+vKl0af6FX&#10;nI+pF1xCsdQKhpSmUsrYDeh0XPkJibMPH5xOLEMvTdAXLndW5ll2L50eiRcGPeFhwO7reHYKDk3b&#10;hhljsO/43Gw+Xx63+LQodXuzzh5AJFzS3zH84jM61Mx08mcyUVgF/EhSsNnuQHCaFwUbJzbyfAey&#10;ruR//voH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LxMNQAAAAH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3EF3E986">
                    <w:pPr>
                      <w:pStyle w:val="14"/>
                      <w:ind w:left="320" w:leftChars="100" w:right="320" w:rightChars="100"/>
                      <w:rPr>
                        <w:rStyle w:val="25"/>
                        <w:rFonts w:hint="eastAsia" w:ascii="仿宋_GB2312" w:eastAsia="仿宋_GB2312"/>
                        <w:b/>
                        <w:bCs/>
                        <w:sz w:val="28"/>
                        <w:szCs w:val="28"/>
                      </w:rPr>
                    </w:pPr>
                    <w:r>
                      <w:rPr>
                        <w:rStyle w:val="25"/>
                        <w:rFonts w:hint="eastAsia" w:ascii="仿宋_GB2312" w:eastAsia="仿宋_GB2312"/>
                        <w:sz w:val="28"/>
                        <w:szCs w:val="28"/>
                      </w:rPr>
                      <w:t xml:space="preserve">— </w:t>
                    </w:r>
                    <w:r>
                      <w:rPr>
                        <w:rFonts w:hint="eastAsia" w:ascii="仿宋_GB2312" w:eastAsia="仿宋_GB2312"/>
                        <w:sz w:val="28"/>
                        <w:szCs w:val="28"/>
                      </w:rPr>
                      <w:fldChar w:fldCharType="begin"/>
                    </w:r>
                    <w:r>
                      <w:rPr>
                        <w:rStyle w:val="25"/>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25"/>
                        <w:rFonts w:ascii="仿宋_GB2312" w:eastAsia="仿宋_GB2312"/>
                        <w:sz w:val="28"/>
                        <w:szCs w:val="28"/>
                      </w:rPr>
                      <w:t>1</w:t>
                    </w:r>
                    <w:r>
                      <w:rPr>
                        <w:rFonts w:hint="eastAsia" w:ascii="仿宋_GB2312" w:eastAsia="仿宋_GB2312"/>
                        <w:sz w:val="28"/>
                        <w:szCs w:val="28"/>
                      </w:rPr>
                      <w:fldChar w:fldCharType="end"/>
                    </w:r>
                    <w:r>
                      <w:rPr>
                        <w:rStyle w:val="25"/>
                        <w:rFonts w:hint="eastAsia" w:ascii="仿宋_GB2312" w:eastAsia="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7F3F2">
    <w:pPr>
      <w:pStyle w:val="14"/>
      <w:framePr w:wrap="around" w:vAnchor="text" w:hAnchor="margin" w:xAlign="outside" w:y="1"/>
      <w:rPr>
        <w:rStyle w:val="25"/>
      </w:rPr>
    </w:pPr>
    <w:r>
      <w:fldChar w:fldCharType="begin"/>
    </w:r>
    <w:r>
      <w:rPr>
        <w:rStyle w:val="25"/>
      </w:rPr>
      <w:instrText xml:space="preserve">PAGE  </w:instrText>
    </w:r>
    <w:r>
      <w:fldChar w:fldCharType="separate"/>
    </w:r>
    <w:r>
      <w:rPr>
        <w:rStyle w:val="25"/>
      </w:rPr>
      <w:t>1</w:t>
    </w:r>
    <w:r>
      <w:fldChar w:fldCharType="end"/>
    </w:r>
  </w:p>
  <w:p w14:paraId="0475D362">
    <w:pPr>
      <w:pStyle w:val="1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9CAC5">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401AFB"/>
    <w:multiLevelType w:val="multilevel"/>
    <w:tmpl w:val="7F401AFB"/>
    <w:lvl w:ilvl="0" w:tentative="0">
      <w:start w:val="1"/>
      <w:numFmt w:val="decimal"/>
      <w:pStyle w:val="3"/>
      <w:suff w:val="space"/>
      <w:lvlText w:val="%1"/>
      <w:lvlJc w:val="center"/>
      <w:pPr>
        <w:ind w:left="0" w:firstLine="0"/>
      </w:pPr>
      <w:rPr>
        <w:rFonts w:hint="default" w:ascii="Times New Roman" w:hAnsi="Times New Roman" w:eastAsia="宋体"/>
        <w:b/>
        <w:i w:val="0"/>
        <w:caps w:val="0"/>
        <w:strike w:val="0"/>
        <w:dstrike w:val="0"/>
        <w:vanish w:val="0"/>
        <w:color w:val="auto"/>
        <w:sz w:val="28"/>
        <w:szCs w:val="32"/>
        <w:u w:val="none"/>
        <w:vertAlign w:val="baseline"/>
      </w:rPr>
    </w:lvl>
    <w:lvl w:ilvl="1" w:tentative="0">
      <w:start w:val="1"/>
      <w:numFmt w:val="decimal"/>
      <w:isLgl/>
      <w:suff w:val="space"/>
      <w:lvlText w:val="%1.%2"/>
      <w:lvlJc w:val="left"/>
      <w:pPr>
        <w:ind w:left="0" w:firstLine="0"/>
      </w:pPr>
      <w:rPr>
        <w:rFonts w:hint="default" w:ascii="Times New Roman" w:hAnsi="Times New Roman" w:eastAsia="宋体"/>
        <w:b/>
        <w:i w:val="0"/>
        <w:caps w:val="0"/>
        <w:smallCaps w:val="0"/>
        <w:strike w:val="0"/>
        <w:dstrike w:val="0"/>
        <w:vanish w:val="0"/>
        <w:spacing w:val="0"/>
        <w:position w:val="0"/>
        <w:sz w:val="24"/>
        <w:u w:val="none"/>
        <w:vertAlign w:val="baseline"/>
      </w:rPr>
    </w:lvl>
    <w:lvl w:ilvl="2" w:tentative="0">
      <w:start w:val="1"/>
      <w:numFmt w:val="decimal"/>
      <w:suff w:val="space"/>
      <w:lvlText w:val="%1.%2.%3"/>
      <w:lvlJc w:val="left"/>
      <w:pPr>
        <w:ind w:left="280" w:firstLine="0"/>
      </w:pPr>
      <w:rPr>
        <w:rFonts w:hint="default" w:ascii="Times New Roman" w:hAnsi="Times New Roman" w:eastAsia="宋体"/>
        <w:b w:val="0"/>
        <w:i w:val="0"/>
        <w:caps w:val="0"/>
        <w:strike w:val="0"/>
        <w:dstrike w:val="0"/>
        <w:vanish w:val="0"/>
        <w:color w:val="auto"/>
        <w:sz w:val="24"/>
        <w:szCs w:val="28"/>
        <w:u w:val="none"/>
        <w:vertAlign w:val="baseline"/>
      </w:rPr>
    </w:lvl>
    <w:lvl w:ilvl="3" w:tentative="0">
      <w:start w:val="1"/>
      <w:numFmt w:val="decimal"/>
      <w:isLgl/>
      <w:suff w:val="space"/>
      <w:lvlText w:val="%1.%2.%3.%4"/>
      <w:lvlJc w:val="left"/>
      <w:pPr>
        <w:ind w:left="0" w:firstLine="0"/>
      </w:pPr>
      <w:rPr>
        <w:rFonts w:hint="default" w:ascii="Times New Roman" w:hAnsi="Times New Roman" w:eastAsia="宋体" w:cs="Coronet"/>
        <w:b w:val="0"/>
        <w:bCs w:val="0"/>
        <w:i w:val="0"/>
        <w:iCs w:val="0"/>
        <w:caps w:val="0"/>
        <w:smallCaps w:val="0"/>
        <w:strike w:val="0"/>
        <w:dstrike w:val="0"/>
        <w:vanish w:val="0"/>
        <w:spacing w:val="0"/>
        <w:kern w:val="0"/>
        <w:position w:val="0"/>
        <w:u w:val="none"/>
        <w:vertAlign w:val="baseline"/>
        <w:lang w:val="en-US"/>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1NzQzYjNhYTE2OGQ5MDI4ZjFiOTZkOTM2ZTYxYzcifQ=="/>
    <w:docVar w:name="KSO_WPS_MARK_KEY" w:val="d26b9c51-6e15-4a45-9ce6-093b6e674425"/>
  </w:docVars>
  <w:rsids>
    <w:rsidRoot w:val="007E248D"/>
    <w:rsid w:val="003C56A9"/>
    <w:rsid w:val="004964B4"/>
    <w:rsid w:val="004E2243"/>
    <w:rsid w:val="00551627"/>
    <w:rsid w:val="00667BE7"/>
    <w:rsid w:val="006E0941"/>
    <w:rsid w:val="00716EAB"/>
    <w:rsid w:val="007E248D"/>
    <w:rsid w:val="008833E6"/>
    <w:rsid w:val="008E7DDF"/>
    <w:rsid w:val="009102E5"/>
    <w:rsid w:val="009C6F11"/>
    <w:rsid w:val="00B8473B"/>
    <w:rsid w:val="00BB7897"/>
    <w:rsid w:val="00C43B00"/>
    <w:rsid w:val="00C514AC"/>
    <w:rsid w:val="00D003EC"/>
    <w:rsid w:val="00D774FB"/>
    <w:rsid w:val="00DC26F3"/>
    <w:rsid w:val="00DE4A81"/>
    <w:rsid w:val="00EC6E6C"/>
    <w:rsid w:val="00F617BE"/>
    <w:rsid w:val="00FB12F8"/>
    <w:rsid w:val="01913DF5"/>
    <w:rsid w:val="02370362"/>
    <w:rsid w:val="02B04EBD"/>
    <w:rsid w:val="02DD1A2B"/>
    <w:rsid w:val="03752488"/>
    <w:rsid w:val="046775AC"/>
    <w:rsid w:val="04B77D73"/>
    <w:rsid w:val="05207129"/>
    <w:rsid w:val="05737345"/>
    <w:rsid w:val="06281A38"/>
    <w:rsid w:val="06C71389"/>
    <w:rsid w:val="06CC7B06"/>
    <w:rsid w:val="07061550"/>
    <w:rsid w:val="07E14CFA"/>
    <w:rsid w:val="081F0F86"/>
    <w:rsid w:val="08EC6D80"/>
    <w:rsid w:val="0994708F"/>
    <w:rsid w:val="09E77F18"/>
    <w:rsid w:val="0BBC2B25"/>
    <w:rsid w:val="0BC649E1"/>
    <w:rsid w:val="0C7E602C"/>
    <w:rsid w:val="0CE57E5A"/>
    <w:rsid w:val="0E130163"/>
    <w:rsid w:val="0E7B0A75"/>
    <w:rsid w:val="0EDB59B8"/>
    <w:rsid w:val="0F0F11BE"/>
    <w:rsid w:val="0FE304CE"/>
    <w:rsid w:val="117F3F9C"/>
    <w:rsid w:val="128F6BA3"/>
    <w:rsid w:val="12C7072D"/>
    <w:rsid w:val="141E2CF7"/>
    <w:rsid w:val="15437E13"/>
    <w:rsid w:val="16733296"/>
    <w:rsid w:val="16B800EE"/>
    <w:rsid w:val="16E15B36"/>
    <w:rsid w:val="16F05D79"/>
    <w:rsid w:val="177121A0"/>
    <w:rsid w:val="17D3547E"/>
    <w:rsid w:val="18A773D4"/>
    <w:rsid w:val="18C9062F"/>
    <w:rsid w:val="19341F4D"/>
    <w:rsid w:val="19A10D50"/>
    <w:rsid w:val="1A597231"/>
    <w:rsid w:val="1D8B05A9"/>
    <w:rsid w:val="1E460B4D"/>
    <w:rsid w:val="1E7948A6"/>
    <w:rsid w:val="1F7532BF"/>
    <w:rsid w:val="203531CA"/>
    <w:rsid w:val="205C4B20"/>
    <w:rsid w:val="206D75FA"/>
    <w:rsid w:val="20783D41"/>
    <w:rsid w:val="209D487B"/>
    <w:rsid w:val="21162F81"/>
    <w:rsid w:val="21DD6837"/>
    <w:rsid w:val="21E309B4"/>
    <w:rsid w:val="2250591D"/>
    <w:rsid w:val="22794E74"/>
    <w:rsid w:val="232E3EB1"/>
    <w:rsid w:val="233D7B4C"/>
    <w:rsid w:val="23D22A8E"/>
    <w:rsid w:val="23DC56BB"/>
    <w:rsid w:val="23E10AC4"/>
    <w:rsid w:val="24057B5F"/>
    <w:rsid w:val="24696853"/>
    <w:rsid w:val="24765B0F"/>
    <w:rsid w:val="247C78BD"/>
    <w:rsid w:val="250B5DC7"/>
    <w:rsid w:val="256C6F12"/>
    <w:rsid w:val="25B11864"/>
    <w:rsid w:val="260C6FC7"/>
    <w:rsid w:val="266546C4"/>
    <w:rsid w:val="291034DE"/>
    <w:rsid w:val="29C272F2"/>
    <w:rsid w:val="2B066B68"/>
    <w:rsid w:val="2B665A9B"/>
    <w:rsid w:val="2BA03F96"/>
    <w:rsid w:val="2C2240F7"/>
    <w:rsid w:val="2DFB7085"/>
    <w:rsid w:val="2F130EE6"/>
    <w:rsid w:val="2F1F6DA3"/>
    <w:rsid w:val="2F234AE5"/>
    <w:rsid w:val="2F2B3664"/>
    <w:rsid w:val="2F306B60"/>
    <w:rsid w:val="2F57653D"/>
    <w:rsid w:val="2FEE4162"/>
    <w:rsid w:val="301A5EE8"/>
    <w:rsid w:val="31857392"/>
    <w:rsid w:val="32C5491C"/>
    <w:rsid w:val="331F7372"/>
    <w:rsid w:val="358F67ED"/>
    <w:rsid w:val="35927151"/>
    <w:rsid w:val="369167D9"/>
    <w:rsid w:val="371F1D45"/>
    <w:rsid w:val="37A75B88"/>
    <w:rsid w:val="38207142"/>
    <w:rsid w:val="38453BBB"/>
    <w:rsid w:val="396C7089"/>
    <w:rsid w:val="39A80255"/>
    <w:rsid w:val="3A783EEF"/>
    <w:rsid w:val="3BAC6099"/>
    <w:rsid w:val="3C25479F"/>
    <w:rsid w:val="3C814BF9"/>
    <w:rsid w:val="3D2A7F67"/>
    <w:rsid w:val="3D7076AF"/>
    <w:rsid w:val="3DD64512"/>
    <w:rsid w:val="3E322D18"/>
    <w:rsid w:val="3E900D0A"/>
    <w:rsid w:val="3EC1562C"/>
    <w:rsid w:val="3F0E35AF"/>
    <w:rsid w:val="3F4E158E"/>
    <w:rsid w:val="407209E5"/>
    <w:rsid w:val="41585AC3"/>
    <w:rsid w:val="4419237E"/>
    <w:rsid w:val="45D948F4"/>
    <w:rsid w:val="461D5993"/>
    <w:rsid w:val="46F24DE3"/>
    <w:rsid w:val="474D04FA"/>
    <w:rsid w:val="47587B93"/>
    <w:rsid w:val="475F0927"/>
    <w:rsid w:val="47D76015"/>
    <w:rsid w:val="47E96F77"/>
    <w:rsid w:val="4812529F"/>
    <w:rsid w:val="48776584"/>
    <w:rsid w:val="4936052D"/>
    <w:rsid w:val="493F20C4"/>
    <w:rsid w:val="4970227E"/>
    <w:rsid w:val="4A1609FB"/>
    <w:rsid w:val="4AB55994"/>
    <w:rsid w:val="4B9F5BD0"/>
    <w:rsid w:val="4CBF17F2"/>
    <w:rsid w:val="4CCA458A"/>
    <w:rsid w:val="4EA3604D"/>
    <w:rsid w:val="4F0E67C1"/>
    <w:rsid w:val="4FFE5147"/>
    <w:rsid w:val="50C2181E"/>
    <w:rsid w:val="50CC6933"/>
    <w:rsid w:val="50CD705E"/>
    <w:rsid w:val="51134562"/>
    <w:rsid w:val="52E568E7"/>
    <w:rsid w:val="532B39C5"/>
    <w:rsid w:val="54231BA0"/>
    <w:rsid w:val="54CF69F2"/>
    <w:rsid w:val="550F6DEF"/>
    <w:rsid w:val="562D5084"/>
    <w:rsid w:val="56B572CC"/>
    <w:rsid w:val="56E16569"/>
    <w:rsid w:val="56F42E4F"/>
    <w:rsid w:val="596F60AE"/>
    <w:rsid w:val="5A605F4A"/>
    <w:rsid w:val="5A885A96"/>
    <w:rsid w:val="5AA77AC9"/>
    <w:rsid w:val="5B637E94"/>
    <w:rsid w:val="5B9C5154"/>
    <w:rsid w:val="5BF921B1"/>
    <w:rsid w:val="5C1B42CB"/>
    <w:rsid w:val="5CB62246"/>
    <w:rsid w:val="5CBD2518"/>
    <w:rsid w:val="5CBD6510"/>
    <w:rsid w:val="5D8B722E"/>
    <w:rsid w:val="5EF808F3"/>
    <w:rsid w:val="609006D2"/>
    <w:rsid w:val="610E0E65"/>
    <w:rsid w:val="63D83CD1"/>
    <w:rsid w:val="63F87D72"/>
    <w:rsid w:val="64C86FBA"/>
    <w:rsid w:val="652E506F"/>
    <w:rsid w:val="654C1999"/>
    <w:rsid w:val="660E4EA0"/>
    <w:rsid w:val="66A60DD7"/>
    <w:rsid w:val="66BE66CF"/>
    <w:rsid w:val="677F3533"/>
    <w:rsid w:val="68991CEA"/>
    <w:rsid w:val="6A2C3B47"/>
    <w:rsid w:val="6AC439C0"/>
    <w:rsid w:val="6ADC4BA2"/>
    <w:rsid w:val="6B762AC2"/>
    <w:rsid w:val="6B997D40"/>
    <w:rsid w:val="6C054650"/>
    <w:rsid w:val="6C4C04D0"/>
    <w:rsid w:val="6C711CE5"/>
    <w:rsid w:val="6D272415"/>
    <w:rsid w:val="6D561607"/>
    <w:rsid w:val="6D904215"/>
    <w:rsid w:val="6E7D6F40"/>
    <w:rsid w:val="6E8623AE"/>
    <w:rsid w:val="6F065AB6"/>
    <w:rsid w:val="70205EFC"/>
    <w:rsid w:val="70787AE6"/>
    <w:rsid w:val="71535E5D"/>
    <w:rsid w:val="721320EC"/>
    <w:rsid w:val="73323C81"/>
    <w:rsid w:val="734D62FA"/>
    <w:rsid w:val="73510DAC"/>
    <w:rsid w:val="7388211F"/>
    <w:rsid w:val="745A0337"/>
    <w:rsid w:val="748F3650"/>
    <w:rsid w:val="76DD68F5"/>
    <w:rsid w:val="76FA7D0E"/>
    <w:rsid w:val="77B21B30"/>
    <w:rsid w:val="780A371A"/>
    <w:rsid w:val="786F7A21"/>
    <w:rsid w:val="79621333"/>
    <w:rsid w:val="798C319D"/>
    <w:rsid w:val="79A731EA"/>
    <w:rsid w:val="79E166FC"/>
    <w:rsid w:val="79F35C8E"/>
    <w:rsid w:val="7A85778D"/>
    <w:rsid w:val="7BA55F94"/>
    <w:rsid w:val="7C460A98"/>
    <w:rsid w:val="7C7A4BE6"/>
    <w:rsid w:val="7CE3278B"/>
    <w:rsid w:val="7D155CFE"/>
    <w:rsid w:val="7D7B4DE1"/>
    <w:rsid w:val="7EB24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3">
    <w:name w:val="heading 1"/>
    <w:basedOn w:val="1"/>
    <w:next w:val="1"/>
    <w:qFormat/>
    <w:uiPriority w:val="0"/>
    <w:pPr>
      <w:keepNext/>
      <w:keepLines/>
      <w:numPr>
        <w:ilvl w:val="0"/>
        <w:numId w:val="1"/>
      </w:numPr>
      <w:outlineLvl w:val="0"/>
    </w:pPr>
    <w:rPr>
      <w:b/>
      <w:kern w:val="0"/>
      <w:sz w:val="28"/>
      <w:szCs w:val="28"/>
    </w:rPr>
  </w:style>
  <w:style w:type="paragraph" w:styleId="4">
    <w:name w:val="heading 2"/>
    <w:basedOn w:val="1"/>
    <w:next w:val="1"/>
    <w:qFormat/>
    <w:uiPriority w:val="0"/>
    <w:pPr>
      <w:keepNext/>
      <w:keepLines/>
      <w:widowControl w:val="0"/>
      <w:spacing w:before="50" w:beforeLines="50" w:after="50" w:afterLines="50" w:line="560" w:lineRule="exact"/>
      <w:ind w:firstLine="640" w:firstLineChars="200"/>
      <w:outlineLvl w:val="1"/>
    </w:pPr>
    <w:rPr>
      <w:rFonts w:ascii="仿宋" w:hAnsi="宋体" w:eastAsia="楷体" w:cs="仿宋"/>
      <w:b/>
      <w:bCs/>
      <w:kern w:val="2"/>
      <w:sz w:val="36"/>
      <w:szCs w:val="32"/>
      <w:lang w:val="en-US" w:eastAsia="zh-CN" w:bidi="ar-SA"/>
    </w:rPr>
  </w:style>
  <w:style w:type="paragraph" w:styleId="5">
    <w:name w:val="heading 3"/>
    <w:basedOn w:val="1"/>
    <w:next w:val="1"/>
    <w:qFormat/>
    <w:uiPriority w:val="0"/>
    <w:pPr>
      <w:keepNext/>
      <w:keepLines/>
      <w:spacing w:line="360" w:lineRule="auto"/>
      <w:ind w:firstLine="200" w:firstLineChars="200"/>
      <w:outlineLvl w:val="2"/>
    </w:pPr>
    <w:rPr>
      <w:bCs/>
      <w:szCs w:val="28"/>
    </w:rPr>
  </w:style>
  <w:style w:type="paragraph" w:styleId="2">
    <w:name w:val="heading 4"/>
    <w:basedOn w:val="1"/>
    <w:next w:val="1"/>
    <w:qFormat/>
    <w:uiPriority w:val="9"/>
    <w:pPr>
      <w:keepNext/>
      <w:spacing w:line="360" w:lineRule="auto"/>
      <w:ind w:firstLine="200" w:firstLineChars="200"/>
      <w:outlineLvl w:val="3"/>
    </w:pPr>
    <w:rPr>
      <w:b/>
      <w:sz w:val="24"/>
    </w:rPr>
  </w:style>
  <w:style w:type="character" w:default="1" w:styleId="24">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宋体" w:hAnsi="宋体"/>
    </w:rPr>
  </w:style>
  <w:style w:type="paragraph" w:styleId="7">
    <w:name w:val="index 5"/>
    <w:basedOn w:val="1"/>
    <w:next w:val="1"/>
    <w:qFormat/>
    <w:uiPriority w:val="0"/>
    <w:pPr>
      <w:ind w:left="800" w:leftChars="800"/>
    </w:pPr>
  </w:style>
  <w:style w:type="paragraph" w:styleId="8">
    <w:name w:val="Body Text"/>
    <w:basedOn w:val="1"/>
    <w:next w:val="9"/>
    <w:qFormat/>
    <w:uiPriority w:val="0"/>
    <w:rPr>
      <w:rFonts w:eastAsia="华文中宋"/>
      <w:b/>
      <w:bCs/>
      <w:w w:val="90"/>
      <w:sz w:val="44"/>
    </w:rPr>
  </w:style>
  <w:style w:type="paragraph" w:customStyle="1" w:styleId="9">
    <w:name w:val="Default"/>
    <w:basedOn w:val="10"/>
    <w:next w:val="1"/>
    <w:unhideWhenUsed/>
    <w:qFormat/>
    <w:uiPriority w:val="0"/>
    <w:pPr>
      <w:tabs>
        <w:tab w:val="left" w:pos="2760"/>
      </w:tabs>
      <w:autoSpaceDE w:val="0"/>
      <w:autoSpaceDN w:val="0"/>
    </w:pPr>
    <w:rPr>
      <w:rFonts w:hAnsi="宋体" w:eastAsia="宋体"/>
      <w:color w:val="000000"/>
      <w:sz w:val="24"/>
    </w:rPr>
  </w:style>
  <w:style w:type="paragraph" w:customStyle="1" w:styleId="10">
    <w:name w:val="纯文本1"/>
    <w:basedOn w:val="1"/>
    <w:qFormat/>
    <w:uiPriority w:val="0"/>
    <w:pPr>
      <w:tabs>
        <w:tab w:val="left" w:pos="2760"/>
      </w:tabs>
      <w:adjustRightInd w:val="0"/>
    </w:pPr>
    <w:rPr>
      <w:rFonts w:ascii="宋体" w:hAnsi="Courier New"/>
    </w:rPr>
  </w:style>
  <w:style w:type="paragraph" w:styleId="11">
    <w:name w:val="Body Text Indent"/>
    <w:basedOn w:val="1"/>
    <w:next w:val="8"/>
    <w:qFormat/>
    <w:uiPriority w:val="0"/>
    <w:pPr>
      <w:spacing w:after="120"/>
      <w:ind w:left="420" w:leftChars="200"/>
    </w:pPr>
  </w:style>
  <w:style w:type="paragraph" w:styleId="12">
    <w:name w:val="Block Text"/>
    <w:basedOn w:val="1"/>
    <w:next w:val="13"/>
    <w:qFormat/>
    <w:uiPriority w:val="99"/>
    <w:pPr>
      <w:spacing w:line="480" w:lineRule="exact"/>
      <w:ind w:left="-125" w:right="-56" w:firstLine="570"/>
    </w:pPr>
    <w:rPr>
      <w:sz w:val="28"/>
      <w:szCs w:val="24"/>
    </w:rPr>
  </w:style>
  <w:style w:type="paragraph" w:styleId="13">
    <w:name w:val="toc 9"/>
    <w:basedOn w:val="1"/>
    <w:next w:val="1"/>
    <w:qFormat/>
    <w:uiPriority w:val="39"/>
    <w:pPr>
      <w:jc w:val="center"/>
    </w:pPr>
    <w:rPr>
      <w:sz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rPr>
  </w:style>
  <w:style w:type="paragraph" w:styleId="16">
    <w:name w:val="index heading"/>
    <w:basedOn w:val="1"/>
    <w:next w:val="17"/>
    <w:qFormat/>
    <w:uiPriority w:val="0"/>
    <w:pPr>
      <w:widowControl/>
      <w:jc w:val="left"/>
    </w:pPr>
    <w:rPr>
      <w:rFonts w:ascii="Arial" w:hAnsi="Arial" w:cs="Arial"/>
      <w:b/>
      <w:bCs/>
      <w:kern w:val="0"/>
      <w:sz w:val="24"/>
    </w:rPr>
  </w:style>
  <w:style w:type="paragraph" w:styleId="17">
    <w:name w:val="index 1"/>
    <w:basedOn w:val="1"/>
    <w:next w:val="1"/>
    <w:qFormat/>
    <w:uiPriority w:val="0"/>
    <w:pPr>
      <w:spacing w:line="360" w:lineRule="auto"/>
      <w:jc w:val="center"/>
    </w:pPr>
  </w:style>
  <w:style w:type="paragraph" w:styleId="18">
    <w:name w:val="footnote text"/>
    <w:basedOn w:val="1"/>
    <w:next w:val="7"/>
    <w:unhideWhenUsed/>
    <w:qFormat/>
    <w:uiPriority w:val="99"/>
    <w:pPr>
      <w:snapToGrid w:val="0"/>
      <w:jc w:val="left"/>
    </w:pPr>
    <w:rPr>
      <w:rFonts w:ascii="Calibri" w:hAnsi="Calibri" w:eastAsia="仿宋" w:cs="Times New Roman"/>
      <w:sz w:val="18"/>
      <w:szCs w:val="18"/>
    </w:rPr>
  </w:style>
  <w:style w:type="paragraph" w:styleId="19">
    <w:name w:val="Body Text 2"/>
    <w:basedOn w:val="1"/>
    <w:unhideWhenUsed/>
    <w:qFormat/>
    <w:uiPriority w:val="99"/>
    <w:pPr>
      <w:spacing w:after="120" w:line="480" w:lineRule="auto"/>
    </w:p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Body Text First Indent"/>
    <w:basedOn w:val="8"/>
    <w:next w:val="22"/>
    <w:unhideWhenUsed/>
    <w:qFormat/>
    <w:uiPriority w:val="0"/>
    <w:pPr>
      <w:widowControl w:val="0"/>
      <w:kinsoku/>
      <w:autoSpaceDE/>
      <w:autoSpaceDN/>
      <w:spacing w:after="120" w:line="360" w:lineRule="auto"/>
      <w:ind w:firstLine="420" w:firstLineChars="100"/>
      <w:jc w:val="both"/>
      <w:textAlignment w:val="auto"/>
    </w:pPr>
    <w:rPr>
      <w:rFonts w:ascii="Times New Roman" w:hAnsi="Times New Roman" w:cs="Times New Roman"/>
      <w:color w:val="auto"/>
      <w:kern w:val="2"/>
      <w:sz w:val="24"/>
      <w:szCs w:val="24"/>
    </w:rPr>
  </w:style>
  <w:style w:type="paragraph" w:styleId="22">
    <w:name w:val="Body Text First Indent 2"/>
    <w:basedOn w:val="11"/>
    <w:next w:val="1"/>
    <w:qFormat/>
    <w:uiPriority w:val="0"/>
    <w:pPr>
      <w:adjustRightInd w:val="0"/>
      <w:spacing w:line="360" w:lineRule="atLeast"/>
      <w:ind w:left="0" w:leftChars="0" w:firstLine="210"/>
      <w:textAlignment w:val="baseline"/>
    </w:pPr>
    <w:rPr>
      <w:sz w:val="24"/>
    </w:rPr>
  </w:style>
  <w:style w:type="character" w:styleId="25">
    <w:name w:val="page number"/>
    <w:basedOn w:val="24"/>
    <w:qFormat/>
    <w:uiPriority w:val="0"/>
  </w:style>
  <w:style w:type="paragraph" w:customStyle="1" w:styleId="26">
    <w:name w:val="表头"/>
    <w:basedOn w:val="21"/>
    <w:next w:val="1"/>
    <w:qFormat/>
    <w:uiPriority w:val="0"/>
    <w:pPr>
      <w:jc w:val="center"/>
    </w:pPr>
    <w:rPr>
      <w:rFonts w:ascii="黑体" w:eastAsia="黑体"/>
      <w:kern w:val="0"/>
    </w:rPr>
  </w:style>
  <w:style w:type="paragraph" w:customStyle="1" w:styleId="27">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28">
    <w:name w:val="样式 首行缩进:  2 字符1"/>
    <w:basedOn w:val="1"/>
    <w:qFormat/>
    <w:uiPriority w:val="0"/>
    <w:pPr>
      <w:adjustRightInd w:val="0"/>
      <w:snapToGrid w:val="0"/>
      <w:ind w:firstLine="480"/>
    </w:pPr>
    <w:rPr>
      <w:rFonts w:cs="宋体"/>
      <w:szCs w:val="20"/>
    </w:rPr>
  </w:style>
  <w:style w:type="paragraph" w:customStyle="1" w:styleId="29">
    <w:name w:val="Char"/>
    <w:basedOn w:val="1"/>
    <w:qFormat/>
    <w:uiPriority w:val="0"/>
    <w:rPr>
      <w:rFonts w:cs="宋体"/>
      <w:sz w:val="28"/>
    </w:rPr>
  </w:style>
  <w:style w:type="paragraph" w:customStyle="1" w:styleId="30">
    <w:name w:val="YJ正文*"/>
    <w:basedOn w:val="1"/>
    <w:qFormat/>
    <w:uiPriority w:val="0"/>
    <w:pPr>
      <w:spacing w:line="500" w:lineRule="exact"/>
      <w:ind w:firstLine="200" w:firstLineChars="200"/>
      <w:jc w:val="both"/>
    </w:pPr>
    <w:rPr>
      <w:rFonts w:ascii="等线" w:hAnsi="等线" w:eastAsia="宋体"/>
      <w:sz w:val="24"/>
    </w:rPr>
  </w:style>
  <w:style w:type="paragraph" w:customStyle="1" w:styleId="31">
    <w:name w:val="表字-书"/>
    <w:basedOn w:val="1"/>
    <w:qFormat/>
    <w:uiPriority w:val="0"/>
    <w:pPr>
      <w:spacing w:line="240" w:lineRule="exact"/>
      <w:ind w:firstLine="0" w:firstLineChars="0"/>
      <w:jc w:val="center"/>
    </w:pPr>
    <w:rPr>
      <w:rFonts w:hAnsi="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2347</Words>
  <Characters>2591</Characters>
  <Lines>11</Lines>
  <Paragraphs>3</Paragraphs>
  <TotalTime>0</TotalTime>
  <ScaleCrop>false</ScaleCrop>
  <LinksUpToDate>false</LinksUpToDate>
  <CharactersWithSpaces>2630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2020-12-18T12:29:00Z</dcterms:created>
  <dc:creator>Administrator</dc:creator>
  <cp:lastModifiedBy>Floating dream </cp:lastModifiedBy>
  <cp:lastPrinted>2026-09-08T05:30:24Z</cp:lastPrinted>
  <dcterms:modified xsi:type="dcterms:W3CDTF">2026-09-08T05:32:36Z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CB184015E1444233AA761357A27D0E30_13</vt:lpwstr>
  </property>
  <property fmtid="{D5CDD505-2E9C-101B-9397-08002B2CF9AE}" pid="4" name="KSOTemplateDocerSaveRecord">
    <vt:lpwstr>eyJoZGlkIjoiODBjNzYxYmIzOWJkMDlmNzJmZjdjMmNkNDkzMGYxZDkiLCJ1c2VySWQiOiIzNjMzMTU4MzUifQ==</vt:lpwstr>
  </property>
</Properties>
</file>