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E394B">
      <w:pPr>
        <w:keepNext w:val="0"/>
        <w:keepLines w:val="0"/>
        <w:pageBreakBefore w:val="0"/>
        <w:widowControl w:val="0"/>
        <w:kinsoku/>
        <w:wordWrap/>
        <w:overflowPunct/>
        <w:topLinePunct w:val="0"/>
        <w:autoSpaceDE/>
        <w:autoSpaceDN/>
        <w:bidi w:val="0"/>
        <w:adjustRightInd/>
        <w:snapToGrid/>
        <w:spacing w:line="800" w:lineRule="exact"/>
        <w:textAlignment w:val="auto"/>
        <w:rPr>
          <w:rFonts w:hint="default" w:ascii="Times New Roman" w:hAnsi="Times New Roman" w:eastAsia="仿宋_GB2312" w:cs="Times New Roman"/>
          <w:snapToGrid w:val="0"/>
          <w:color w:val="auto"/>
          <w:kern w:val="0"/>
        </w:rPr>
      </w:pPr>
    </w:p>
    <w:p w14:paraId="60852BAE">
      <w:pPr>
        <w:tabs>
          <w:tab w:val="left" w:pos="8500"/>
        </w:tabs>
        <w:spacing w:line="600" w:lineRule="exact"/>
        <w:jc w:val="center"/>
        <w:rPr>
          <w:rFonts w:hint="default" w:ascii="Times New Roman" w:hAnsi="Times New Roman" w:eastAsia="仿宋_GB2312" w:cs="Times New Roman"/>
          <w:snapToGrid w:val="0"/>
          <w:color w:val="auto"/>
          <w:kern w:val="0"/>
          <w:szCs w:val="32"/>
          <w:highlight w:val="none"/>
        </w:rPr>
      </w:pPr>
      <w:r>
        <w:rPr>
          <w:rFonts w:hint="default" w:ascii="Times New Roman" w:hAnsi="Times New Roman" w:eastAsia="仿宋_GB2312" w:cs="Times New Roman"/>
          <w:snapToGrid w:val="0"/>
          <w:color w:val="auto"/>
          <w:kern w:val="0"/>
          <w:szCs w:val="32"/>
        </w:rPr>
        <w:t xml:space="preserve">                             </w:t>
      </w:r>
      <w:r>
        <w:rPr>
          <w:rFonts w:hint="default" w:ascii="Times New Roman" w:hAnsi="Times New Roman" w:eastAsia="仿宋_GB2312" w:cs="Times New Roman"/>
          <w:snapToGrid w:val="0"/>
          <w:color w:val="auto"/>
          <w:kern w:val="0"/>
          <w:szCs w:val="32"/>
          <w:highlight w:val="none"/>
        </w:rPr>
        <w:t xml:space="preserve">  </w:t>
      </w:r>
      <w:r>
        <w:rPr>
          <w:rFonts w:hint="default" w:ascii="Times New Roman" w:hAnsi="Times New Roman" w:eastAsia="仿宋_GB2312" w:cs="Times New Roman"/>
          <w:snapToGrid w:val="0"/>
          <w:color w:val="auto"/>
          <w:kern w:val="0"/>
          <w:szCs w:val="32"/>
          <w:highlight w:val="none"/>
          <w:lang w:val="en-US" w:eastAsia="zh-CN"/>
        </w:rPr>
        <w:t xml:space="preserve">  </w:t>
      </w:r>
      <w:r>
        <w:rPr>
          <w:rFonts w:hint="default" w:ascii="Times New Roman" w:hAnsi="Times New Roman" w:eastAsia="仿宋_GB2312" w:cs="Times New Roman"/>
          <w:snapToGrid w:val="0"/>
          <w:color w:val="auto"/>
          <w:kern w:val="0"/>
          <w:szCs w:val="32"/>
          <w:highlight w:val="none"/>
        </w:rPr>
        <w:t>师市环审〔202</w:t>
      </w:r>
      <w:r>
        <w:rPr>
          <w:rFonts w:hint="default" w:ascii="Times New Roman" w:hAnsi="Times New Roman" w:eastAsia="仿宋_GB2312" w:cs="Times New Roman"/>
          <w:snapToGrid w:val="0"/>
          <w:color w:val="auto"/>
          <w:kern w:val="0"/>
          <w:szCs w:val="32"/>
          <w:highlight w:val="none"/>
          <w:lang w:val="en-US" w:eastAsia="zh-CN"/>
        </w:rPr>
        <w:t>6</w:t>
      </w:r>
      <w:r>
        <w:rPr>
          <w:rFonts w:hint="default" w:ascii="Times New Roman" w:hAnsi="Times New Roman" w:eastAsia="仿宋_GB2312" w:cs="Times New Roman"/>
          <w:snapToGrid w:val="0"/>
          <w:color w:val="auto"/>
          <w:kern w:val="0"/>
          <w:szCs w:val="32"/>
          <w:highlight w:val="none"/>
        </w:rPr>
        <w:t>〕</w:t>
      </w:r>
      <w:r>
        <w:rPr>
          <w:rFonts w:hint="eastAsia" w:eastAsia="仿宋_GB2312" w:cs="Times New Roman"/>
          <w:snapToGrid w:val="0"/>
          <w:color w:val="auto"/>
          <w:kern w:val="0"/>
          <w:szCs w:val="32"/>
          <w:highlight w:val="none"/>
          <w:lang w:val="en-US" w:eastAsia="zh-CN"/>
        </w:rPr>
        <w:t>42</w:t>
      </w:r>
      <w:r>
        <w:rPr>
          <w:rFonts w:hint="default" w:ascii="Times New Roman" w:hAnsi="Times New Roman" w:eastAsia="仿宋_GB2312" w:cs="Times New Roman"/>
          <w:snapToGrid w:val="0"/>
          <w:color w:val="auto"/>
          <w:kern w:val="0"/>
          <w:szCs w:val="32"/>
          <w:highlight w:val="none"/>
        </w:rPr>
        <w:t>号</w:t>
      </w:r>
    </w:p>
    <w:p w14:paraId="7E66B2A4">
      <w:pPr>
        <w:spacing w:line="600" w:lineRule="exact"/>
        <w:rPr>
          <w:rFonts w:hint="default" w:ascii="Times New Roman" w:hAnsi="Times New Roman" w:eastAsia="仿宋_GB2312" w:cs="Times New Roman"/>
          <w:snapToGrid w:val="0"/>
          <w:color w:val="auto"/>
          <w:kern w:val="0"/>
          <w:sz w:val="30"/>
          <w:highlight w:val="none"/>
        </w:rPr>
      </w:pPr>
    </w:p>
    <w:p w14:paraId="6A46747D">
      <w:pPr>
        <w:spacing w:line="600" w:lineRule="exact"/>
        <w:jc w:val="center"/>
        <w:rPr>
          <w:rFonts w:hint="default" w:ascii="Times New Roman" w:hAnsi="Times New Roman" w:eastAsia="仿宋_GB2312" w:cs="Times New Roman"/>
          <w:color w:val="auto"/>
          <w:kern w:val="0"/>
          <w:szCs w:val="32"/>
          <w:highlight w:val="none"/>
        </w:rPr>
      </w:pPr>
      <w:r>
        <w:rPr>
          <w:rFonts w:hint="default" w:ascii="Times New Roman" w:hAnsi="Times New Roman" w:eastAsia="方正小标宋简体" w:cs="Times New Roman"/>
          <w:color w:val="auto"/>
          <w:sz w:val="44"/>
          <w:szCs w:val="44"/>
          <w:highlight w:val="none"/>
          <w:lang w:val="zh-CN"/>
        </w:rPr>
        <w:t>关</w:t>
      </w:r>
      <w:r>
        <w:rPr>
          <w:rFonts w:hint="eastAsia" w:ascii="方正小标宋简体" w:hAnsi="方正小标宋简体" w:eastAsia="方正小标宋简体" w:cs="方正小标宋简体"/>
          <w:color w:val="auto"/>
          <w:sz w:val="44"/>
          <w:szCs w:val="44"/>
          <w:highlight w:val="none"/>
          <w:lang w:val="zh-CN"/>
        </w:rPr>
        <w:t>于</w:t>
      </w:r>
      <w:r>
        <w:rPr>
          <w:rFonts w:hint="eastAsia" w:ascii="Times New Roman" w:hAnsi="Times New Roman" w:eastAsia="方正小标宋简体"/>
          <w:bCs/>
          <w:color w:val="auto"/>
          <w:sz w:val="44"/>
          <w:szCs w:val="44"/>
          <w:lang w:val="zh-CN" w:bidi="ar"/>
        </w:rPr>
        <w:t>新疆家融环保科技发展有限公司节能降碳升级改造项目环境影响报告</w:t>
      </w:r>
      <w:r>
        <w:rPr>
          <w:rFonts w:hint="eastAsia" w:ascii="Times New Roman" w:hAnsi="Times New Roman" w:eastAsia="方正小标宋简体"/>
          <w:bCs/>
          <w:color w:val="auto"/>
          <w:sz w:val="44"/>
          <w:szCs w:val="44"/>
          <w:lang w:bidi="ar"/>
        </w:rPr>
        <w:t>书</w:t>
      </w:r>
      <w:r>
        <w:rPr>
          <w:rFonts w:hint="default" w:ascii="Times New Roman" w:hAnsi="Times New Roman" w:eastAsia="方正小标宋简体" w:cs="Times New Roman"/>
          <w:color w:val="auto"/>
          <w:sz w:val="44"/>
          <w:szCs w:val="44"/>
          <w:highlight w:val="none"/>
          <w:lang w:val="zh-CN"/>
        </w:rPr>
        <w:t>的</w:t>
      </w:r>
      <w:r>
        <w:rPr>
          <w:rFonts w:hint="default" w:ascii="Times New Roman" w:hAnsi="Times New Roman" w:eastAsia="方正小标宋简体" w:cs="Times New Roman"/>
          <w:snapToGrid w:val="0"/>
          <w:color w:val="auto"/>
          <w:kern w:val="0"/>
          <w:sz w:val="44"/>
          <w:szCs w:val="44"/>
          <w:highlight w:val="none"/>
        </w:rPr>
        <w:t>批复</w:t>
      </w:r>
    </w:p>
    <w:p w14:paraId="019C596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0"/>
          <w:szCs w:val="32"/>
          <w:highlight w:val="none"/>
        </w:rPr>
      </w:pPr>
    </w:p>
    <w:p w14:paraId="6A9256D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0"/>
          <w:szCs w:val="32"/>
          <w:highlight w:val="none"/>
        </w:rPr>
      </w:pPr>
      <w:r>
        <w:rPr>
          <w:rFonts w:hint="default" w:ascii="Times New Roman" w:hAnsi="Times New Roman" w:eastAsia="仿宋_GB2312" w:cs="Times New Roman"/>
          <w:bCs/>
          <w:color w:val="auto"/>
          <w:szCs w:val="32"/>
          <w:highlight w:val="none"/>
          <w:lang w:val="zh-CN"/>
        </w:rPr>
        <w:t>新疆家融环保科技发展有限公司</w:t>
      </w:r>
      <w:r>
        <w:rPr>
          <w:rFonts w:hint="default" w:ascii="Times New Roman" w:hAnsi="Times New Roman" w:eastAsia="仿宋_GB2312" w:cs="Times New Roman"/>
          <w:bCs/>
          <w:color w:val="auto"/>
          <w:szCs w:val="32"/>
          <w:highlight w:val="none"/>
        </w:rPr>
        <w:t>：</w:t>
      </w:r>
    </w:p>
    <w:p w14:paraId="15084EC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snapToGrid w:val="0"/>
          <w:color w:val="auto"/>
          <w:kern w:val="0"/>
          <w:szCs w:val="32"/>
          <w:highlight w:val="none"/>
        </w:rPr>
      </w:pPr>
      <w:r>
        <w:rPr>
          <w:rFonts w:hint="default" w:ascii="Times New Roman" w:hAnsi="Times New Roman" w:eastAsia="仿宋_GB2312" w:cs="Times New Roman"/>
          <w:bCs/>
          <w:color w:val="auto"/>
          <w:szCs w:val="32"/>
          <w:highlight w:val="none"/>
        </w:rPr>
        <w:t>你</w:t>
      </w:r>
      <w:r>
        <w:rPr>
          <w:rFonts w:hint="eastAsia" w:eastAsia="仿宋_GB2312" w:cs="Times New Roman"/>
          <w:bCs/>
          <w:color w:val="auto"/>
          <w:szCs w:val="32"/>
          <w:highlight w:val="none"/>
          <w:lang w:val="en-US" w:eastAsia="zh-CN"/>
        </w:rPr>
        <w:t>公司</w:t>
      </w:r>
      <w:r>
        <w:rPr>
          <w:rFonts w:hint="default" w:ascii="Times New Roman" w:hAnsi="Times New Roman" w:eastAsia="仿宋_GB2312" w:cs="Times New Roman"/>
          <w:bCs/>
          <w:color w:val="auto"/>
          <w:szCs w:val="32"/>
          <w:highlight w:val="none"/>
        </w:rPr>
        <w:t>《关于审批&lt;</w:t>
      </w:r>
      <w:r>
        <w:rPr>
          <w:rFonts w:hint="default" w:ascii="Times New Roman" w:hAnsi="Times New Roman" w:eastAsia="仿宋_GB2312" w:cs="Times New Roman"/>
          <w:bCs/>
          <w:color w:val="auto"/>
          <w:szCs w:val="32"/>
          <w:highlight w:val="none"/>
          <w:lang w:val="zh-CN"/>
        </w:rPr>
        <w:t>新疆家融环保科技发展有限公司节能降碳升级改造项目环境影响报告</w:t>
      </w:r>
      <w:r>
        <w:rPr>
          <w:rFonts w:hint="default" w:ascii="Times New Roman" w:hAnsi="Times New Roman" w:eastAsia="仿宋_GB2312" w:cs="Times New Roman"/>
          <w:bCs/>
          <w:color w:val="auto"/>
          <w:szCs w:val="32"/>
          <w:highlight w:val="none"/>
        </w:rPr>
        <w:t>书&gt;的请示》收悉。经研究，批复如下：</w:t>
      </w:r>
    </w:p>
    <w:p w14:paraId="61B75DFE">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Times New Roman" w:hAnsi="Times New Roman" w:eastAsia="仿宋_GB2312" w:cs="Times New Roman"/>
          <w:bCs/>
          <w:color w:val="auto"/>
          <w:szCs w:val="32"/>
          <w:highlight w:val="none"/>
          <w:lang w:val="zh-CN"/>
        </w:rPr>
      </w:pPr>
      <w:r>
        <w:rPr>
          <w:rFonts w:hint="default" w:ascii="Times New Roman" w:hAnsi="Times New Roman" w:eastAsia="仿宋_GB2312" w:cs="Times New Roman"/>
          <w:color w:val="auto"/>
          <w:szCs w:val="32"/>
          <w:highlight w:val="none"/>
          <w:lang w:val="en-US" w:eastAsia="zh-CN"/>
        </w:rPr>
        <w:t>一、</w:t>
      </w:r>
      <w:r>
        <w:rPr>
          <w:rFonts w:hint="default" w:ascii="Times New Roman" w:hAnsi="Times New Roman" w:eastAsia="仿宋_GB2312" w:cs="Times New Roman"/>
          <w:color w:val="auto"/>
          <w:szCs w:val="32"/>
          <w:highlight w:val="none"/>
        </w:rPr>
        <w:t>该项目位于</w:t>
      </w:r>
      <w:r>
        <w:rPr>
          <w:rFonts w:hint="eastAsia" w:ascii="Times New Roman" w:hAnsi="Times New Roman" w:eastAsia="仿宋_GB2312"/>
          <w:color w:val="auto"/>
          <w:szCs w:val="32"/>
        </w:rPr>
        <w:t>第七师</w:t>
      </w:r>
      <w:r>
        <w:rPr>
          <w:rFonts w:hint="eastAsia" w:ascii="Times New Roman" w:hAnsi="Times New Roman" w:eastAsia="仿宋_GB2312"/>
          <w:color w:val="auto"/>
          <w:highlight w:val="none"/>
        </w:rPr>
        <w:t>胡杨河经济技术开发区</w:t>
      </w:r>
      <w:r>
        <w:rPr>
          <w:rFonts w:hint="eastAsia" w:eastAsia="仿宋_GB2312"/>
          <w:color w:val="auto"/>
          <w:highlight w:val="none"/>
          <w:lang w:val="en-US" w:eastAsia="zh-CN"/>
        </w:rPr>
        <w:t>南园区</w:t>
      </w:r>
      <w:r>
        <w:rPr>
          <w:rFonts w:hint="default" w:ascii="Times New Roman" w:hAnsi="Times New Roman" w:eastAsia="仿宋_GB2312" w:cs="Times New Roman"/>
          <w:color w:val="auto"/>
          <w:szCs w:val="32"/>
          <w:highlight w:val="none"/>
        </w:rPr>
        <w:t>，项目中心地理位置坐标为东经84°52′5.459″，北纬44°49′19.301″。项目为</w:t>
      </w:r>
      <w:r>
        <w:rPr>
          <w:rFonts w:hint="eastAsia" w:eastAsia="仿宋_GB2312" w:cs="Times New Roman"/>
          <w:color w:val="auto"/>
          <w:szCs w:val="32"/>
          <w:highlight w:val="none"/>
          <w:lang w:val="en-US" w:eastAsia="zh-CN"/>
        </w:rPr>
        <w:t>技改</w:t>
      </w:r>
      <w:r>
        <w:rPr>
          <w:rFonts w:hint="default" w:ascii="Times New Roman" w:hAnsi="Times New Roman" w:eastAsia="仿宋_GB2312" w:cs="Times New Roman"/>
          <w:color w:val="auto"/>
          <w:szCs w:val="32"/>
          <w:highlight w:val="none"/>
        </w:rPr>
        <w:t>项目，</w:t>
      </w:r>
      <w:r>
        <w:rPr>
          <w:rFonts w:hint="eastAsia" w:ascii="Times New Roman" w:hAnsi="Times New Roman" w:eastAsia="仿宋_GB2312"/>
          <w:color w:val="auto"/>
          <w:szCs w:val="32"/>
        </w:rPr>
        <w:t>拆除原有1台鼓风炉和1台4t/h燃气锅炉，新增1台烘干炉系统，新建1座一般</w:t>
      </w:r>
      <w:r>
        <w:rPr>
          <w:rFonts w:hint="eastAsia" w:eastAsia="仿宋_GB2312"/>
          <w:color w:val="auto"/>
          <w:szCs w:val="32"/>
          <w:lang w:val="en-US" w:eastAsia="zh-CN"/>
        </w:rPr>
        <w:t>工业</w:t>
      </w:r>
      <w:r>
        <w:rPr>
          <w:rFonts w:hint="eastAsia" w:ascii="Times New Roman" w:hAnsi="Times New Roman" w:eastAsia="仿宋_GB2312"/>
          <w:color w:val="auto"/>
          <w:szCs w:val="32"/>
        </w:rPr>
        <w:t>固废贮存库，对原有研究室、水渣堆放棚等</w:t>
      </w:r>
      <w:r>
        <w:rPr>
          <w:rFonts w:hint="eastAsia" w:eastAsia="仿宋_GB2312"/>
          <w:color w:val="auto"/>
          <w:szCs w:val="32"/>
          <w:lang w:val="en-US" w:eastAsia="zh-CN"/>
        </w:rPr>
        <w:t>区域</w:t>
      </w:r>
      <w:r>
        <w:rPr>
          <w:rFonts w:hint="eastAsia" w:ascii="Times New Roman" w:hAnsi="Times New Roman" w:eastAsia="仿宋_GB2312"/>
          <w:color w:val="auto"/>
          <w:szCs w:val="32"/>
        </w:rPr>
        <w:t>进行提升改造，</w:t>
      </w:r>
      <w:r>
        <w:rPr>
          <w:rFonts w:hint="eastAsia" w:eastAsia="仿宋_GB2312"/>
          <w:color w:val="auto"/>
          <w:szCs w:val="32"/>
          <w:lang w:val="en-US" w:eastAsia="zh-CN"/>
        </w:rPr>
        <w:t>项目建成后可</w:t>
      </w:r>
      <w:r>
        <w:rPr>
          <w:rFonts w:hint="eastAsia" w:ascii="Times New Roman" w:hAnsi="Times New Roman" w:eastAsia="仿宋_GB2312"/>
          <w:color w:val="auto"/>
          <w:szCs w:val="32"/>
          <w:lang w:val="en-US" w:eastAsia="zh-CN"/>
        </w:rPr>
        <w:t>年处理有色金属冶炼废物70800吨，废酸2000吨</w:t>
      </w:r>
      <w:r>
        <w:rPr>
          <w:rFonts w:hint="eastAsia" w:eastAsia="仿宋_GB2312"/>
          <w:color w:val="auto"/>
          <w:szCs w:val="32"/>
          <w:lang w:val="en-US" w:eastAsia="zh-CN"/>
        </w:rPr>
        <w:t>。</w:t>
      </w:r>
      <w:r>
        <w:rPr>
          <w:rFonts w:hint="eastAsia" w:ascii="Times New Roman" w:hAnsi="Times New Roman" w:eastAsia="仿宋_GB2312"/>
          <w:color w:val="auto"/>
          <w:szCs w:val="32"/>
        </w:rPr>
        <w:t>项目总投资1535.77万元，其中环保投资216.5万元，占总投资的</w:t>
      </w:r>
      <w:r>
        <w:rPr>
          <w:rFonts w:hint="eastAsia" w:ascii="Times New Roman" w:hAnsi="Times New Roman" w:eastAsia="仿宋_GB2312"/>
          <w:color w:val="auto"/>
          <w:szCs w:val="32"/>
          <w:lang w:val="en-US" w:eastAsia="zh-CN"/>
        </w:rPr>
        <w:t>14.1</w:t>
      </w:r>
      <w:r>
        <w:rPr>
          <w:rFonts w:hint="eastAsia" w:ascii="Times New Roman" w:hAnsi="Times New Roman" w:eastAsia="仿宋_GB2312"/>
          <w:color w:val="auto"/>
          <w:szCs w:val="32"/>
        </w:rPr>
        <w:t>%。</w:t>
      </w:r>
    </w:p>
    <w:p w14:paraId="0E9A18AB">
      <w:pPr>
        <w:keepNext w:val="0"/>
        <w:keepLines w:val="0"/>
        <w:pageBreakBefore w:val="0"/>
        <w:widowControl w:val="0"/>
        <w:numPr>
          <w:ilvl w:val="0"/>
          <w:numId w:val="0"/>
        </w:numPr>
        <w:kinsoku/>
        <w:wordWrap/>
        <w:overflowPunct/>
        <w:topLinePunct w:val="0"/>
        <w:autoSpaceDE/>
        <w:autoSpaceDN/>
        <w:bidi w:val="0"/>
        <w:spacing w:line="560" w:lineRule="exact"/>
        <w:ind w:firstLine="632" w:firstLineChars="200"/>
        <w:textAlignment w:val="auto"/>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bCs/>
          <w:color w:val="auto"/>
          <w:szCs w:val="32"/>
          <w:highlight w:val="none"/>
        </w:rPr>
        <w:t>二、</w:t>
      </w:r>
      <w:r>
        <w:rPr>
          <w:rFonts w:hint="default" w:ascii="Times New Roman" w:hAnsi="Times New Roman" w:eastAsia="仿宋_GB2312" w:cs="Times New Roman"/>
          <w:bCs/>
          <w:sz w:val="32"/>
          <w:szCs w:val="32"/>
        </w:rPr>
        <w:t>项目实施后会对环境造成一定不利影响，必须严格落实各项污染防治和生态环境保护措施，采取严格的环境风险防范措施、环境管理制度、环境监控和应急措施。综合考虑，我局原则同意该项目</w:t>
      </w:r>
      <w:r>
        <w:rPr>
          <w:rFonts w:hint="default" w:ascii="Times New Roman" w:hAnsi="Times New Roman" w:eastAsia="仿宋_GB2312" w:cs="Times New Roman"/>
          <w:bCs/>
          <w:sz w:val="32"/>
          <w:szCs w:val="32"/>
          <w:lang w:val="zh-CN"/>
        </w:rPr>
        <w:t>环境影响报告</w:t>
      </w:r>
      <w:r>
        <w:rPr>
          <w:rFonts w:hint="default" w:ascii="Times New Roman" w:hAnsi="Times New Roman" w:eastAsia="仿宋_GB2312" w:cs="Times New Roman"/>
          <w:bCs/>
          <w:sz w:val="32"/>
          <w:szCs w:val="32"/>
        </w:rPr>
        <w:t>书中所列建设项目的性质、规模、地点、工艺和环境保护对策措施。</w:t>
      </w:r>
    </w:p>
    <w:p w14:paraId="1381139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color w:val="auto"/>
          <w:szCs w:val="32"/>
          <w:highlight w:val="none"/>
        </w:rPr>
        <w:t>三、项目建设和运营中应重点做好以下工作：</w:t>
      </w:r>
    </w:p>
    <w:p w14:paraId="4B35AAAE">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_GB2312" w:cs="Times New Roman"/>
          <w:bCs/>
          <w:color w:val="auto"/>
          <w:szCs w:val="32"/>
          <w:highlight w:val="none"/>
          <w:lang w:val="en-US" w:eastAsia="zh-CN"/>
        </w:rPr>
      </w:pPr>
      <w:r>
        <w:rPr>
          <w:rFonts w:hint="default" w:ascii="Times New Roman" w:hAnsi="Times New Roman" w:eastAsia="仿宋_GB2312" w:cs="Times New Roman"/>
          <w:bCs/>
          <w:color w:val="auto"/>
          <w:szCs w:val="32"/>
          <w:highlight w:val="none"/>
        </w:rPr>
        <w:t>（</w:t>
      </w:r>
      <w:r>
        <w:rPr>
          <w:rFonts w:hint="eastAsia" w:eastAsia="仿宋_GB2312" w:cs="Times New Roman"/>
          <w:bCs/>
          <w:color w:val="auto"/>
          <w:szCs w:val="32"/>
          <w:highlight w:val="none"/>
          <w:lang w:val="en-US" w:eastAsia="zh-CN"/>
        </w:rPr>
        <w:t>一</w:t>
      </w:r>
      <w:r>
        <w:rPr>
          <w:rFonts w:hint="default" w:ascii="Times New Roman" w:hAnsi="Times New Roman" w:eastAsia="仿宋_GB2312" w:cs="Times New Roman"/>
          <w:bCs/>
          <w:color w:val="auto"/>
          <w:szCs w:val="32"/>
          <w:highlight w:val="none"/>
        </w:rPr>
        <w:t>）严格落实大气污染防治措施。烘干炉、回转窑烟气</w:t>
      </w:r>
      <w:r>
        <w:rPr>
          <w:rFonts w:hint="eastAsia" w:eastAsia="仿宋_GB2312" w:cs="Times New Roman"/>
          <w:bCs/>
          <w:color w:val="auto"/>
          <w:szCs w:val="32"/>
          <w:highlight w:val="none"/>
          <w:lang w:val="en-US" w:eastAsia="zh-CN"/>
        </w:rPr>
        <w:t>经</w:t>
      </w:r>
      <w:r>
        <w:rPr>
          <w:rFonts w:hint="default" w:ascii="Times New Roman" w:hAnsi="Times New Roman" w:eastAsia="仿宋_GB2312" w:cs="Times New Roman"/>
          <w:bCs/>
          <w:color w:val="auto"/>
          <w:szCs w:val="32"/>
          <w:highlight w:val="none"/>
        </w:rPr>
        <w:t>“重力除尘+表面冷却+袋式除尘器+SNCR脱硝+二级湍球塔脱硫”处理后，</w:t>
      </w:r>
      <w:r>
        <w:rPr>
          <w:rFonts w:hint="eastAsia" w:eastAsia="仿宋_GB2312" w:cs="Times New Roman"/>
          <w:bCs/>
          <w:color w:val="auto"/>
          <w:szCs w:val="32"/>
          <w:highlight w:val="none"/>
          <w:lang w:val="en-US" w:eastAsia="zh-CN"/>
        </w:rPr>
        <w:t>通过</w:t>
      </w:r>
      <w:r>
        <w:rPr>
          <w:rFonts w:hint="default" w:ascii="Times New Roman" w:hAnsi="Times New Roman" w:eastAsia="仿宋_GB2312" w:cs="Times New Roman"/>
          <w:bCs/>
          <w:color w:val="auto"/>
          <w:szCs w:val="32"/>
          <w:highlight w:val="none"/>
        </w:rPr>
        <w:t>36m</w:t>
      </w:r>
      <w:r>
        <w:rPr>
          <w:rFonts w:hint="eastAsia" w:eastAsia="仿宋_GB2312" w:cs="Times New Roman"/>
          <w:bCs/>
          <w:color w:val="auto"/>
          <w:szCs w:val="32"/>
          <w:highlight w:val="none"/>
          <w:lang w:val="en-US" w:eastAsia="zh-CN"/>
        </w:rPr>
        <w:t>高的</w:t>
      </w:r>
      <w:r>
        <w:rPr>
          <w:rFonts w:hint="default" w:ascii="Times New Roman" w:hAnsi="Times New Roman" w:eastAsia="仿宋_GB2312" w:cs="Times New Roman"/>
          <w:bCs/>
          <w:color w:val="auto"/>
          <w:szCs w:val="32"/>
          <w:highlight w:val="none"/>
        </w:rPr>
        <w:t>排气筒排放</w:t>
      </w:r>
      <w:r>
        <w:rPr>
          <w:rFonts w:hint="default" w:ascii="Times New Roman" w:hAnsi="Times New Roman" w:eastAsia="仿宋_GB2312" w:cs="Times New Roman"/>
          <w:bCs/>
          <w:color w:val="auto"/>
          <w:szCs w:val="32"/>
          <w:highlight w:val="none"/>
          <w:lang w:eastAsia="zh-CN"/>
        </w:rPr>
        <w:t>。酸雾废气</w:t>
      </w:r>
      <w:r>
        <w:rPr>
          <w:rFonts w:hint="eastAsia" w:eastAsia="仿宋_GB2312" w:cs="Times New Roman"/>
          <w:bCs/>
          <w:color w:val="auto"/>
          <w:szCs w:val="32"/>
          <w:highlight w:val="none"/>
          <w:lang w:val="en-US" w:eastAsia="zh-CN"/>
        </w:rPr>
        <w:t>经</w:t>
      </w:r>
      <w:r>
        <w:rPr>
          <w:rFonts w:hint="default" w:ascii="Times New Roman" w:hAnsi="Times New Roman" w:eastAsia="仿宋_GB2312" w:cs="Times New Roman"/>
          <w:bCs/>
          <w:color w:val="auto"/>
          <w:szCs w:val="32"/>
          <w:highlight w:val="none"/>
          <w:lang w:eastAsia="zh-CN"/>
        </w:rPr>
        <w:t>SQT强化湍球酸雾净化塔处理后</w:t>
      </w:r>
      <w:r>
        <w:rPr>
          <w:rFonts w:hint="eastAsia" w:eastAsia="仿宋_GB2312" w:cs="Times New Roman"/>
          <w:bCs/>
          <w:color w:val="auto"/>
          <w:szCs w:val="32"/>
          <w:highlight w:val="none"/>
          <w:lang w:eastAsia="zh-CN"/>
        </w:rPr>
        <w:t>，</w:t>
      </w:r>
      <w:r>
        <w:rPr>
          <w:rFonts w:hint="eastAsia" w:eastAsia="仿宋_GB2312" w:cs="Times New Roman"/>
          <w:bCs/>
          <w:color w:val="auto"/>
          <w:szCs w:val="32"/>
          <w:highlight w:val="none"/>
          <w:lang w:val="en-US" w:eastAsia="zh-CN"/>
        </w:rPr>
        <w:t>通过</w:t>
      </w:r>
      <w:r>
        <w:rPr>
          <w:rFonts w:hint="default" w:ascii="Times New Roman" w:hAnsi="Times New Roman" w:eastAsia="仿宋_GB2312" w:cs="Times New Roman"/>
          <w:bCs/>
          <w:color w:val="auto"/>
          <w:szCs w:val="32"/>
          <w:highlight w:val="none"/>
          <w:lang w:eastAsia="zh-CN"/>
        </w:rPr>
        <w:t>15m</w:t>
      </w:r>
      <w:r>
        <w:rPr>
          <w:rFonts w:hint="eastAsia" w:eastAsia="仿宋_GB2312" w:cs="Times New Roman"/>
          <w:bCs/>
          <w:color w:val="auto"/>
          <w:szCs w:val="32"/>
          <w:highlight w:val="none"/>
          <w:lang w:val="en-US" w:eastAsia="zh-CN"/>
        </w:rPr>
        <w:t>高的</w:t>
      </w:r>
      <w:r>
        <w:rPr>
          <w:rFonts w:hint="default" w:ascii="Times New Roman" w:hAnsi="Times New Roman" w:eastAsia="仿宋_GB2312" w:cs="Times New Roman"/>
          <w:bCs/>
          <w:color w:val="auto"/>
          <w:szCs w:val="32"/>
          <w:highlight w:val="none"/>
          <w:lang w:eastAsia="zh-CN"/>
        </w:rPr>
        <w:t>排气筒排放。</w:t>
      </w:r>
      <w:r>
        <w:rPr>
          <w:rFonts w:hint="eastAsia" w:eastAsia="仿宋_GB2312" w:cs="Times New Roman"/>
          <w:bCs/>
          <w:color w:val="auto"/>
          <w:szCs w:val="32"/>
          <w:highlight w:val="none"/>
          <w:lang w:val="en-US" w:eastAsia="zh-CN"/>
        </w:rPr>
        <w:t>大气</w:t>
      </w:r>
      <w:r>
        <w:rPr>
          <w:rFonts w:hint="default" w:ascii="Times New Roman" w:hAnsi="Times New Roman" w:eastAsia="仿宋_GB2312" w:cs="Times New Roman"/>
          <w:bCs/>
          <w:color w:val="auto"/>
          <w:szCs w:val="32"/>
          <w:highlight w:val="none"/>
          <w:lang w:val="en-US" w:eastAsia="zh-CN"/>
        </w:rPr>
        <w:t>污染物</w:t>
      </w:r>
      <w:r>
        <w:rPr>
          <w:rFonts w:hint="eastAsia" w:eastAsia="仿宋_GB2312" w:cs="Times New Roman"/>
          <w:bCs/>
          <w:color w:val="auto"/>
          <w:szCs w:val="32"/>
          <w:highlight w:val="none"/>
          <w:lang w:val="en-US" w:eastAsia="zh-CN"/>
        </w:rPr>
        <w:t>排放执行</w:t>
      </w:r>
      <w:r>
        <w:rPr>
          <w:rFonts w:hint="default" w:ascii="Times New Roman" w:hAnsi="Times New Roman" w:eastAsia="仿宋_GB2312" w:cs="Times New Roman"/>
          <w:bCs/>
          <w:color w:val="auto"/>
          <w:szCs w:val="32"/>
          <w:highlight w:val="none"/>
          <w:lang w:val="en-US" w:eastAsia="zh-CN"/>
        </w:rPr>
        <w:t>《无机化学工业污染物排放标准》（GB31573-2015）及其修改单中表4大气污染物特别排放限值</w:t>
      </w:r>
      <w:r>
        <w:rPr>
          <w:rFonts w:hint="eastAsia" w:eastAsia="仿宋_GB2312" w:cs="Times New Roman"/>
          <w:bCs/>
          <w:color w:val="auto"/>
          <w:szCs w:val="32"/>
          <w:highlight w:val="none"/>
          <w:lang w:val="en-US" w:eastAsia="zh-CN"/>
        </w:rPr>
        <w:t>。</w:t>
      </w:r>
    </w:p>
    <w:p w14:paraId="1CF1D365">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eastAsia" w:ascii="Times New Roman" w:hAnsi="Times New Roman" w:eastAsia="仿宋_GB2312" w:cs="Times New Roman"/>
          <w:bCs/>
          <w:color w:val="auto"/>
          <w:kern w:val="2"/>
          <w:sz w:val="32"/>
          <w:szCs w:val="32"/>
          <w:lang w:val="en-US" w:eastAsia="zh-CN" w:bidi="ar-SA"/>
        </w:rPr>
      </w:pPr>
      <w:r>
        <w:rPr>
          <w:rFonts w:hint="default" w:ascii="Times New Roman" w:hAnsi="Times New Roman" w:eastAsia="仿宋_GB2312" w:cs="Times New Roman"/>
          <w:bCs/>
          <w:color w:val="auto"/>
          <w:szCs w:val="32"/>
          <w:highlight w:val="none"/>
        </w:rPr>
        <w:t>回转窑出渣口采用半敞开式堆场收集</w:t>
      </w:r>
      <w:r>
        <w:rPr>
          <w:rFonts w:hint="default" w:ascii="Times New Roman" w:hAnsi="Times New Roman" w:eastAsia="仿宋_GB2312" w:cs="Times New Roman"/>
          <w:bCs/>
          <w:color w:val="auto"/>
          <w:szCs w:val="32"/>
          <w:highlight w:val="none"/>
          <w:lang w:eastAsia="zh-CN"/>
        </w:rPr>
        <w:t>，锌矿渣库房、一般工业固体废物库房、辅料堆场</w:t>
      </w:r>
      <w:r>
        <w:rPr>
          <w:rFonts w:hint="default" w:ascii="Times New Roman" w:hAnsi="Times New Roman" w:eastAsia="仿宋_GB2312" w:cs="Times New Roman"/>
          <w:bCs/>
          <w:color w:val="auto"/>
          <w:szCs w:val="32"/>
          <w:highlight w:val="none"/>
          <w:lang w:val="en-US" w:eastAsia="zh-CN"/>
        </w:rPr>
        <w:t>采用全封闭+洒水降尘</w:t>
      </w:r>
      <w:r>
        <w:rPr>
          <w:rFonts w:hint="eastAsia" w:eastAsia="仿宋_GB2312" w:cs="Times New Roman"/>
          <w:bCs/>
          <w:color w:val="auto"/>
          <w:szCs w:val="32"/>
          <w:highlight w:val="none"/>
          <w:lang w:val="en-US" w:eastAsia="zh-CN"/>
        </w:rPr>
        <w:t>等措施</w:t>
      </w:r>
      <w:r>
        <w:rPr>
          <w:rFonts w:hint="default" w:ascii="Times New Roman" w:hAnsi="Times New Roman" w:eastAsia="仿宋_GB2312" w:cs="Times New Roman"/>
          <w:bCs/>
          <w:color w:val="auto"/>
          <w:szCs w:val="32"/>
          <w:highlight w:val="none"/>
          <w:lang w:val="en-US" w:eastAsia="zh-CN"/>
        </w:rPr>
        <w:t>。</w:t>
      </w:r>
      <w:r>
        <w:rPr>
          <w:rFonts w:hint="default" w:ascii="Times New Roman" w:hAnsi="Times New Roman" w:eastAsia="仿宋_GB2312" w:cs="Times New Roman"/>
          <w:bCs/>
          <w:color w:val="auto"/>
          <w:szCs w:val="32"/>
          <w:highlight w:val="none"/>
        </w:rPr>
        <w:t>厂界颗粒物</w:t>
      </w:r>
      <w:r>
        <w:rPr>
          <w:rFonts w:hint="eastAsia" w:eastAsia="仿宋_GB2312" w:cs="Times New Roman"/>
          <w:bCs/>
          <w:color w:val="auto"/>
          <w:szCs w:val="32"/>
          <w:highlight w:val="none"/>
          <w:lang w:val="en-US" w:eastAsia="zh-CN"/>
        </w:rPr>
        <w:t>执行</w:t>
      </w:r>
      <w:r>
        <w:rPr>
          <w:rFonts w:hint="default" w:ascii="Times New Roman" w:hAnsi="Times New Roman" w:eastAsia="仿宋_GB2312" w:cs="Times New Roman"/>
          <w:bCs/>
          <w:color w:val="auto"/>
          <w:szCs w:val="32"/>
          <w:highlight w:val="none"/>
        </w:rPr>
        <w:t>《大气污染物综合排放标准》（GB16297-1996）中表2“新污染源大气污染物排放限值”</w:t>
      </w:r>
      <w:r>
        <w:rPr>
          <w:rFonts w:hint="eastAsia" w:eastAsia="仿宋_GB2312" w:cs="Times New Roman"/>
          <w:bCs/>
          <w:color w:val="auto"/>
          <w:szCs w:val="32"/>
          <w:highlight w:val="none"/>
          <w:lang w:eastAsia="zh-CN"/>
        </w:rPr>
        <w:t>；</w:t>
      </w:r>
      <w:bookmarkStart w:id="0" w:name="_GoBack"/>
      <w:bookmarkEnd w:id="0"/>
      <w:r>
        <w:rPr>
          <w:rFonts w:hint="default" w:ascii="Times New Roman" w:hAnsi="Times New Roman" w:eastAsia="仿宋_GB2312" w:cs="Times New Roman"/>
          <w:bCs/>
          <w:color w:val="auto"/>
          <w:szCs w:val="32"/>
          <w:highlight w:val="none"/>
          <w:lang w:val="en-US" w:eastAsia="zh-CN"/>
        </w:rPr>
        <w:t>其余污染物</w:t>
      </w:r>
      <w:r>
        <w:rPr>
          <w:rFonts w:hint="eastAsia" w:eastAsia="仿宋_GB2312" w:cs="Times New Roman"/>
          <w:bCs/>
          <w:color w:val="auto"/>
          <w:szCs w:val="32"/>
          <w:highlight w:val="none"/>
          <w:lang w:val="en-US" w:eastAsia="zh-CN"/>
        </w:rPr>
        <w:t>执行</w:t>
      </w:r>
      <w:r>
        <w:rPr>
          <w:rFonts w:hint="default" w:ascii="Times New Roman" w:hAnsi="Times New Roman" w:eastAsia="仿宋_GB2312" w:cs="Times New Roman"/>
          <w:bCs/>
          <w:color w:val="auto"/>
          <w:szCs w:val="32"/>
          <w:highlight w:val="none"/>
          <w:lang w:val="en-US" w:eastAsia="zh-CN"/>
        </w:rPr>
        <w:t>《无机化学工业污染物排放标准》（GB31573-2015）及其修改单中表5企业边界大气污染物排放限值</w:t>
      </w:r>
      <w:r>
        <w:rPr>
          <w:rFonts w:hint="eastAsia" w:eastAsia="仿宋_GB2312" w:cs="Times New Roman"/>
          <w:bCs/>
          <w:color w:val="auto"/>
          <w:szCs w:val="32"/>
          <w:highlight w:val="none"/>
          <w:lang w:val="en-US" w:eastAsia="zh-CN"/>
        </w:rPr>
        <w:t>。</w:t>
      </w:r>
    </w:p>
    <w:p w14:paraId="1ACE5E18">
      <w:pPr>
        <w:spacing w:line="540" w:lineRule="exact"/>
        <w:ind w:firstLine="640"/>
        <w:rPr>
          <w:rFonts w:hint="default" w:ascii="Times New Roman" w:hAnsi="Times New Roman" w:eastAsia="仿宋_GB2312" w:cs="Times New Roman"/>
          <w:bCs/>
          <w:color w:val="auto"/>
          <w:szCs w:val="32"/>
          <w:highlight w:val="none"/>
        </w:rPr>
      </w:pPr>
      <w:r>
        <w:rPr>
          <w:rFonts w:hint="eastAsia" w:ascii="Times New Roman" w:hAnsi="Times New Roman" w:eastAsia="仿宋_GB2312" w:cs="Times New Roman"/>
          <w:bCs/>
          <w:color w:val="auto"/>
          <w:kern w:val="2"/>
          <w:sz w:val="32"/>
          <w:szCs w:val="32"/>
          <w:lang w:val="en-US" w:eastAsia="zh-CN" w:bidi="ar-SA"/>
        </w:rPr>
        <w:t>（二）</w:t>
      </w:r>
      <w:r>
        <w:rPr>
          <w:rFonts w:hint="eastAsia" w:eastAsia="仿宋_GB2312" w:cs="Times New Roman"/>
          <w:bCs/>
          <w:color w:val="auto"/>
          <w:szCs w:val="32"/>
          <w:highlight w:val="none"/>
          <w:lang w:val="en-US" w:eastAsia="zh-CN"/>
        </w:rPr>
        <w:t>严格</w:t>
      </w:r>
      <w:r>
        <w:rPr>
          <w:rFonts w:hint="default" w:ascii="Times New Roman" w:hAnsi="Times New Roman" w:eastAsia="仿宋_GB2312" w:cs="Times New Roman"/>
          <w:bCs/>
          <w:color w:val="auto"/>
          <w:szCs w:val="32"/>
          <w:highlight w:val="none"/>
        </w:rPr>
        <w:t>落实水污染防治措施。</w:t>
      </w:r>
      <w:r>
        <w:rPr>
          <w:rFonts w:hint="eastAsia" w:ascii="Times New Roman" w:hAnsi="Times New Roman" w:eastAsia="仿宋_GB2312" w:cs="Times New Roman"/>
          <w:color w:val="auto"/>
          <w:szCs w:val="32"/>
        </w:rPr>
        <w:t>生产工艺废水作为原料浆化、浸出用水</w:t>
      </w:r>
      <w:r>
        <w:rPr>
          <w:rFonts w:hint="eastAsia" w:ascii="Times New Roman" w:hAnsi="Times New Roman" w:eastAsia="仿宋_GB2312" w:cs="Times New Roman"/>
          <w:color w:val="auto"/>
          <w:szCs w:val="32"/>
          <w:lang w:val="en-US" w:eastAsia="zh-CN"/>
        </w:rPr>
        <w:t>回用；脱硫废水</w:t>
      </w:r>
      <w:r>
        <w:rPr>
          <w:rFonts w:hint="eastAsia" w:eastAsia="仿宋_GB2312" w:cs="Times New Roman"/>
          <w:color w:val="auto"/>
          <w:szCs w:val="32"/>
          <w:lang w:val="en-US" w:eastAsia="zh-CN"/>
        </w:rPr>
        <w:t>、</w:t>
      </w:r>
      <w:r>
        <w:rPr>
          <w:rFonts w:hint="eastAsia" w:ascii="Times New Roman" w:hAnsi="Times New Roman" w:eastAsia="仿宋_GB2312" w:cs="Times New Roman"/>
          <w:color w:val="auto"/>
          <w:szCs w:val="32"/>
          <w:lang w:val="en-US" w:eastAsia="zh-CN"/>
        </w:rPr>
        <w:t>地面冲洗废水作为火法单元混合配料用水，不外排；生活污水</w:t>
      </w:r>
      <w:r>
        <w:rPr>
          <w:rFonts w:hint="eastAsia" w:eastAsia="仿宋_GB2312" w:cs="Times New Roman"/>
          <w:color w:val="auto"/>
          <w:szCs w:val="32"/>
          <w:lang w:val="en-US" w:eastAsia="zh-CN"/>
        </w:rPr>
        <w:t>经现有</w:t>
      </w:r>
      <w:r>
        <w:rPr>
          <w:rFonts w:hint="eastAsia" w:ascii="Times New Roman" w:hAnsi="Times New Roman" w:eastAsia="仿宋_GB2312" w:cs="Times New Roman"/>
          <w:color w:val="auto"/>
          <w:szCs w:val="32"/>
          <w:lang w:val="en-US" w:eastAsia="zh-CN"/>
        </w:rPr>
        <w:t>化粪池处理后排入胡杨河经济技术开发区南园区污水处理厂</w:t>
      </w:r>
      <w:r>
        <w:rPr>
          <w:rFonts w:hint="eastAsia" w:eastAsia="仿宋_GB2312" w:cs="Times New Roman"/>
          <w:color w:val="auto"/>
          <w:szCs w:val="32"/>
          <w:lang w:val="en-US" w:eastAsia="zh-CN"/>
        </w:rPr>
        <w:t>，</w:t>
      </w:r>
      <w:r>
        <w:rPr>
          <w:rFonts w:hint="eastAsia" w:ascii="Times New Roman" w:hAnsi="Times New Roman" w:eastAsia="仿宋_GB2312" w:cs="Times New Roman"/>
          <w:color w:val="auto"/>
          <w:szCs w:val="32"/>
          <w:lang w:val="en-US" w:eastAsia="zh-CN"/>
        </w:rPr>
        <w:t>生活污水</w:t>
      </w:r>
      <w:r>
        <w:rPr>
          <w:rFonts w:hint="eastAsia" w:eastAsia="仿宋_GB2312" w:cs="Times New Roman"/>
          <w:color w:val="auto"/>
          <w:szCs w:val="32"/>
          <w:lang w:val="en-US" w:eastAsia="zh-CN"/>
        </w:rPr>
        <w:t>排放</w:t>
      </w:r>
      <w:r>
        <w:rPr>
          <w:rFonts w:hint="eastAsia" w:ascii="Times New Roman" w:hAnsi="Times New Roman" w:eastAsia="仿宋_GB2312" w:cs="Times New Roman"/>
          <w:color w:val="auto"/>
          <w:szCs w:val="32"/>
          <w:lang w:val="en-US" w:eastAsia="zh-CN"/>
        </w:rPr>
        <w:t>执行《污水综合排放标准》（GB8978-1996）表4中的三级排放标准。</w:t>
      </w:r>
    </w:p>
    <w:p w14:paraId="5A968F02">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_GB2312" w:cs="Times New Roman"/>
          <w:bCs/>
          <w:color w:val="auto"/>
          <w:szCs w:val="32"/>
          <w:highlight w:val="none"/>
          <w:lang w:val="en-US" w:eastAsia="zh-CN"/>
        </w:rPr>
      </w:pPr>
      <w:r>
        <w:rPr>
          <w:rFonts w:hint="eastAsia" w:ascii="Times New Roman" w:hAnsi="Times New Roman" w:eastAsia="仿宋_GB2312" w:cs="Times New Roman"/>
          <w:bCs/>
          <w:color w:val="auto"/>
          <w:szCs w:val="32"/>
          <w:highlight w:val="none"/>
          <w:lang w:val="en-US" w:eastAsia="zh-CN"/>
        </w:rPr>
        <w:t>（三）</w:t>
      </w:r>
      <w:r>
        <w:rPr>
          <w:rFonts w:hint="default" w:ascii="Times New Roman" w:hAnsi="Times New Roman" w:eastAsia="仿宋_GB2312" w:cs="Times New Roman"/>
          <w:bCs/>
          <w:color w:val="auto"/>
          <w:szCs w:val="32"/>
          <w:highlight w:val="none"/>
          <w:lang w:val="en-US" w:eastAsia="zh-CN"/>
        </w:rPr>
        <w:t>严格落实噪声防治措施。</w:t>
      </w:r>
      <w:r>
        <w:rPr>
          <w:rFonts w:ascii="Times New Roman" w:hAnsi="Times New Roman" w:eastAsia="仿宋_GB2312"/>
          <w:color w:val="auto"/>
          <w:highlight w:val="none"/>
        </w:rPr>
        <w:t>选择先进可靠的低噪声设备，</w:t>
      </w:r>
      <w:r>
        <w:rPr>
          <w:rFonts w:hint="eastAsia" w:ascii="Times New Roman" w:hAnsi="Times New Roman" w:eastAsia="仿宋_GB2312"/>
          <w:color w:val="auto"/>
          <w:highlight w:val="none"/>
        </w:rPr>
        <w:t>采取隔声、减振、消声等措施</w:t>
      </w:r>
      <w:r>
        <w:rPr>
          <w:rFonts w:hint="eastAsia" w:ascii="Times New Roman" w:hAnsi="Times New Roman" w:eastAsia="仿宋_GB2312"/>
          <w:color w:val="auto"/>
          <w:highlight w:val="none"/>
          <w:lang w:eastAsia="zh-CN"/>
        </w:rPr>
        <w:t>。</w:t>
      </w:r>
      <w:r>
        <w:rPr>
          <w:rFonts w:ascii="Times New Roman" w:hAnsi="Times New Roman" w:eastAsia="仿宋_GB2312"/>
          <w:color w:val="auto"/>
          <w:highlight w:val="none"/>
        </w:rPr>
        <w:t>厂界噪声排放</w:t>
      </w:r>
      <w:r>
        <w:rPr>
          <w:rFonts w:hint="eastAsia" w:ascii="Times New Roman" w:hAnsi="Times New Roman" w:eastAsia="仿宋_GB2312"/>
          <w:color w:val="auto"/>
          <w:highlight w:val="none"/>
          <w:lang w:val="en-US" w:eastAsia="zh-CN"/>
        </w:rPr>
        <w:t>执行</w:t>
      </w:r>
      <w:r>
        <w:rPr>
          <w:rFonts w:ascii="Times New Roman" w:hAnsi="Times New Roman" w:eastAsia="仿宋_GB2312"/>
          <w:color w:val="auto"/>
          <w:highlight w:val="none"/>
        </w:rPr>
        <w:t>《工业企业厂界环境噪声排放标准》（GB12348-2008）中3类标准要求。</w:t>
      </w:r>
    </w:p>
    <w:p w14:paraId="280E3420">
      <w:pPr>
        <w:keepNext w:val="0"/>
        <w:keepLines w:val="0"/>
        <w:pageBreakBefore w:val="0"/>
        <w:widowControl w:val="0"/>
        <w:numPr>
          <w:ilvl w:val="0"/>
          <w:numId w:val="0"/>
        </w:numPr>
        <w:tabs>
          <w:tab w:val="left" w:pos="379"/>
          <w:tab w:val="left" w:pos="844"/>
          <w:tab w:val="left" w:pos="3060"/>
        </w:tabs>
        <w:kinsoku/>
        <w:wordWrap/>
        <w:overflowPunct/>
        <w:topLinePunct w:val="0"/>
        <w:autoSpaceDE/>
        <w:autoSpaceDN/>
        <w:bidi w:val="0"/>
        <w:adjustRightInd/>
        <w:snapToGrid/>
        <w:spacing w:line="560" w:lineRule="exact"/>
        <w:ind w:left="0" w:leftChars="0" w:firstLine="632" w:firstLineChars="200"/>
        <w:textAlignment w:val="auto"/>
        <w:rPr>
          <w:rFonts w:hint="default" w:ascii="Times New Roman" w:hAnsi="Times New Roman" w:eastAsia="仿宋_GB2312" w:cs="Times New Roman"/>
          <w:bCs/>
          <w:color w:val="auto"/>
          <w:szCs w:val="32"/>
          <w:highlight w:val="none"/>
          <w:lang w:val="en-US" w:eastAsia="zh-CN"/>
        </w:rPr>
      </w:pPr>
      <w:r>
        <w:rPr>
          <w:rFonts w:hint="eastAsia" w:ascii="Times New Roman" w:hAnsi="Times New Roman" w:eastAsia="仿宋_GB2312" w:cs="Times New Roman"/>
          <w:bCs/>
          <w:color w:val="auto"/>
          <w:kern w:val="2"/>
          <w:sz w:val="32"/>
          <w:szCs w:val="32"/>
          <w:lang w:val="en-US" w:eastAsia="zh-CN" w:bidi="ar-SA"/>
        </w:rPr>
        <w:t>（四）</w:t>
      </w:r>
      <w:r>
        <w:rPr>
          <w:rFonts w:hint="default" w:ascii="Times New Roman" w:hAnsi="Times New Roman" w:eastAsia="仿宋_GB2312" w:cs="Times New Roman"/>
          <w:bCs/>
          <w:color w:val="auto"/>
          <w:szCs w:val="32"/>
          <w:highlight w:val="none"/>
        </w:rPr>
        <w:t>固体废物实施分类管理和妥善处理处置。</w:t>
      </w:r>
      <w:r>
        <w:rPr>
          <w:rFonts w:hint="eastAsia" w:ascii="Times New Roman" w:hAnsi="Times New Roman" w:eastAsia="仿宋_GB2312" w:cs="Times New Roman"/>
          <w:color w:val="auto"/>
          <w:szCs w:val="32"/>
        </w:rPr>
        <w:t>回转窑渣经冲渣池自然冷却后进入选铁工段</w:t>
      </w:r>
      <w:r>
        <w:rPr>
          <w:rFonts w:hint="eastAsia" w:ascii="Times New Roman" w:hAnsi="Times New Roman" w:eastAsia="仿宋_GB2312" w:cs="Times New Roman"/>
          <w:color w:val="auto"/>
          <w:szCs w:val="32"/>
          <w:lang w:eastAsia="zh-CN"/>
        </w:rPr>
        <w:t>。脱硫渣返回配料工序作为原料回用。</w:t>
      </w:r>
      <w:r>
        <w:rPr>
          <w:rFonts w:hint="default" w:ascii="Times New Roman" w:hAnsi="Times New Roman" w:eastAsia="仿宋_GB2312" w:cs="Times New Roman"/>
          <w:bCs/>
          <w:color w:val="auto"/>
          <w:szCs w:val="32"/>
          <w:highlight w:val="none"/>
          <w:lang w:val="en-US" w:eastAsia="zh-CN"/>
        </w:rPr>
        <w:t>磁选废渣</w:t>
      </w:r>
      <w:r>
        <w:rPr>
          <w:rFonts w:hint="eastAsia" w:eastAsia="仿宋_GB2312" w:cs="Times New Roman"/>
          <w:sz w:val="32"/>
          <w:szCs w:val="32"/>
          <w:highlight w:val="none"/>
          <w:lang w:val="en-US" w:eastAsia="zh-CN"/>
        </w:rPr>
        <w:t>需进行固体废物属性鉴别，按鉴别结果采取相应处置措施</w:t>
      </w:r>
      <w:r>
        <w:rPr>
          <w:rFonts w:hint="default" w:ascii="Times New Roman" w:hAnsi="Times New Roman" w:eastAsia="仿宋_GB2312" w:cs="Times New Roman"/>
          <w:bCs/>
          <w:color w:val="auto"/>
          <w:szCs w:val="32"/>
          <w:highlight w:val="none"/>
          <w:lang w:val="en-US" w:eastAsia="zh-CN"/>
        </w:rPr>
        <w:t>，若定性为一般工业固体废物，外售水泥厂综合利用，若定性为危险废物</w:t>
      </w:r>
      <w:r>
        <w:rPr>
          <w:rFonts w:hint="eastAsia" w:eastAsia="仿宋_GB2312" w:cs="Times New Roman"/>
          <w:bCs/>
          <w:color w:val="auto"/>
          <w:szCs w:val="32"/>
          <w:highlight w:val="none"/>
          <w:lang w:val="en-US" w:eastAsia="zh-CN"/>
        </w:rPr>
        <w:t>，需</w:t>
      </w:r>
      <w:r>
        <w:rPr>
          <w:rFonts w:hint="default" w:ascii="Times New Roman" w:hAnsi="Times New Roman" w:eastAsia="仿宋_GB2312" w:cs="Times New Roman"/>
          <w:bCs/>
          <w:color w:val="auto"/>
          <w:szCs w:val="32"/>
          <w:highlight w:val="none"/>
          <w:lang w:val="en-US" w:eastAsia="zh-CN"/>
        </w:rPr>
        <w:t>定期委托有资质单位处置</w:t>
      </w:r>
      <w:r>
        <w:rPr>
          <w:rFonts w:hint="eastAsia" w:eastAsia="仿宋_GB2312" w:cs="Times New Roman"/>
          <w:bCs/>
          <w:color w:val="auto"/>
          <w:szCs w:val="32"/>
          <w:highlight w:val="none"/>
          <w:lang w:val="en-US" w:eastAsia="zh-CN"/>
        </w:rPr>
        <w:t>，</w:t>
      </w:r>
      <w:r>
        <w:rPr>
          <w:rFonts w:hint="eastAsia" w:eastAsia="仿宋_GB2312" w:cs="Times New Roman"/>
          <w:sz w:val="32"/>
          <w:szCs w:val="32"/>
          <w:lang w:val="en-US" w:eastAsia="zh-CN"/>
        </w:rPr>
        <w:t>鉴别结果出具之前，严格按照危险废物进行管理</w:t>
      </w:r>
      <w:r>
        <w:rPr>
          <w:rFonts w:hint="default" w:ascii="Times New Roman" w:hAnsi="Times New Roman" w:eastAsia="仿宋_GB2312" w:cs="Times New Roman"/>
          <w:bCs/>
          <w:color w:val="auto"/>
          <w:szCs w:val="32"/>
          <w:highlight w:val="none"/>
          <w:lang w:val="en-US" w:eastAsia="zh-CN"/>
        </w:rPr>
        <w:t>。</w:t>
      </w:r>
      <w:r>
        <w:rPr>
          <w:rFonts w:hint="default" w:ascii="Times New Roman" w:hAnsi="Times New Roman" w:eastAsia="仿宋_GB2312" w:cs="Times New Roman"/>
          <w:bCs/>
          <w:color w:val="auto"/>
          <w:szCs w:val="32"/>
          <w:highlight w:val="none"/>
        </w:rPr>
        <w:t>一般</w:t>
      </w:r>
      <w:r>
        <w:rPr>
          <w:rFonts w:hint="eastAsia" w:eastAsia="仿宋_GB2312" w:cs="Times New Roman"/>
          <w:bCs/>
          <w:color w:val="auto"/>
          <w:szCs w:val="32"/>
          <w:highlight w:val="none"/>
          <w:lang w:val="en-US" w:eastAsia="zh-CN"/>
        </w:rPr>
        <w:t>工业</w:t>
      </w:r>
      <w:r>
        <w:rPr>
          <w:rFonts w:hint="default" w:ascii="Times New Roman" w:hAnsi="Times New Roman" w:eastAsia="仿宋_GB2312" w:cs="Times New Roman"/>
          <w:bCs/>
          <w:color w:val="auto"/>
          <w:szCs w:val="32"/>
          <w:highlight w:val="none"/>
        </w:rPr>
        <w:t>固废原料包装外售给当地回收站处置</w:t>
      </w:r>
      <w:r>
        <w:rPr>
          <w:rFonts w:hint="default" w:ascii="Times New Roman" w:hAnsi="Times New Roman"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lang w:val="en-US" w:eastAsia="zh-CN"/>
        </w:rPr>
        <w:t>压滤渣</w:t>
      </w:r>
      <w:r>
        <w:rPr>
          <w:rFonts w:hint="default" w:ascii="Times New Roman" w:hAnsi="Times New Roman"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lang w:val="en-US" w:eastAsia="zh-CN"/>
        </w:rPr>
        <w:t>沉砷</w:t>
      </w:r>
      <w:r>
        <w:rPr>
          <w:rFonts w:hint="default" w:ascii="Times New Roman" w:hAnsi="Times New Roman" w:eastAsia="仿宋_GB2312" w:cs="Times New Roman"/>
          <w:bCs/>
          <w:color w:val="auto"/>
          <w:szCs w:val="32"/>
          <w:highlight w:val="none"/>
        </w:rPr>
        <w:t>渣</w:t>
      </w:r>
      <w:r>
        <w:rPr>
          <w:rFonts w:hint="default" w:ascii="Times New Roman" w:hAnsi="Times New Roman"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危险废物原料包装</w:t>
      </w:r>
      <w:r>
        <w:rPr>
          <w:rFonts w:hint="default" w:ascii="Times New Roman" w:hAnsi="Times New Roman"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lang w:val="en-US" w:eastAsia="zh-CN"/>
        </w:rPr>
        <w:t>废布</w:t>
      </w:r>
      <w:r>
        <w:rPr>
          <w:rFonts w:hint="default" w:ascii="Times New Roman" w:hAnsi="Times New Roman" w:eastAsia="仿宋_GB2312" w:cs="Times New Roman"/>
          <w:bCs/>
          <w:color w:val="auto"/>
          <w:szCs w:val="32"/>
          <w:highlight w:val="none"/>
        </w:rPr>
        <w:t>袋</w:t>
      </w:r>
      <w:r>
        <w:rPr>
          <w:rFonts w:hint="default" w:ascii="Times New Roman" w:hAnsi="Times New Roman"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废油</w:t>
      </w:r>
      <w:r>
        <w:rPr>
          <w:rFonts w:hint="default" w:ascii="Times New Roman" w:hAnsi="Times New Roman"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lang w:val="en-US" w:eastAsia="zh-CN"/>
        </w:rPr>
        <w:t>废油桶</w:t>
      </w:r>
      <w:r>
        <w:rPr>
          <w:rFonts w:hint="default" w:ascii="Times New Roman" w:hAnsi="Times New Roman"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废含油抹布和手套</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lang w:val="en-US" w:eastAsia="zh-CN"/>
        </w:rPr>
        <w:t>实验室废液</w:t>
      </w:r>
      <w:r>
        <w:rPr>
          <w:rFonts w:hint="eastAsia" w:eastAsia="仿宋_GB2312" w:cs="Times New Roman"/>
          <w:bCs/>
          <w:color w:val="auto"/>
          <w:szCs w:val="32"/>
          <w:highlight w:val="none"/>
          <w:lang w:val="en-US" w:eastAsia="zh-CN"/>
        </w:rPr>
        <w:t>属于危险废物</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暂存于</w:t>
      </w:r>
      <w:r>
        <w:rPr>
          <w:rFonts w:hint="default" w:ascii="Times New Roman" w:hAnsi="Times New Roman" w:eastAsia="仿宋_GB2312" w:cs="Times New Roman"/>
          <w:bCs/>
          <w:color w:val="auto"/>
          <w:szCs w:val="32"/>
          <w:highlight w:val="none"/>
          <w:lang w:eastAsia="zh-CN"/>
        </w:rPr>
        <w:t>危险废物贮存库</w:t>
      </w:r>
      <w:r>
        <w:rPr>
          <w:rFonts w:hint="default" w:ascii="Times New Roman" w:hAnsi="Times New Roman" w:eastAsia="仿宋_GB2312" w:cs="Times New Roman"/>
          <w:bCs/>
          <w:color w:val="auto"/>
          <w:szCs w:val="32"/>
          <w:highlight w:val="none"/>
        </w:rPr>
        <w:t>，委托有资质</w:t>
      </w:r>
      <w:r>
        <w:rPr>
          <w:rFonts w:hint="eastAsia" w:eastAsia="仿宋_GB2312" w:cs="Times New Roman"/>
          <w:bCs/>
          <w:color w:val="auto"/>
          <w:szCs w:val="32"/>
          <w:highlight w:val="none"/>
          <w:lang w:val="en-US" w:eastAsia="zh-CN"/>
        </w:rPr>
        <w:t>的</w:t>
      </w:r>
      <w:r>
        <w:rPr>
          <w:rFonts w:hint="default" w:ascii="Times New Roman" w:hAnsi="Times New Roman" w:eastAsia="仿宋_GB2312" w:cs="Times New Roman"/>
          <w:bCs/>
          <w:color w:val="auto"/>
          <w:szCs w:val="32"/>
          <w:highlight w:val="none"/>
        </w:rPr>
        <w:t>单位处置</w:t>
      </w:r>
      <w:r>
        <w:rPr>
          <w:rFonts w:hint="default" w:ascii="Times New Roman" w:hAnsi="Times New Roman"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lang w:val="en-US" w:eastAsia="zh-CN"/>
        </w:rPr>
        <w:t>危险废物的收集、贮存、运输须符合《危险废物收集 贮存 运输技术规范》（HJ2025-2012）及《危险废物贮存污染控制标准》（GB18597-2023）的相关要求。</w:t>
      </w:r>
      <w:r>
        <w:rPr>
          <w:rFonts w:hint="default" w:ascii="Times New Roman" w:hAnsi="Times New Roman" w:eastAsia="仿宋_GB2312" w:cs="Times New Roman"/>
          <w:bCs/>
          <w:color w:val="auto"/>
          <w:szCs w:val="32"/>
          <w:highlight w:val="none"/>
        </w:rPr>
        <w:t>生活垃圾</w:t>
      </w:r>
      <w:r>
        <w:rPr>
          <w:rFonts w:hint="default" w:ascii="Times New Roman" w:hAnsi="Times New Roman" w:eastAsia="仿宋_GB2312" w:cs="Times New Roman"/>
          <w:bCs/>
          <w:color w:val="auto"/>
          <w:szCs w:val="32"/>
          <w:highlight w:val="none"/>
          <w:lang w:val="en-US" w:eastAsia="zh-CN"/>
        </w:rPr>
        <w:t>、</w:t>
      </w:r>
      <w:r>
        <w:rPr>
          <w:rFonts w:hint="default" w:ascii="Times New Roman" w:hAnsi="Times New Roman" w:eastAsia="仿宋_GB2312" w:cs="Times New Roman"/>
          <w:bCs/>
          <w:color w:val="auto"/>
          <w:szCs w:val="32"/>
          <w:highlight w:val="none"/>
        </w:rPr>
        <w:t>实验室固废</w:t>
      </w:r>
      <w:r>
        <w:rPr>
          <w:rFonts w:hint="default" w:ascii="Times New Roman" w:hAnsi="Times New Roman" w:eastAsia="仿宋_GB2312" w:cs="Times New Roman"/>
          <w:bCs/>
          <w:color w:val="auto"/>
          <w:szCs w:val="32"/>
          <w:highlight w:val="none"/>
          <w:lang w:val="en-US" w:eastAsia="zh-CN"/>
        </w:rPr>
        <w:t>由</w:t>
      </w:r>
      <w:r>
        <w:rPr>
          <w:rFonts w:hint="default" w:ascii="Times New Roman" w:hAnsi="Times New Roman" w:eastAsia="仿宋_GB2312" w:cs="Times New Roman"/>
          <w:bCs/>
          <w:color w:val="auto"/>
          <w:szCs w:val="32"/>
          <w:highlight w:val="none"/>
        </w:rPr>
        <w:t>环卫部门统一清运至生活垃圾填埋场</w:t>
      </w:r>
      <w:r>
        <w:rPr>
          <w:rFonts w:hint="default" w:ascii="Times New Roman" w:hAnsi="Times New Roman" w:eastAsia="仿宋_GB2312" w:cs="Times New Roman"/>
          <w:bCs/>
          <w:color w:val="auto"/>
          <w:szCs w:val="32"/>
          <w:highlight w:val="none"/>
          <w:lang w:eastAsia="zh-CN"/>
        </w:rPr>
        <w:t>。</w:t>
      </w:r>
    </w:p>
    <w:p w14:paraId="06209AD6">
      <w:pPr>
        <w:keepNext w:val="0"/>
        <w:keepLines w:val="0"/>
        <w:pageBreakBefore w:val="0"/>
        <w:widowControl w:val="0"/>
        <w:tabs>
          <w:tab w:val="left" w:pos="379"/>
          <w:tab w:val="left" w:pos="844"/>
          <w:tab w:val="left" w:pos="3060"/>
        </w:tabs>
        <w:kinsoku/>
        <w:wordWrap/>
        <w:overflowPunct/>
        <w:topLinePunct w:val="0"/>
        <w:autoSpaceDE/>
        <w:autoSpaceDN/>
        <w:bidi w:val="0"/>
        <w:adjustRightInd/>
        <w:snapToGrid/>
        <w:spacing w:line="560" w:lineRule="exact"/>
        <w:ind w:firstLine="632" w:firstLineChars="200"/>
        <w:textAlignment w:val="auto"/>
        <w:rPr>
          <w:rFonts w:hint="eastAsia" w:eastAsia="仿宋_GB2312" w:cs="Times New Roman"/>
          <w:color w:val="auto"/>
          <w:kern w:val="2"/>
          <w:szCs w:val="32"/>
          <w:highlight w:val="none"/>
          <w:lang w:eastAsia="zh-CN"/>
        </w:rPr>
      </w:pPr>
      <w:r>
        <w:rPr>
          <w:rFonts w:hint="default" w:ascii="Times New Roman" w:hAnsi="Times New Roman" w:eastAsia="仿宋_GB2312" w:cs="Times New Roman"/>
          <w:color w:val="auto"/>
        </w:rPr>
        <w:t>（</w:t>
      </w:r>
      <w:r>
        <w:rPr>
          <w:rFonts w:hint="eastAsia" w:eastAsia="仿宋_GB2312" w:cs="Times New Roman"/>
          <w:color w:val="auto"/>
          <w:lang w:val="en-US" w:eastAsia="zh-CN"/>
        </w:rPr>
        <w:t>五</w:t>
      </w:r>
      <w:r>
        <w:rPr>
          <w:rFonts w:hint="default" w:ascii="Times New Roman" w:hAnsi="Times New Roman" w:eastAsia="仿宋_GB2312" w:cs="Times New Roman"/>
          <w:color w:val="auto"/>
        </w:rPr>
        <w:t>）严格落实</w:t>
      </w:r>
      <w:r>
        <w:rPr>
          <w:rFonts w:hint="default" w:ascii="Times New Roman" w:hAnsi="Times New Roman" w:eastAsia="仿宋_GB2312" w:cs="Times New Roman"/>
          <w:color w:val="auto"/>
          <w:lang w:val="en-US" w:eastAsia="zh-CN"/>
        </w:rPr>
        <w:t>地下水及</w:t>
      </w:r>
      <w:r>
        <w:rPr>
          <w:rFonts w:hint="default" w:ascii="Times New Roman" w:hAnsi="Times New Roman" w:eastAsia="仿宋_GB2312" w:cs="Times New Roman"/>
          <w:color w:val="auto"/>
        </w:rPr>
        <w:t>土壤污染防治措施。</w:t>
      </w:r>
      <w:r>
        <w:rPr>
          <w:rFonts w:hint="eastAsia" w:eastAsia="仿宋_GB2312" w:cs="Times New Roman"/>
          <w:bCs/>
          <w:color w:val="auto"/>
          <w:szCs w:val="32"/>
          <w:highlight w:val="none"/>
          <w:lang w:eastAsia="zh-CN"/>
        </w:rPr>
        <w:t>按照源头防控、分区防治、污染监控、应急响应的原则进行地下水污染防治。严格按照导则要求，落实分区防渗和监控措施，</w:t>
      </w:r>
      <w:r>
        <w:rPr>
          <w:rFonts w:hint="eastAsia" w:eastAsia="仿宋_GB2312" w:cs="Times New Roman"/>
          <w:bCs/>
          <w:color w:val="auto"/>
          <w:szCs w:val="32"/>
          <w:highlight w:val="none"/>
          <w:lang w:val="en-US" w:eastAsia="zh-CN"/>
        </w:rPr>
        <w:t>对</w:t>
      </w:r>
      <w:r>
        <w:rPr>
          <w:rFonts w:hint="eastAsia" w:ascii="Times New Roman" w:hAnsi="Times New Roman" w:eastAsia="仿宋_GB2312" w:cs="Times New Roman"/>
          <w:color w:val="auto"/>
          <w:szCs w:val="32"/>
        </w:rPr>
        <w:t>生产车间、锌矿渣库房、烘干炉车间、回转窑、研究室、机修间、水渣堆放棚</w:t>
      </w:r>
      <w:r>
        <w:rPr>
          <w:rFonts w:hint="eastAsia" w:ascii="Times New Roman" w:hAnsi="Times New Roman" w:eastAsia="仿宋_GB2312"/>
          <w:color w:val="auto"/>
          <w:lang w:val="en-US" w:eastAsia="zh-CN"/>
        </w:rPr>
        <w:t>进行</w:t>
      </w:r>
      <w:r>
        <w:rPr>
          <w:rFonts w:hint="eastAsia" w:eastAsia="仿宋_GB2312"/>
          <w:color w:val="auto"/>
          <w:lang w:val="en-US" w:eastAsia="zh-CN"/>
        </w:rPr>
        <w:t>重点</w:t>
      </w:r>
      <w:r>
        <w:rPr>
          <w:rFonts w:hint="default" w:ascii="Times New Roman" w:hAnsi="Times New Roman" w:eastAsia="仿宋_GB2312" w:cs="Times New Roman"/>
          <w:color w:val="auto"/>
        </w:rPr>
        <w:t>防渗</w:t>
      </w:r>
      <w:r>
        <w:rPr>
          <w:rFonts w:hint="eastAsia" w:eastAsia="仿宋_GB2312" w:cs="Times New Roman"/>
          <w:color w:val="auto"/>
          <w:lang w:eastAsia="zh-CN"/>
        </w:rPr>
        <w:t>。</w:t>
      </w:r>
      <w:r>
        <w:rPr>
          <w:rFonts w:hint="eastAsia" w:eastAsia="仿宋_GB2312" w:cs="Times New Roman"/>
          <w:color w:val="auto"/>
          <w:lang w:val="en-US" w:eastAsia="zh-CN"/>
        </w:rPr>
        <w:t>对</w:t>
      </w:r>
      <w:r>
        <w:rPr>
          <w:rFonts w:hint="eastAsia" w:eastAsia="仿宋_GB2312" w:cs="Times New Roman"/>
          <w:color w:val="auto"/>
          <w:kern w:val="2"/>
          <w:szCs w:val="32"/>
          <w:highlight w:val="none"/>
          <w:lang w:eastAsia="zh-CN"/>
        </w:rPr>
        <w:t>加强防渗设施的日常维护，对出现损坏的防渗设施应及时修复和加固，确保防渗设施牢固安全。</w:t>
      </w:r>
    </w:p>
    <w:p w14:paraId="1172D56E">
      <w:pPr>
        <w:keepNext w:val="0"/>
        <w:keepLines w:val="0"/>
        <w:pageBreakBefore w:val="0"/>
        <w:widowControl w:val="0"/>
        <w:tabs>
          <w:tab w:val="left" w:pos="379"/>
          <w:tab w:val="left" w:pos="844"/>
          <w:tab w:val="left" w:pos="3060"/>
        </w:tabs>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w:t>
      </w:r>
      <w:r>
        <w:rPr>
          <w:rFonts w:hint="eastAsia" w:eastAsia="仿宋_GB2312" w:cs="Times New Roman"/>
          <w:bCs/>
          <w:color w:val="auto"/>
          <w:szCs w:val="32"/>
          <w:highlight w:val="none"/>
          <w:lang w:val="en-US" w:eastAsia="zh-CN"/>
        </w:rPr>
        <w:t>六</w:t>
      </w:r>
      <w:r>
        <w:rPr>
          <w:rFonts w:hint="default" w:ascii="Times New Roman" w:hAnsi="Times New Roman" w:eastAsia="仿宋_GB2312" w:cs="Times New Roman"/>
          <w:bCs/>
          <w:color w:val="auto"/>
          <w:szCs w:val="32"/>
          <w:highlight w:val="none"/>
        </w:rPr>
        <w:t>）</w:t>
      </w:r>
      <w:r>
        <w:rPr>
          <w:rFonts w:hint="default" w:ascii="Times New Roman" w:hAnsi="Times New Roman" w:eastAsia="仿宋_GB2312" w:cs="Times New Roman"/>
          <w:bCs/>
          <w:color w:val="auto"/>
          <w:szCs w:val="32"/>
          <w:highlight w:val="none"/>
          <w:lang w:eastAsia="zh-CN"/>
        </w:rPr>
        <w:t>加强施工期环境保护，落实防沙治沙措施，防止施工废水、扬尘、噪声污染、水土流失和生态破坏。</w:t>
      </w:r>
    </w:p>
    <w:p w14:paraId="21C8611F">
      <w:pPr>
        <w:keepNext w:val="0"/>
        <w:keepLines w:val="0"/>
        <w:pageBreakBefore w:val="0"/>
        <w:widowControl w:val="0"/>
        <w:tabs>
          <w:tab w:val="left" w:pos="379"/>
          <w:tab w:val="left" w:pos="844"/>
          <w:tab w:val="left" w:pos="3060"/>
        </w:tabs>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w:t>
      </w:r>
      <w:r>
        <w:rPr>
          <w:rFonts w:hint="eastAsia" w:eastAsia="仿宋_GB2312" w:cs="Times New Roman"/>
          <w:bCs/>
          <w:color w:val="auto"/>
          <w:szCs w:val="32"/>
          <w:highlight w:val="none"/>
          <w:lang w:val="en-US" w:eastAsia="zh-CN"/>
        </w:rPr>
        <w:t>七</w:t>
      </w:r>
      <w:r>
        <w:rPr>
          <w:rFonts w:hint="default" w:ascii="Times New Roman" w:hAnsi="Times New Roman" w:eastAsia="仿宋_GB2312" w:cs="Times New Roman"/>
          <w:bCs/>
          <w:color w:val="auto"/>
          <w:szCs w:val="32"/>
          <w:highlight w:val="none"/>
        </w:rPr>
        <w:t>）强化各项环境风险防范措施，有效防范环境风险。定期开展环境风险应急培训和演练，落实各项应急环境管理措施以及各项风险防范措施，确保风险事故得到有效控制。</w:t>
      </w:r>
    </w:p>
    <w:p w14:paraId="24F231E2">
      <w:pPr>
        <w:keepNext w:val="0"/>
        <w:keepLines w:val="0"/>
        <w:pageBreakBefore w:val="0"/>
        <w:widowControl w:val="0"/>
        <w:kinsoku/>
        <w:wordWrap/>
        <w:overflowPunct/>
        <w:topLinePunct w:val="0"/>
        <w:autoSpaceDE/>
        <w:autoSpaceDN/>
        <w:bidi w:val="0"/>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eastAsia" w:eastAsia="仿宋_GB2312" w:cs="Times New Roman"/>
          <w:bCs/>
          <w:color w:val="auto"/>
          <w:szCs w:val="32"/>
          <w:highlight w:val="none"/>
          <w:lang w:eastAsia="zh-CN"/>
        </w:rPr>
        <w:t>（</w:t>
      </w:r>
      <w:r>
        <w:rPr>
          <w:rFonts w:hint="eastAsia" w:eastAsia="仿宋_GB2312" w:cs="Times New Roman"/>
          <w:bCs/>
          <w:color w:val="auto"/>
          <w:szCs w:val="32"/>
          <w:highlight w:val="none"/>
          <w:lang w:val="en-US" w:eastAsia="zh-CN"/>
        </w:rPr>
        <w:t>八</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在工程运营过程中，应建立畅通的公众参与平台，加强宣传与沟通工作，及时解决公众提出的合理环境诉求。定期发布企业环境信息，并主动接受社会监督。</w:t>
      </w:r>
    </w:p>
    <w:p w14:paraId="367ABA6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36983DF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五、环境影响报告</w:t>
      </w:r>
      <w:r>
        <w:rPr>
          <w:rFonts w:hint="eastAsia" w:eastAsia="仿宋_GB2312" w:cs="Times New Roman"/>
          <w:bCs/>
          <w:color w:val="auto"/>
          <w:szCs w:val="32"/>
          <w:highlight w:val="none"/>
          <w:lang w:val="en-US" w:eastAsia="zh-CN"/>
        </w:rPr>
        <w:t>书</w:t>
      </w:r>
      <w:r>
        <w:rPr>
          <w:rFonts w:hint="default" w:ascii="Times New Roman" w:hAnsi="Times New Roman" w:eastAsia="仿宋_GB2312" w:cs="Times New Roman"/>
          <w:bCs/>
          <w:color w:val="auto"/>
          <w:szCs w:val="32"/>
          <w:highlight w:val="none"/>
        </w:rPr>
        <w:t>经批准后，该项目的性质、规模、地点、生产工艺和环境保护措施发生重大变动，且可能导致环境影响显著变化</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特别是不利环境影响加重</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的，应当重新报批该项目环境影响评价报告。</w:t>
      </w:r>
    </w:p>
    <w:p w14:paraId="36131E7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六、在启动生产设施或者在实际排污之前，按照经批准的环境影响评价文件认真梳理并确认各项环境保护措施落实后，依法</w:t>
      </w:r>
      <w:r>
        <w:rPr>
          <w:rFonts w:hint="eastAsia" w:eastAsia="仿宋_GB2312" w:cs="Times New Roman"/>
          <w:bCs/>
          <w:color w:val="auto"/>
          <w:szCs w:val="32"/>
          <w:highlight w:val="none"/>
          <w:lang w:val="en-US" w:eastAsia="zh-CN"/>
        </w:rPr>
        <w:t>依规重新</w:t>
      </w:r>
      <w:r>
        <w:rPr>
          <w:rFonts w:hint="default" w:ascii="Times New Roman" w:hAnsi="Times New Roman" w:eastAsia="仿宋_GB2312" w:cs="Times New Roman"/>
          <w:bCs/>
          <w:color w:val="auto"/>
          <w:szCs w:val="32"/>
          <w:highlight w:val="none"/>
        </w:rPr>
        <w:t>申领排污许可证。</w:t>
      </w:r>
    </w:p>
    <w:p w14:paraId="0212C16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eastAsia" w:eastAsia="仿宋_GB2312" w:cs="Times New Roman"/>
          <w:bCs/>
          <w:color w:val="auto"/>
          <w:szCs w:val="32"/>
          <w:highlight w:val="none"/>
          <w:lang w:val="en-US" w:eastAsia="zh-CN"/>
        </w:rPr>
        <w:t>七</w:t>
      </w:r>
      <w:r>
        <w:rPr>
          <w:rFonts w:hint="default" w:ascii="Times New Roman" w:hAnsi="Times New Roman" w:eastAsia="仿宋_GB2312" w:cs="Times New Roman"/>
          <w:bCs/>
          <w:color w:val="auto"/>
          <w:szCs w:val="32"/>
          <w:highlight w:val="none"/>
        </w:rPr>
        <w:t>、胡杨河经济技术开发区应急管理和环境保护局要切实承担事中事后监管主要责任，履行属地监管职责，按照《关于进一步完善建设项目环境保护“三同时”及竣工环境保护自主验收监管工作机制的意见》（环执法〔2021〕70号）要求，加强对该项目环境保护“三同时”及自主验收监管。</w:t>
      </w:r>
    </w:p>
    <w:p w14:paraId="66A63F0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bCs/>
          <w:color w:val="auto"/>
          <w:szCs w:val="32"/>
          <w:highlight w:val="none"/>
        </w:rPr>
      </w:pPr>
      <w:r>
        <w:rPr>
          <w:rFonts w:hint="eastAsia" w:eastAsia="仿宋_GB2312" w:cs="Times New Roman"/>
          <w:bCs/>
          <w:color w:val="auto"/>
          <w:szCs w:val="32"/>
          <w:highlight w:val="none"/>
          <w:lang w:val="en-US" w:eastAsia="zh-CN"/>
        </w:rPr>
        <w:t>八</w:t>
      </w:r>
      <w:r>
        <w:rPr>
          <w:rFonts w:hint="default" w:ascii="Times New Roman" w:hAnsi="Times New Roman" w:eastAsia="仿宋_GB2312" w:cs="Times New Roman"/>
          <w:bCs/>
          <w:color w:val="auto"/>
          <w:szCs w:val="32"/>
          <w:highlight w:val="none"/>
        </w:rPr>
        <w:t>、我局委托师市生态环境保护综合行政执法支队负责该项目的事中事后监管，生态环境监测站按职责开展相关监管工作，我局负责对“三同时”及自主验收监管工作的监督指导。你单位应在接到本批复后20个工作日内，将批准后的环境影响报告</w:t>
      </w:r>
      <w:r>
        <w:rPr>
          <w:rFonts w:hint="eastAsia" w:eastAsia="仿宋_GB2312" w:cs="Times New Roman"/>
          <w:bCs/>
          <w:color w:val="auto"/>
          <w:szCs w:val="32"/>
          <w:highlight w:val="none"/>
          <w:lang w:val="en-US" w:eastAsia="zh-CN"/>
        </w:rPr>
        <w:t>书</w:t>
      </w:r>
      <w:r>
        <w:rPr>
          <w:rFonts w:hint="default" w:ascii="Times New Roman" w:hAnsi="Times New Roman" w:eastAsia="仿宋_GB2312" w:cs="Times New Roman"/>
          <w:bCs/>
          <w:color w:val="auto"/>
          <w:szCs w:val="32"/>
          <w:highlight w:val="none"/>
        </w:rPr>
        <w:t>送师市生态环境保护综合行政执法支队、生态环境监测站、胡杨河经济技术开发区应急管理和环境保护局，并按规定接受各级生态环境主管部门的监督检查。</w:t>
      </w:r>
    </w:p>
    <w:p w14:paraId="3F8719BC">
      <w:pPr>
        <w:keepNext w:val="0"/>
        <w:keepLines w:val="0"/>
        <w:pageBreakBefore w:val="0"/>
        <w:widowControl w:val="0"/>
        <w:kinsoku/>
        <w:wordWrap/>
        <w:overflowPunct/>
        <w:topLinePunct w:val="0"/>
        <w:autoSpaceDE/>
        <w:autoSpaceDN/>
        <w:bidi w:val="0"/>
        <w:adjustRightInd/>
        <w:snapToGrid/>
        <w:spacing w:line="740" w:lineRule="exact"/>
        <w:ind w:firstLine="4740" w:firstLineChars="1500"/>
        <w:textAlignment w:val="auto"/>
        <w:rPr>
          <w:rFonts w:hint="default" w:ascii="Times New Roman" w:hAnsi="Times New Roman" w:eastAsia="仿宋_GB2312" w:cs="Times New Roman"/>
          <w:bCs/>
          <w:color w:val="auto"/>
          <w:szCs w:val="32"/>
          <w:highlight w:val="none"/>
        </w:rPr>
      </w:pPr>
    </w:p>
    <w:p w14:paraId="6E2FBCCF">
      <w:pPr>
        <w:keepNext w:val="0"/>
        <w:keepLines w:val="0"/>
        <w:pageBreakBefore w:val="0"/>
        <w:widowControl w:val="0"/>
        <w:kinsoku/>
        <w:wordWrap/>
        <w:overflowPunct/>
        <w:topLinePunct w:val="0"/>
        <w:autoSpaceDE/>
        <w:autoSpaceDN/>
        <w:bidi w:val="0"/>
        <w:adjustRightInd/>
        <w:snapToGrid/>
        <w:spacing w:line="740" w:lineRule="exact"/>
        <w:ind w:firstLine="4740" w:firstLineChars="1500"/>
        <w:textAlignment w:val="auto"/>
        <w:rPr>
          <w:rFonts w:hint="default" w:ascii="Times New Roman" w:hAnsi="Times New Roman" w:eastAsia="仿宋_GB2312" w:cs="Times New Roman"/>
          <w:bCs/>
          <w:color w:val="auto"/>
          <w:szCs w:val="32"/>
          <w:highlight w:val="none"/>
        </w:rPr>
      </w:pPr>
    </w:p>
    <w:p w14:paraId="5167903C">
      <w:pPr>
        <w:keepNext w:val="0"/>
        <w:keepLines w:val="0"/>
        <w:pageBreakBefore w:val="0"/>
        <w:widowControl w:val="0"/>
        <w:kinsoku/>
        <w:wordWrap/>
        <w:overflowPunct/>
        <w:topLinePunct w:val="0"/>
        <w:autoSpaceDE/>
        <w:autoSpaceDN/>
        <w:bidi w:val="0"/>
        <w:adjustRightInd/>
        <w:snapToGrid/>
        <w:spacing w:line="400" w:lineRule="exact"/>
        <w:ind w:firstLine="4740" w:firstLineChars="15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 xml:space="preserve">第七师胡杨河市生态环境局 </w:t>
      </w:r>
    </w:p>
    <w:p w14:paraId="64D7B946">
      <w:pPr>
        <w:keepNext w:val="0"/>
        <w:keepLines w:val="0"/>
        <w:pageBreakBefore w:val="0"/>
        <w:widowControl w:val="0"/>
        <w:kinsoku/>
        <w:wordWrap/>
        <w:overflowPunct/>
        <w:topLinePunct w:val="0"/>
        <w:autoSpaceDE/>
        <w:autoSpaceDN/>
        <w:bidi w:val="0"/>
        <w:adjustRightInd/>
        <w:snapToGrid/>
        <w:spacing w:line="400" w:lineRule="exact"/>
        <w:ind w:firstLine="5372" w:firstLineChars="17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Cs/>
          <w:color w:val="auto"/>
          <w:szCs w:val="32"/>
          <w:highlight w:val="none"/>
        </w:rPr>
        <w:t>202</w:t>
      </w:r>
      <w:r>
        <w:rPr>
          <w:rFonts w:hint="eastAsia" w:eastAsia="仿宋_GB2312" w:cs="Times New Roman"/>
          <w:bCs/>
          <w:color w:val="auto"/>
          <w:szCs w:val="32"/>
          <w:highlight w:val="none"/>
          <w:lang w:val="en-US" w:eastAsia="zh-CN"/>
        </w:rPr>
        <w:t>6</w:t>
      </w:r>
      <w:r>
        <w:rPr>
          <w:rFonts w:hint="default" w:ascii="Times New Roman" w:hAnsi="Times New Roman" w:eastAsia="仿宋_GB2312" w:cs="Times New Roman"/>
          <w:bCs/>
          <w:color w:val="auto"/>
          <w:szCs w:val="32"/>
          <w:highlight w:val="none"/>
        </w:rPr>
        <w:t>年</w:t>
      </w:r>
      <w:r>
        <w:rPr>
          <w:rFonts w:hint="eastAsia" w:eastAsia="仿宋_GB2312" w:cs="Times New Roman"/>
          <w:bCs/>
          <w:color w:val="auto"/>
          <w:szCs w:val="32"/>
          <w:highlight w:val="none"/>
          <w:lang w:val="en-US" w:eastAsia="zh-CN"/>
        </w:rPr>
        <w:t>9</w:t>
      </w:r>
      <w:r>
        <w:rPr>
          <w:rFonts w:hint="default" w:ascii="Times New Roman" w:hAnsi="Times New Roman" w:eastAsia="仿宋_GB2312" w:cs="Times New Roman"/>
          <w:bCs/>
          <w:color w:val="auto"/>
          <w:szCs w:val="32"/>
          <w:highlight w:val="none"/>
        </w:rPr>
        <w:t>月</w:t>
      </w:r>
      <w:r>
        <w:rPr>
          <w:rFonts w:hint="eastAsia" w:eastAsia="仿宋_GB2312" w:cs="Times New Roman"/>
          <w:bCs/>
          <w:color w:val="auto"/>
          <w:szCs w:val="32"/>
          <w:highlight w:val="none"/>
          <w:lang w:val="en-US" w:eastAsia="zh-CN"/>
        </w:rPr>
        <w:t>9</w:t>
      </w:r>
      <w:r>
        <w:rPr>
          <w:rFonts w:hint="default" w:ascii="Times New Roman" w:hAnsi="Times New Roman" w:eastAsia="仿宋_GB2312" w:cs="Times New Roman"/>
          <w:bCs/>
          <w:color w:val="auto"/>
          <w:szCs w:val="32"/>
          <w:highlight w:val="none"/>
        </w:rPr>
        <w:t>日</w:t>
      </w:r>
    </w:p>
    <w:p w14:paraId="78E62357">
      <w:pPr>
        <w:spacing w:line="400" w:lineRule="exact"/>
        <w:ind w:right="316" w:rightChars="100"/>
        <w:rPr>
          <w:rFonts w:hint="default" w:ascii="Times New Roman" w:hAnsi="Times New Roman" w:eastAsia="仿宋_GB2312" w:cs="Times New Roman"/>
          <w:color w:val="auto"/>
          <w:sz w:val="28"/>
          <w:szCs w:val="28"/>
        </w:rPr>
      </w:pPr>
    </w:p>
    <w:p w14:paraId="0899815C">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38B5262">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7DAAFEB">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386C91C4">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51368CDA">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19F12197">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6BA3949">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BCC7755">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DFEB575">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2C7126D">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16956E2E">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941AAC6">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79B36E5">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E7019DD">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6947C309">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EB24CF2">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751B106">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D32A463">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4B846CB">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657B2A3A">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ABEA5B0">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3973C789">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4BF80185">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694F00AA">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3AD3C19">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5139DE5E">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2690F33E">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C7D9605">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1869286">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658A1316">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4355FAF">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1E9A3636">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10BC3144">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5A7E4C1">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1A32859D">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68CC7E88">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25433E32">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5ECF0B4F">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05598D9D">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6648C2A0">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2C1C4E34">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27DE9AB8">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22ED02F0">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7A0823C4">
      <w:pPr>
        <w:spacing w:line="400" w:lineRule="exact"/>
        <w:ind w:right="316" w:rightChars="100"/>
        <w:rPr>
          <w:rFonts w:hint="default" w:ascii="Times New Roman" w:hAnsi="Times New Roman" w:eastAsia="仿宋_GB2312" w:cs="Times New Roman"/>
          <w:color w:val="auto"/>
          <w:sz w:val="28"/>
          <w:szCs w:val="28"/>
        </w:rPr>
      </w:pPr>
    </w:p>
    <w:p w14:paraId="49429696">
      <w:pPr>
        <w:spacing w:line="400" w:lineRule="exact"/>
        <w:ind w:right="316" w:rightChars="100"/>
        <w:rPr>
          <w:rFonts w:hint="default" w:ascii="Times New Roman" w:hAnsi="Times New Roman" w:eastAsia="仿宋_GB2312" w:cs="Times New Roman"/>
          <w:color w:val="auto"/>
          <w:sz w:val="28"/>
          <w:szCs w:val="28"/>
        </w:rPr>
      </w:pPr>
    </w:p>
    <w:p w14:paraId="0EFF4A78">
      <w:pPr>
        <w:spacing w:line="400" w:lineRule="exact"/>
        <w:ind w:right="316" w:rightChars="100"/>
        <w:rPr>
          <w:rFonts w:hint="default" w:ascii="Times New Roman" w:hAnsi="Times New Roman" w:eastAsia="仿宋_GB2312" w:cs="Times New Roman"/>
          <w:color w:val="auto"/>
          <w:sz w:val="28"/>
          <w:szCs w:val="28"/>
        </w:rPr>
      </w:pPr>
    </w:p>
    <w:p w14:paraId="35C2C75D">
      <w:pPr>
        <w:spacing w:line="400" w:lineRule="exact"/>
        <w:ind w:right="316" w:rightChars="1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-10795</wp:posOffset>
                </wp:positionV>
                <wp:extent cx="5568315" cy="10795"/>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5568315" cy="10795"/>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0.85pt;height:0.85pt;width:438.45pt;z-index:251660288;mso-width-relative:page;mso-height-relative:page;" filled="f" stroked="t" coordsize="21600,21600" o:gfxdata="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PhbN/TAAAABAEAAA8AAAAAAAAAAQAgAAAAIgAAAGRycy9kb3du&#10;cmV2LnhtbFBLAQIUABQAAAAIAIdO4kCJn9VuBAIAAAEEAAAOAAAAAAAAAAEAIAAAACIBAABkcnMv&#10;ZTJvRG9jLnhtbFBLBQYAAAAABgAGAFkBAACYBQ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抄送：师市生态环境保护综合行政执法支队、生态环境监测站、胡杨河经济技术开发区应急管理和环境保护局。</w:t>
      </w:r>
    </w:p>
    <w:p w14:paraId="66A4461E">
      <w:pPr>
        <w:spacing w:line="600" w:lineRule="exact"/>
        <w:ind w:right="316" w:rightChars="100" w:firstLine="254" w:firstLineChars="100"/>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color w:val="auto"/>
          <w:spacing w:val="-11"/>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382270</wp:posOffset>
                </wp:positionV>
                <wp:extent cx="5615940" cy="1905"/>
                <wp:effectExtent l="0" t="0" r="0" b="0"/>
                <wp:wrapNone/>
                <wp:docPr id="2" name="直接连接符 2"/>
                <wp:cNvGraphicFramePr/>
                <a:graphic xmlns:a="http://schemas.openxmlformats.org/drawingml/2006/main">
                  <a:graphicData uri="http://schemas.microsoft.com/office/word/2010/wordprocessingShape">
                    <wps:wsp>
                      <wps:cNvCnPr/>
                      <wps:spPr>
                        <a:xfrm>
                          <a:off x="0" y="0"/>
                          <a:ext cx="5615940" cy="1905"/>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0.1pt;height:0.15pt;width:442.2pt;z-index:251661312;mso-width-relative:page;mso-height-relative:page;" filled="f" stroked="t" coordsize="21600,21600" o:gfxdata="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5uTPV1AAAAAYBAAAPAAAAAAAAAAEAIAAAACIAAABkcnMvZG93bnJldi54bWxQSwEC&#10;FAAUAAAACACHTuJAHiSEh/gBAAD2AwAADgAAAAAAAAABACAAAAAjAQAAZHJzL2Uyb0RvYy54bWxQ&#10;SwUGAAAAAAYABgBZAQAAjQU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spacing w:val="-11"/>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-6350</wp:posOffset>
                </wp:positionV>
                <wp:extent cx="5577840" cy="6350"/>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5577840" cy="635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0.5pt;height:0.5pt;width:439.2pt;z-index:251661312;mso-width-relative:page;mso-height-relative:page;" filled="f" stroked="t" coordsize="21600,21600" o:gfxdata="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4iMwQNMAAAAEAQAADwAAAAAAAAABACAAAAAiAAAAZHJzL2Rv&#10;d25yZXYueG1sUEsBAhQAFAAAAAgAh07iQPj8sJsGAgAA/wMAAA4AAAAAAAAAAQAgAAAAIgEAAGRy&#10;cy9lMm9Eb2MueG1sUEsFBgAAAAAGAAYAWQEAAJoFA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pacing w:val="-11"/>
          <w:sz w:val="28"/>
          <w:szCs w:val="28"/>
        </w:rPr>
        <w:t>新疆生产建设兵团第七师胡杨河市生态环境局</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202</w:t>
      </w:r>
      <w:r>
        <w:rPr>
          <w:rFonts w:hint="eastAsia" w:eastAsia="仿宋_GB2312" w:cs="Times New Roman"/>
          <w:color w:val="auto"/>
          <w:sz w:val="28"/>
          <w:szCs w:val="28"/>
          <w:lang w:val="en-US" w:eastAsia="zh-CN"/>
        </w:rPr>
        <w:t>6</w:t>
      </w:r>
      <w:r>
        <w:rPr>
          <w:rFonts w:hint="default" w:ascii="Times New Roman" w:hAnsi="Times New Roman" w:eastAsia="仿宋_GB2312" w:cs="Times New Roman"/>
          <w:color w:val="auto"/>
          <w:sz w:val="28"/>
          <w:szCs w:val="28"/>
        </w:rPr>
        <w:t>年</w:t>
      </w:r>
      <w:r>
        <w:rPr>
          <w:rFonts w:hint="eastAsia"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rPr>
        <w:t>月</w:t>
      </w:r>
      <w:r>
        <w:rPr>
          <w:rFonts w:hint="eastAsia" w:eastAsia="仿宋_GB2312" w:cs="Times New Roman"/>
          <w:color w:val="auto"/>
          <w:sz w:val="28"/>
          <w:szCs w:val="28"/>
          <w:lang w:val="en-US" w:eastAsia="zh-CN"/>
        </w:rPr>
        <w:t>9</w:t>
      </w:r>
      <w:r>
        <w:rPr>
          <w:rFonts w:hint="default" w:ascii="Times New Roman" w:hAnsi="Times New Roman" w:eastAsia="仿宋_GB2312" w:cs="Times New Roman"/>
          <w:color w:val="auto"/>
          <w:sz w:val="28"/>
          <w:szCs w:val="28"/>
        </w:rPr>
        <w:t>日印发</w:t>
      </w:r>
    </w:p>
    <w:sectPr>
      <w:headerReference r:id="rId3" w:type="default"/>
      <w:footerReference r:id="rId4" w:type="default"/>
      <w:footerReference r:id="rId5" w:type="even"/>
      <w:pgSz w:w="11906" w:h="16838"/>
      <w:pgMar w:top="2098" w:right="1474" w:bottom="1984" w:left="1587" w:header="851" w:footer="1418" w:gutter="0"/>
      <w:pgNumType w:fmt="decimal"/>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swiss"/>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ronet">
    <w:altName w:val="微软雅黑"/>
    <w:panose1 w:val="00000000000000000000"/>
    <w:charset w:val="00"/>
    <w:family w:val="script"/>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auto"/>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66150">
    <w:pPr>
      <w:pStyle w:val="11"/>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219075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3E986">
                          <w:pPr>
                            <w:pStyle w:val="11"/>
                            <w:ind w:left="320" w:leftChars="100" w:right="320" w:rightChars="100"/>
                            <w:rPr>
                              <w:rStyle w:val="22"/>
                              <w:rFonts w:hint="eastAsia" w:ascii="仿宋_GB2312" w:eastAsia="仿宋_GB2312"/>
                              <w:b/>
                              <w:bCs/>
                              <w:sz w:val="28"/>
                              <w:szCs w:val="28"/>
                            </w:rPr>
                          </w:pPr>
                          <w:r>
                            <w:rPr>
                              <w:rStyle w:val="22"/>
                              <w:rFonts w:hint="eastAsia" w:ascii="仿宋_GB2312" w:eastAsia="仿宋_GB2312"/>
                              <w:sz w:val="28"/>
                              <w:szCs w:val="28"/>
                            </w:rPr>
                            <w:t xml:space="preserve">— </w:t>
                          </w:r>
                          <w:r>
                            <w:rPr>
                              <w:rFonts w:hint="eastAsia" w:ascii="宋体" w:hAnsi="宋体" w:eastAsia="宋体" w:cs="宋体"/>
                              <w:sz w:val="28"/>
                              <w:szCs w:val="28"/>
                            </w:rPr>
                            <w:fldChar w:fldCharType="begin"/>
                          </w:r>
                          <w:r>
                            <w:rPr>
                              <w:rStyle w:val="22"/>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22"/>
                              <w:rFonts w:hint="eastAsia" w:ascii="宋体" w:hAnsi="宋体" w:eastAsia="宋体" w:cs="宋体"/>
                              <w:sz w:val="28"/>
                              <w:szCs w:val="28"/>
                            </w:rPr>
                            <w:t>1</w:t>
                          </w:r>
                          <w:r>
                            <w:rPr>
                              <w:rFonts w:hint="eastAsia" w:ascii="宋体" w:hAnsi="宋体" w:eastAsia="宋体" w:cs="宋体"/>
                              <w:sz w:val="28"/>
                              <w:szCs w:val="28"/>
                            </w:rPr>
                            <w:fldChar w:fldCharType="end"/>
                          </w:r>
                          <w:r>
                            <w:rPr>
                              <w:rStyle w:val="22"/>
                              <w:rFonts w:hint="eastAsia" w:ascii="仿宋_GB2312" w:eastAsia="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7.25pt;height:144pt;width:144pt;mso-position-horizontal:outside;mso-position-horizontal-relative:margin;mso-wrap-style:none;z-index:251659264;mso-width-relative:page;mso-height-relative:page;" filled="f" stroked="f" coordsize="21600,21600" o:gfxdata="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F/LxMNQAAAAH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3EF3E986">
                    <w:pPr>
                      <w:pStyle w:val="11"/>
                      <w:ind w:left="320" w:leftChars="100" w:right="320" w:rightChars="100"/>
                      <w:rPr>
                        <w:rStyle w:val="22"/>
                        <w:rFonts w:hint="eastAsia" w:ascii="仿宋_GB2312" w:eastAsia="仿宋_GB2312"/>
                        <w:b/>
                        <w:bCs/>
                        <w:sz w:val="28"/>
                        <w:szCs w:val="28"/>
                      </w:rPr>
                    </w:pPr>
                    <w:r>
                      <w:rPr>
                        <w:rStyle w:val="22"/>
                        <w:rFonts w:hint="eastAsia" w:ascii="仿宋_GB2312" w:eastAsia="仿宋_GB2312"/>
                        <w:sz w:val="28"/>
                        <w:szCs w:val="28"/>
                      </w:rPr>
                      <w:t xml:space="preserve">— </w:t>
                    </w:r>
                    <w:r>
                      <w:rPr>
                        <w:rFonts w:hint="eastAsia" w:ascii="宋体" w:hAnsi="宋体" w:eastAsia="宋体" w:cs="宋体"/>
                        <w:sz w:val="28"/>
                        <w:szCs w:val="28"/>
                      </w:rPr>
                      <w:fldChar w:fldCharType="begin"/>
                    </w:r>
                    <w:r>
                      <w:rPr>
                        <w:rStyle w:val="22"/>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22"/>
                        <w:rFonts w:hint="eastAsia" w:ascii="宋体" w:hAnsi="宋体" w:eastAsia="宋体" w:cs="宋体"/>
                        <w:sz w:val="28"/>
                        <w:szCs w:val="28"/>
                      </w:rPr>
                      <w:t>1</w:t>
                    </w:r>
                    <w:r>
                      <w:rPr>
                        <w:rFonts w:hint="eastAsia" w:ascii="宋体" w:hAnsi="宋体" w:eastAsia="宋体" w:cs="宋体"/>
                        <w:sz w:val="28"/>
                        <w:szCs w:val="28"/>
                      </w:rPr>
                      <w:fldChar w:fldCharType="end"/>
                    </w:r>
                    <w:r>
                      <w:rPr>
                        <w:rStyle w:val="22"/>
                        <w:rFonts w:hint="eastAsia" w:ascii="仿宋_GB2312" w:eastAsia="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7F3F2">
    <w:pPr>
      <w:pStyle w:val="11"/>
      <w:framePr w:wrap="around" w:vAnchor="text" w:hAnchor="margin" w:xAlign="outside" w:y="1"/>
      <w:rPr>
        <w:rStyle w:val="22"/>
      </w:rPr>
    </w:pPr>
    <w:r>
      <w:fldChar w:fldCharType="begin"/>
    </w:r>
    <w:r>
      <w:rPr>
        <w:rStyle w:val="22"/>
      </w:rPr>
      <w:instrText xml:space="preserve">PAGE  </w:instrText>
    </w:r>
    <w:r>
      <w:fldChar w:fldCharType="separate"/>
    </w:r>
    <w:r>
      <w:rPr>
        <w:rStyle w:val="22"/>
      </w:rPr>
      <w:t>1</w:t>
    </w:r>
    <w:r>
      <w:fldChar w:fldCharType="end"/>
    </w:r>
  </w:p>
  <w:p w14:paraId="0475D362">
    <w:pPr>
      <w:pStyle w:val="11"/>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9CAC5">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401AFB"/>
    <w:multiLevelType w:val="multilevel"/>
    <w:tmpl w:val="7F401AFB"/>
    <w:lvl w:ilvl="0" w:tentative="0">
      <w:start w:val="1"/>
      <w:numFmt w:val="decimal"/>
      <w:pStyle w:val="2"/>
      <w:suff w:val="space"/>
      <w:lvlText w:val="%1"/>
      <w:lvlJc w:val="center"/>
      <w:pPr>
        <w:ind w:left="0" w:firstLine="0"/>
      </w:pPr>
      <w:rPr>
        <w:rFonts w:hint="default" w:ascii="Times New Roman" w:hAnsi="Times New Roman" w:eastAsia="宋体"/>
        <w:b/>
        <w:i w:val="0"/>
        <w:caps w:val="0"/>
        <w:strike w:val="0"/>
        <w:dstrike w:val="0"/>
        <w:vanish w:val="0"/>
        <w:color w:val="auto"/>
        <w:sz w:val="28"/>
        <w:szCs w:val="32"/>
        <w:u w:val="none"/>
        <w:vertAlign w:val="baseline"/>
      </w:rPr>
    </w:lvl>
    <w:lvl w:ilvl="1" w:tentative="0">
      <w:start w:val="1"/>
      <w:numFmt w:val="decimal"/>
      <w:isLgl/>
      <w:suff w:val="space"/>
      <w:lvlText w:val="%1.%2"/>
      <w:lvlJc w:val="left"/>
      <w:pPr>
        <w:ind w:left="0" w:firstLine="0"/>
      </w:pPr>
      <w:rPr>
        <w:rFonts w:hint="default" w:ascii="Times New Roman" w:hAnsi="Times New Roman" w:eastAsia="宋体"/>
        <w:b/>
        <w:i w:val="0"/>
        <w:caps w:val="0"/>
        <w:smallCaps w:val="0"/>
        <w:strike w:val="0"/>
        <w:dstrike w:val="0"/>
        <w:vanish w:val="0"/>
        <w:spacing w:val="0"/>
        <w:position w:val="0"/>
        <w:sz w:val="24"/>
        <w:u w:val="none"/>
        <w:vertAlign w:val="baseline"/>
      </w:rPr>
    </w:lvl>
    <w:lvl w:ilvl="2" w:tentative="0">
      <w:start w:val="1"/>
      <w:numFmt w:val="decimal"/>
      <w:suff w:val="space"/>
      <w:lvlText w:val="%1.%2.%3"/>
      <w:lvlJc w:val="left"/>
      <w:pPr>
        <w:ind w:left="280" w:firstLine="0"/>
      </w:pPr>
      <w:rPr>
        <w:rFonts w:hint="default" w:ascii="Times New Roman" w:hAnsi="Times New Roman" w:eastAsia="宋体"/>
        <w:b w:val="0"/>
        <w:i w:val="0"/>
        <w:caps w:val="0"/>
        <w:strike w:val="0"/>
        <w:dstrike w:val="0"/>
        <w:vanish w:val="0"/>
        <w:color w:val="auto"/>
        <w:sz w:val="24"/>
        <w:szCs w:val="28"/>
        <w:u w:val="none"/>
        <w:vertAlign w:val="baseline"/>
      </w:rPr>
    </w:lvl>
    <w:lvl w:ilvl="3" w:tentative="0">
      <w:start w:val="1"/>
      <w:numFmt w:val="decimal"/>
      <w:isLgl/>
      <w:suff w:val="space"/>
      <w:lvlText w:val="%1.%2.%3.%4"/>
      <w:lvlJc w:val="left"/>
      <w:pPr>
        <w:ind w:left="0" w:firstLine="0"/>
      </w:pPr>
      <w:rPr>
        <w:rFonts w:hint="default" w:ascii="Times New Roman" w:hAnsi="Times New Roman" w:eastAsia="宋体" w:cs="Coronet"/>
        <w:b w:val="0"/>
        <w:bCs w:val="0"/>
        <w:i w:val="0"/>
        <w:iCs w:val="0"/>
        <w:caps w:val="0"/>
        <w:smallCaps w:val="0"/>
        <w:strike w:val="0"/>
        <w:dstrike w:val="0"/>
        <w:vanish w:val="0"/>
        <w:spacing w:val="0"/>
        <w:kern w:val="0"/>
        <w:position w:val="0"/>
        <w:u w:val="none"/>
        <w:vertAlign w:val="baseline"/>
        <w:lang w:val="en-US"/>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1NzQzYjNhYTE2OGQ5MDI4ZjFiOTZkOTM2ZTYxYzcifQ=="/>
    <w:docVar w:name="KSO_WPS_MARK_KEY" w:val="d26b9c51-6e15-4a45-9ce6-093b6e674425"/>
  </w:docVars>
  <w:rsids>
    <w:rsidRoot w:val="007E248D"/>
    <w:rsid w:val="003C56A9"/>
    <w:rsid w:val="004964B4"/>
    <w:rsid w:val="004E2243"/>
    <w:rsid w:val="00551627"/>
    <w:rsid w:val="00667BE7"/>
    <w:rsid w:val="006E0941"/>
    <w:rsid w:val="00716EAB"/>
    <w:rsid w:val="007E248D"/>
    <w:rsid w:val="008833E6"/>
    <w:rsid w:val="008E7DDF"/>
    <w:rsid w:val="009102E5"/>
    <w:rsid w:val="009C6F11"/>
    <w:rsid w:val="00B8473B"/>
    <w:rsid w:val="00BB7897"/>
    <w:rsid w:val="00C43B00"/>
    <w:rsid w:val="00C514AC"/>
    <w:rsid w:val="00D003EC"/>
    <w:rsid w:val="00D774FB"/>
    <w:rsid w:val="00DC26F3"/>
    <w:rsid w:val="00DE4A81"/>
    <w:rsid w:val="00EC6E6C"/>
    <w:rsid w:val="00F617BE"/>
    <w:rsid w:val="00FB12F8"/>
    <w:rsid w:val="01913DF5"/>
    <w:rsid w:val="02370362"/>
    <w:rsid w:val="02B04EBD"/>
    <w:rsid w:val="03752488"/>
    <w:rsid w:val="046775AC"/>
    <w:rsid w:val="04B77D73"/>
    <w:rsid w:val="05207129"/>
    <w:rsid w:val="05363F97"/>
    <w:rsid w:val="05737345"/>
    <w:rsid w:val="06281A38"/>
    <w:rsid w:val="06C71389"/>
    <w:rsid w:val="06CC7B06"/>
    <w:rsid w:val="07061550"/>
    <w:rsid w:val="07E14CFA"/>
    <w:rsid w:val="081F0F86"/>
    <w:rsid w:val="08EC6D80"/>
    <w:rsid w:val="0994708F"/>
    <w:rsid w:val="09E77F18"/>
    <w:rsid w:val="09F20A9E"/>
    <w:rsid w:val="0A1B1122"/>
    <w:rsid w:val="0B204BAA"/>
    <w:rsid w:val="0BBC2B25"/>
    <w:rsid w:val="0BC649E1"/>
    <w:rsid w:val="0C48468D"/>
    <w:rsid w:val="0C7E602C"/>
    <w:rsid w:val="0CE57E5A"/>
    <w:rsid w:val="0E130163"/>
    <w:rsid w:val="0E7B0A75"/>
    <w:rsid w:val="0EDB59B8"/>
    <w:rsid w:val="0F0F11BE"/>
    <w:rsid w:val="0FE304CE"/>
    <w:rsid w:val="108E1DC4"/>
    <w:rsid w:val="12130FC5"/>
    <w:rsid w:val="128F6BA3"/>
    <w:rsid w:val="12C7072D"/>
    <w:rsid w:val="141E2CF7"/>
    <w:rsid w:val="151B7857"/>
    <w:rsid w:val="15437E13"/>
    <w:rsid w:val="16733296"/>
    <w:rsid w:val="16B800EE"/>
    <w:rsid w:val="16E15B36"/>
    <w:rsid w:val="16F05D79"/>
    <w:rsid w:val="177121A0"/>
    <w:rsid w:val="17D3547E"/>
    <w:rsid w:val="18552337"/>
    <w:rsid w:val="18A773D4"/>
    <w:rsid w:val="18C9062F"/>
    <w:rsid w:val="19A10D50"/>
    <w:rsid w:val="1A597231"/>
    <w:rsid w:val="1CB02232"/>
    <w:rsid w:val="1D664248"/>
    <w:rsid w:val="1D8B05A9"/>
    <w:rsid w:val="1E460B4D"/>
    <w:rsid w:val="1E7948A6"/>
    <w:rsid w:val="1ECB5101"/>
    <w:rsid w:val="1F7532BF"/>
    <w:rsid w:val="203531CA"/>
    <w:rsid w:val="205C4B20"/>
    <w:rsid w:val="20783D41"/>
    <w:rsid w:val="21162F81"/>
    <w:rsid w:val="21DD6837"/>
    <w:rsid w:val="2250591D"/>
    <w:rsid w:val="232E3EB1"/>
    <w:rsid w:val="233D7B4C"/>
    <w:rsid w:val="23D22A8E"/>
    <w:rsid w:val="23DC56BB"/>
    <w:rsid w:val="23E10AC4"/>
    <w:rsid w:val="24057B5F"/>
    <w:rsid w:val="24696853"/>
    <w:rsid w:val="24765B0F"/>
    <w:rsid w:val="247C78BD"/>
    <w:rsid w:val="250B5DC7"/>
    <w:rsid w:val="256C6F12"/>
    <w:rsid w:val="25B11864"/>
    <w:rsid w:val="260C6FC7"/>
    <w:rsid w:val="266546C4"/>
    <w:rsid w:val="291034DE"/>
    <w:rsid w:val="29CB06AB"/>
    <w:rsid w:val="2B066B68"/>
    <w:rsid w:val="2B665A9B"/>
    <w:rsid w:val="2BA03F96"/>
    <w:rsid w:val="2C2240F7"/>
    <w:rsid w:val="2DFB7085"/>
    <w:rsid w:val="2F130EE6"/>
    <w:rsid w:val="2F1F6DA3"/>
    <w:rsid w:val="2F234AE5"/>
    <w:rsid w:val="2F2B3664"/>
    <w:rsid w:val="2F306B60"/>
    <w:rsid w:val="2F57653D"/>
    <w:rsid w:val="2F723377"/>
    <w:rsid w:val="2FEE4162"/>
    <w:rsid w:val="301A5EE8"/>
    <w:rsid w:val="309B0CAA"/>
    <w:rsid w:val="31857392"/>
    <w:rsid w:val="32C5491C"/>
    <w:rsid w:val="331F7372"/>
    <w:rsid w:val="341C1B03"/>
    <w:rsid w:val="358F67ED"/>
    <w:rsid w:val="35927151"/>
    <w:rsid w:val="369167D9"/>
    <w:rsid w:val="371F1D45"/>
    <w:rsid w:val="37A75B88"/>
    <w:rsid w:val="37F976E5"/>
    <w:rsid w:val="38207142"/>
    <w:rsid w:val="38453BBB"/>
    <w:rsid w:val="396C7089"/>
    <w:rsid w:val="39A14787"/>
    <w:rsid w:val="39A80255"/>
    <w:rsid w:val="3A783EEF"/>
    <w:rsid w:val="3BAC6099"/>
    <w:rsid w:val="3C25479F"/>
    <w:rsid w:val="3C814BF9"/>
    <w:rsid w:val="3D2A7F67"/>
    <w:rsid w:val="3D7076AF"/>
    <w:rsid w:val="3DD64512"/>
    <w:rsid w:val="3E322D18"/>
    <w:rsid w:val="3E900D0A"/>
    <w:rsid w:val="3EC1562C"/>
    <w:rsid w:val="3F0E35AF"/>
    <w:rsid w:val="3F4E158E"/>
    <w:rsid w:val="407209E5"/>
    <w:rsid w:val="411B561D"/>
    <w:rsid w:val="4222091E"/>
    <w:rsid w:val="42EA174A"/>
    <w:rsid w:val="4419237E"/>
    <w:rsid w:val="45D948F4"/>
    <w:rsid w:val="46F24DE3"/>
    <w:rsid w:val="474D04FA"/>
    <w:rsid w:val="47587B93"/>
    <w:rsid w:val="47D76015"/>
    <w:rsid w:val="47E96F77"/>
    <w:rsid w:val="4812529F"/>
    <w:rsid w:val="48776584"/>
    <w:rsid w:val="4936052D"/>
    <w:rsid w:val="493F20C4"/>
    <w:rsid w:val="4970227E"/>
    <w:rsid w:val="4A1609FB"/>
    <w:rsid w:val="4AB55994"/>
    <w:rsid w:val="4AD86F66"/>
    <w:rsid w:val="4B9F5BD0"/>
    <w:rsid w:val="4CBF17F2"/>
    <w:rsid w:val="4CCA458A"/>
    <w:rsid w:val="4F0E67C1"/>
    <w:rsid w:val="4FFE5147"/>
    <w:rsid w:val="50C2181E"/>
    <w:rsid w:val="50CC6933"/>
    <w:rsid w:val="50CD705E"/>
    <w:rsid w:val="51134562"/>
    <w:rsid w:val="52E568E7"/>
    <w:rsid w:val="532B39C5"/>
    <w:rsid w:val="54231BA0"/>
    <w:rsid w:val="54CF69F2"/>
    <w:rsid w:val="550F6DEF"/>
    <w:rsid w:val="562D5084"/>
    <w:rsid w:val="56B572CC"/>
    <w:rsid w:val="56E16569"/>
    <w:rsid w:val="56F42E4F"/>
    <w:rsid w:val="576C677A"/>
    <w:rsid w:val="594A6647"/>
    <w:rsid w:val="596F60AE"/>
    <w:rsid w:val="5A605F4A"/>
    <w:rsid w:val="5A885A96"/>
    <w:rsid w:val="5AA77AC9"/>
    <w:rsid w:val="5B637E94"/>
    <w:rsid w:val="5B9C5154"/>
    <w:rsid w:val="5BF921B1"/>
    <w:rsid w:val="5C1B42CB"/>
    <w:rsid w:val="5CB62246"/>
    <w:rsid w:val="5CB96A04"/>
    <w:rsid w:val="5CBD2518"/>
    <w:rsid w:val="5D8B722E"/>
    <w:rsid w:val="5E021BE6"/>
    <w:rsid w:val="5EF808F3"/>
    <w:rsid w:val="5FB011CE"/>
    <w:rsid w:val="5FF4730D"/>
    <w:rsid w:val="609006D2"/>
    <w:rsid w:val="610E0E65"/>
    <w:rsid w:val="63D83CD1"/>
    <w:rsid w:val="63F87D72"/>
    <w:rsid w:val="644F7208"/>
    <w:rsid w:val="64C86FBA"/>
    <w:rsid w:val="652E506F"/>
    <w:rsid w:val="654C1999"/>
    <w:rsid w:val="65A54E08"/>
    <w:rsid w:val="660E4EA0"/>
    <w:rsid w:val="66270550"/>
    <w:rsid w:val="66A60DD7"/>
    <w:rsid w:val="66BE66CF"/>
    <w:rsid w:val="677F3533"/>
    <w:rsid w:val="68833924"/>
    <w:rsid w:val="68991CEA"/>
    <w:rsid w:val="6A2C3B47"/>
    <w:rsid w:val="6AC439C0"/>
    <w:rsid w:val="6ADC4BA2"/>
    <w:rsid w:val="6B762AC2"/>
    <w:rsid w:val="6B997D40"/>
    <w:rsid w:val="6C054650"/>
    <w:rsid w:val="6C4C04D0"/>
    <w:rsid w:val="6C711CE5"/>
    <w:rsid w:val="6CCB3AEB"/>
    <w:rsid w:val="6D272415"/>
    <w:rsid w:val="6D561607"/>
    <w:rsid w:val="6D904215"/>
    <w:rsid w:val="6E7D6F40"/>
    <w:rsid w:val="6E8623AE"/>
    <w:rsid w:val="6F065AB6"/>
    <w:rsid w:val="70205EFC"/>
    <w:rsid w:val="70787AE6"/>
    <w:rsid w:val="71535E5D"/>
    <w:rsid w:val="71B40FF2"/>
    <w:rsid w:val="721320EC"/>
    <w:rsid w:val="72C60FDD"/>
    <w:rsid w:val="73323C81"/>
    <w:rsid w:val="734D62FA"/>
    <w:rsid w:val="73510DAC"/>
    <w:rsid w:val="7388211F"/>
    <w:rsid w:val="745A0337"/>
    <w:rsid w:val="748F3650"/>
    <w:rsid w:val="754C0619"/>
    <w:rsid w:val="76A333E3"/>
    <w:rsid w:val="76DD68F5"/>
    <w:rsid w:val="76FA7D0E"/>
    <w:rsid w:val="77B21B30"/>
    <w:rsid w:val="780167E7"/>
    <w:rsid w:val="780A371A"/>
    <w:rsid w:val="786F7A21"/>
    <w:rsid w:val="79621333"/>
    <w:rsid w:val="798C319D"/>
    <w:rsid w:val="79A731EA"/>
    <w:rsid w:val="79E166FC"/>
    <w:rsid w:val="79F35C8E"/>
    <w:rsid w:val="7A85778D"/>
    <w:rsid w:val="7BA55F94"/>
    <w:rsid w:val="7C460A98"/>
    <w:rsid w:val="7CE3278B"/>
    <w:rsid w:val="7D155CFE"/>
    <w:rsid w:val="7D7B4DE1"/>
    <w:rsid w:val="7EB24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39" w:semiHidden="0" w:name="toc 9"/>
    <w:lsdException w:qFormat="1"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2">
    <w:name w:val="heading 1"/>
    <w:basedOn w:val="1"/>
    <w:next w:val="1"/>
    <w:qFormat/>
    <w:uiPriority w:val="0"/>
    <w:pPr>
      <w:keepNext/>
      <w:keepLines/>
      <w:numPr>
        <w:ilvl w:val="0"/>
        <w:numId w:val="1"/>
      </w:numPr>
      <w:outlineLvl w:val="0"/>
    </w:pPr>
    <w:rPr>
      <w:b/>
      <w:kern w:val="0"/>
      <w:sz w:val="28"/>
      <w:szCs w:val="28"/>
    </w:rPr>
  </w:style>
  <w:style w:type="paragraph" w:styleId="3">
    <w:name w:val="heading 2"/>
    <w:basedOn w:val="1"/>
    <w:next w:val="1"/>
    <w:qFormat/>
    <w:uiPriority w:val="0"/>
    <w:pPr>
      <w:keepNext/>
      <w:keepLines/>
      <w:widowControl w:val="0"/>
      <w:spacing w:before="50" w:beforeLines="50" w:after="50" w:afterLines="50" w:line="560" w:lineRule="exact"/>
      <w:ind w:firstLine="640" w:firstLineChars="200"/>
      <w:outlineLvl w:val="1"/>
    </w:pPr>
    <w:rPr>
      <w:rFonts w:ascii="仿宋" w:hAnsi="宋体" w:eastAsia="楷体" w:cs="仿宋"/>
      <w:b/>
      <w:bCs/>
      <w:kern w:val="2"/>
      <w:sz w:val="36"/>
      <w:szCs w:val="32"/>
      <w:lang w:val="en-US" w:eastAsia="zh-CN" w:bidi="ar-SA"/>
    </w:rPr>
  </w:style>
  <w:style w:type="paragraph" w:styleId="4">
    <w:name w:val="heading 3"/>
    <w:basedOn w:val="1"/>
    <w:next w:val="1"/>
    <w:qFormat/>
    <w:uiPriority w:val="0"/>
    <w:pPr>
      <w:keepNext/>
      <w:keepLines/>
      <w:spacing w:line="360" w:lineRule="auto"/>
      <w:ind w:firstLine="200" w:firstLineChars="200"/>
      <w:outlineLvl w:val="2"/>
    </w:pPr>
    <w:rPr>
      <w:bCs/>
      <w:szCs w:val="28"/>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宋体" w:hAnsi="宋体"/>
    </w:rPr>
  </w:style>
  <w:style w:type="paragraph" w:styleId="6">
    <w:name w:val="index 5"/>
    <w:basedOn w:val="1"/>
    <w:next w:val="1"/>
    <w:qFormat/>
    <w:uiPriority w:val="0"/>
    <w:pPr>
      <w:ind w:left="800" w:leftChars="800"/>
    </w:pPr>
  </w:style>
  <w:style w:type="paragraph" w:styleId="7">
    <w:name w:val="Body Text"/>
    <w:basedOn w:val="1"/>
    <w:qFormat/>
    <w:uiPriority w:val="0"/>
    <w:rPr>
      <w:rFonts w:eastAsia="华文中宋"/>
      <w:b/>
      <w:bCs/>
      <w:w w:val="90"/>
      <w:sz w:val="44"/>
    </w:rPr>
  </w:style>
  <w:style w:type="paragraph" w:styleId="8">
    <w:name w:val="Body Text Indent"/>
    <w:basedOn w:val="1"/>
    <w:next w:val="7"/>
    <w:qFormat/>
    <w:uiPriority w:val="0"/>
    <w:pPr>
      <w:spacing w:after="120"/>
      <w:ind w:left="420" w:leftChars="200"/>
    </w:pPr>
  </w:style>
  <w:style w:type="paragraph" w:styleId="9">
    <w:name w:val="Block Text"/>
    <w:basedOn w:val="1"/>
    <w:next w:val="10"/>
    <w:qFormat/>
    <w:uiPriority w:val="99"/>
    <w:pPr>
      <w:spacing w:line="480" w:lineRule="exact"/>
      <w:ind w:left="-125" w:right="-56" w:firstLine="570"/>
    </w:pPr>
    <w:rPr>
      <w:sz w:val="28"/>
      <w:szCs w:val="24"/>
    </w:rPr>
  </w:style>
  <w:style w:type="paragraph" w:styleId="10">
    <w:name w:val="toc 9"/>
    <w:basedOn w:val="1"/>
    <w:next w:val="1"/>
    <w:qFormat/>
    <w:uiPriority w:val="39"/>
    <w:pPr>
      <w:jc w:val="center"/>
    </w:pPr>
    <w:rPr>
      <w:sz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rPr>
  </w:style>
  <w:style w:type="paragraph" w:styleId="13">
    <w:name w:val="index heading"/>
    <w:basedOn w:val="1"/>
    <w:next w:val="14"/>
    <w:qFormat/>
    <w:uiPriority w:val="0"/>
    <w:pPr>
      <w:widowControl/>
      <w:jc w:val="left"/>
    </w:pPr>
    <w:rPr>
      <w:rFonts w:ascii="Arial" w:hAnsi="Arial" w:cs="Arial"/>
      <w:b/>
      <w:bCs/>
      <w:kern w:val="0"/>
      <w:sz w:val="24"/>
    </w:rPr>
  </w:style>
  <w:style w:type="paragraph" w:styleId="14">
    <w:name w:val="index 1"/>
    <w:basedOn w:val="1"/>
    <w:next w:val="1"/>
    <w:qFormat/>
    <w:uiPriority w:val="0"/>
    <w:pPr>
      <w:spacing w:line="360" w:lineRule="auto"/>
      <w:jc w:val="center"/>
    </w:pPr>
  </w:style>
  <w:style w:type="paragraph" w:styleId="15">
    <w:name w:val="footnote text"/>
    <w:basedOn w:val="1"/>
    <w:next w:val="6"/>
    <w:unhideWhenUsed/>
    <w:qFormat/>
    <w:uiPriority w:val="99"/>
    <w:pPr>
      <w:snapToGrid w:val="0"/>
      <w:jc w:val="left"/>
    </w:pPr>
    <w:rPr>
      <w:rFonts w:ascii="Calibri" w:hAnsi="Calibri" w:eastAsia="仿宋" w:cs="Times New Roman"/>
      <w:sz w:val="18"/>
      <w:szCs w:val="18"/>
    </w:rPr>
  </w:style>
  <w:style w:type="paragraph" w:styleId="16">
    <w:name w:val="Body Text 2"/>
    <w:basedOn w:val="1"/>
    <w:unhideWhenUsed/>
    <w:qFormat/>
    <w:uiPriority w:val="99"/>
    <w:pPr>
      <w:spacing w:after="120" w:line="480" w:lineRule="auto"/>
    </w:p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Body Text First Indent"/>
    <w:basedOn w:val="7"/>
    <w:next w:val="19"/>
    <w:unhideWhenUsed/>
    <w:qFormat/>
    <w:uiPriority w:val="0"/>
    <w:pPr>
      <w:widowControl w:val="0"/>
      <w:kinsoku/>
      <w:autoSpaceDE/>
      <w:autoSpaceDN/>
      <w:spacing w:after="120" w:line="360" w:lineRule="auto"/>
      <w:ind w:firstLine="420" w:firstLineChars="100"/>
      <w:jc w:val="both"/>
      <w:textAlignment w:val="auto"/>
    </w:pPr>
    <w:rPr>
      <w:rFonts w:ascii="Times New Roman" w:hAnsi="Times New Roman" w:cs="Times New Roman"/>
      <w:color w:val="auto"/>
      <w:kern w:val="2"/>
      <w:sz w:val="24"/>
      <w:szCs w:val="24"/>
    </w:rPr>
  </w:style>
  <w:style w:type="paragraph" w:styleId="19">
    <w:name w:val="Body Text First Indent 2"/>
    <w:basedOn w:val="8"/>
    <w:next w:val="1"/>
    <w:qFormat/>
    <w:uiPriority w:val="0"/>
    <w:pPr>
      <w:adjustRightInd w:val="0"/>
      <w:spacing w:line="360" w:lineRule="atLeast"/>
      <w:ind w:left="0" w:leftChars="0" w:firstLine="210"/>
      <w:textAlignment w:val="baseline"/>
    </w:pPr>
    <w:rPr>
      <w:sz w:val="24"/>
    </w:rPr>
  </w:style>
  <w:style w:type="character" w:styleId="22">
    <w:name w:val="page number"/>
    <w:basedOn w:val="21"/>
    <w:qFormat/>
    <w:uiPriority w:val="0"/>
  </w:style>
  <w:style w:type="paragraph" w:customStyle="1" w:styleId="23">
    <w:name w:val="Default"/>
    <w:basedOn w:val="24"/>
    <w:next w:val="1"/>
    <w:unhideWhenUsed/>
    <w:qFormat/>
    <w:uiPriority w:val="0"/>
    <w:pPr>
      <w:tabs>
        <w:tab w:val="left" w:pos="2760"/>
      </w:tabs>
      <w:autoSpaceDE w:val="0"/>
      <w:autoSpaceDN w:val="0"/>
    </w:pPr>
    <w:rPr>
      <w:rFonts w:hAnsi="宋体" w:eastAsia="宋体"/>
      <w:color w:val="000000"/>
      <w:sz w:val="24"/>
    </w:rPr>
  </w:style>
  <w:style w:type="paragraph" w:customStyle="1" w:styleId="24">
    <w:name w:val="纯文本1"/>
    <w:basedOn w:val="1"/>
    <w:qFormat/>
    <w:uiPriority w:val="0"/>
    <w:pPr>
      <w:tabs>
        <w:tab w:val="left" w:pos="2760"/>
      </w:tabs>
      <w:adjustRightInd w:val="0"/>
    </w:pPr>
    <w:rPr>
      <w:rFonts w:ascii="宋体" w:hAnsi="Courier New"/>
    </w:rPr>
  </w:style>
  <w:style w:type="paragraph" w:customStyle="1" w:styleId="25">
    <w:name w:val="表头"/>
    <w:basedOn w:val="18"/>
    <w:next w:val="1"/>
    <w:qFormat/>
    <w:uiPriority w:val="0"/>
    <w:pPr>
      <w:jc w:val="center"/>
    </w:pPr>
    <w:rPr>
      <w:rFonts w:ascii="黑体" w:eastAsia="黑体"/>
      <w:kern w:val="0"/>
    </w:rPr>
  </w:style>
  <w:style w:type="paragraph" w:customStyle="1" w:styleId="26">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27">
    <w:name w:val="样式 首行缩进:  2 字符1"/>
    <w:basedOn w:val="1"/>
    <w:qFormat/>
    <w:uiPriority w:val="0"/>
    <w:pPr>
      <w:adjustRightInd w:val="0"/>
      <w:snapToGrid w:val="0"/>
      <w:ind w:firstLine="480"/>
    </w:pPr>
    <w:rPr>
      <w:rFonts w:cs="宋体"/>
      <w:szCs w:val="20"/>
    </w:rPr>
  </w:style>
  <w:style w:type="paragraph" w:customStyle="1" w:styleId="28">
    <w:name w:val="Char"/>
    <w:basedOn w:val="1"/>
    <w:qFormat/>
    <w:uiPriority w:val="0"/>
    <w:rPr>
      <w:rFonts w:cs="宋体"/>
      <w:sz w:val="28"/>
    </w:rPr>
  </w:style>
  <w:style w:type="paragraph" w:customStyle="1" w:styleId="29">
    <w:name w:val="YJ正文*"/>
    <w:basedOn w:val="1"/>
    <w:qFormat/>
    <w:uiPriority w:val="0"/>
    <w:pPr>
      <w:spacing w:line="500" w:lineRule="exact"/>
      <w:ind w:firstLine="200" w:firstLineChars="200"/>
      <w:jc w:val="both"/>
    </w:pPr>
    <w:rPr>
      <w:rFonts w:ascii="等线" w:hAnsi="等线" w:eastAsia="宋体"/>
      <w:sz w:val="24"/>
    </w:rPr>
  </w:style>
  <w:style w:type="paragraph" w:customStyle="1" w:styleId="30">
    <w:name w:val="表字-书"/>
    <w:basedOn w:val="1"/>
    <w:qFormat/>
    <w:uiPriority w:val="0"/>
    <w:pPr>
      <w:spacing w:line="240" w:lineRule="exact"/>
      <w:ind w:firstLine="0" w:firstLineChars="0"/>
      <w:jc w:val="center"/>
    </w:pPr>
    <w:rPr>
      <w:rFonts w:hAnsi="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2227</Words>
  <Characters>2375</Characters>
  <Lines>11</Lines>
  <Paragraphs>3</Paragraphs>
  <TotalTime>7</TotalTime>
  <ScaleCrop>false</ScaleCrop>
  <LinksUpToDate>false</LinksUpToDate>
  <CharactersWithSpaces>2414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2020-12-18T12:29:00Z</dcterms:created>
  <dc:creator>Administrator</dc:creator>
  <cp:lastModifiedBy>Floating dream </cp:lastModifiedBy>
  <cp:lastPrinted>2026-09-09T11:34:58Z</cp:lastPrinted>
  <dcterms:modified xsi:type="dcterms:W3CDTF">2026-09-09T11:35:33Z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C738FF15FF6F46E2B96A7834776D70FC_13</vt:lpwstr>
  </property>
  <property fmtid="{D5CDD505-2E9C-101B-9397-08002B2CF9AE}" pid="4" name="KSOTemplateDocerSaveRecord">
    <vt:lpwstr>eyJoZGlkIjoiODBjNzYxYmIzOWJkMDlmNzJmZjdjMmNkNDkzMGYxZDkiLCJ1c2VySWQiOiIzNjMzMTU4MzUifQ==</vt:lpwstr>
  </property>
</Properties>
</file>