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A0C6A9">
      <w:pPr>
        <w:keepNext w:val="0"/>
        <w:keepLines w:val="0"/>
        <w:pageBreakBefore w:val="0"/>
        <w:widowControl w:val="0"/>
        <w:tabs>
          <w:tab w:val="left" w:pos="4982"/>
        </w:tabs>
        <w:kinsoku/>
        <w:wordWrap/>
        <w:overflowPunct/>
        <w:topLinePunct w:val="0"/>
        <w:autoSpaceDE/>
        <w:autoSpaceDN/>
        <w:bidi w:val="0"/>
        <w:adjustRightInd/>
        <w:snapToGrid/>
        <w:spacing w:line="800" w:lineRule="exact"/>
        <w:textAlignment w:val="auto"/>
        <w:rPr>
          <w:rFonts w:hint="default" w:ascii="仿宋_GB2312" w:eastAsia="仿宋_GB2312"/>
          <w:snapToGrid w:val="0"/>
          <w:kern w:val="0"/>
          <w:sz w:val="32"/>
          <w:szCs w:val="32"/>
          <w:lang w:val="en-US" w:eastAsia="zh-CN"/>
        </w:rPr>
      </w:pPr>
      <w:r>
        <w:rPr>
          <w:rFonts w:hint="eastAsia" w:ascii="仿宋_GB2312" w:eastAsia="仿宋_GB2312"/>
          <w:snapToGrid w:val="0"/>
          <w:kern w:val="0"/>
          <w:sz w:val="32"/>
          <w:szCs w:val="32"/>
          <w:lang w:val="en-US" w:eastAsia="zh-CN"/>
        </w:rPr>
        <w:tab/>
      </w:r>
    </w:p>
    <w:p w14:paraId="28A958F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napToGrid w:val="0"/>
          <w:kern w:val="0"/>
          <w:sz w:val="32"/>
          <w:szCs w:val="32"/>
        </w:rPr>
      </w:pPr>
      <w:r>
        <w:rPr>
          <w:rFonts w:hint="eastAsia" w:ascii="仿宋_GB2312" w:eastAsia="仿宋_GB2312"/>
          <w:snapToGrid w:val="0"/>
          <w:kern w:val="0"/>
          <w:sz w:val="32"/>
          <w:szCs w:val="32"/>
        </w:rPr>
        <w:t xml:space="preserve">                              </w:t>
      </w:r>
      <w:r>
        <w:rPr>
          <w:rFonts w:hint="default" w:ascii="Times New Roman" w:hAnsi="Times New Roman" w:eastAsia="仿宋_GB2312" w:cs="Times New Roman"/>
          <w:snapToGrid w:val="0"/>
          <w:kern w:val="0"/>
          <w:sz w:val="32"/>
          <w:szCs w:val="32"/>
        </w:rPr>
        <w:t xml:space="preserve">  师市环审〔202</w:t>
      </w:r>
      <w:r>
        <w:rPr>
          <w:rFonts w:hint="eastAsia" w:eastAsia="仿宋_GB2312" w:cs="Times New Roman"/>
          <w:snapToGrid w:val="0"/>
          <w:kern w:val="0"/>
          <w:sz w:val="32"/>
          <w:szCs w:val="32"/>
          <w:lang w:val="en-US" w:eastAsia="zh-CN"/>
        </w:rPr>
        <w:t>6</w:t>
      </w:r>
      <w:r>
        <w:rPr>
          <w:rFonts w:hint="default" w:ascii="Times New Roman" w:hAnsi="Times New Roman" w:eastAsia="仿宋_GB2312" w:cs="Times New Roman"/>
          <w:snapToGrid w:val="0"/>
          <w:kern w:val="0"/>
          <w:sz w:val="32"/>
          <w:szCs w:val="32"/>
        </w:rPr>
        <w:t>〕</w:t>
      </w:r>
      <w:r>
        <w:rPr>
          <w:rFonts w:hint="eastAsia" w:eastAsia="仿宋_GB2312" w:cs="Times New Roman"/>
          <w:snapToGrid w:val="0"/>
          <w:kern w:val="0"/>
          <w:sz w:val="32"/>
          <w:szCs w:val="32"/>
          <w:lang w:val="en-US" w:eastAsia="zh-CN"/>
        </w:rPr>
        <w:t>38</w:t>
      </w:r>
      <w:r>
        <w:rPr>
          <w:rFonts w:hint="default" w:ascii="Times New Roman" w:hAnsi="Times New Roman" w:eastAsia="仿宋_GB2312" w:cs="Times New Roman"/>
          <w:snapToGrid w:val="0"/>
          <w:kern w:val="0"/>
          <w:sz w:val="32"/>
          <w:szCs w:val="32"/>
        </w:rPr>
        <w:t>号</w:t>
      </w:r>
    </w:p>
    <w:p w14:paraId="798FD61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hAnsi="宋体" w:eastAsia="方正小标宋简体"/>
          <w:bCs/>
          <w:snapToGrid w:val="0"/>
          <w:kern w:val="0"/>
          <w:sz w:val="44"/>
          <w:szCs w:val="44"/>
        </w:rPr>
      </w:pPr>
    </w:p>
    <w:p w14:paraId="362EFDF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color w:val="000000"/>
          <w:kern w:val="2"/>
          <w:sz w:val="44"/>
          <w:szCs w:val="44"/>
          <w:highlight w:val="none"/>
          <w:lang w:val="zh-CN" w:eastAsia="zh-CN" w:bidi="ar"/>
        </w:rPr>
      </w:pPr>
      <w:r>
        <w:rPr>
          <w:rFonts w:hint="eastAsia" w:ascii="方正小标宋简体" w:hAnsi="宋体" w:eastAsia="方正小标宋简体"/>
          <w:bCs/>
          <w:snapToGrid w:val="0"/>
          <w:kern w:val="0"/>
          <w:sz w:val="44"/>
          <w:szCs w:val="44"/>
        </w:rPr>
        <w:t>关于</w:t>
      </w:r>
      <w:r>
        <w:rPr>
          <w:rFonts w:hint="eastAsia" w:ascii="方正小标宋简体" w:hAnsi="宋体" w:eastAsia="方正小标宋简体"/>
          <w:bCs/>
          <w:snapToGrid w:val="0"/>
          <w:kern w:val="0"/>
          <w:sz w:val="44"/>
          <w:szCs w:val="44"/>
          <w:lang w:val="en-US" w:eastAsia="zh-CN"/>
        </w:rPr>
        <w:t>胡杨河华优农业有限公司</w:t>
      </w:r>
      <w:r>
        <w:rPr>
          <w:rFonts w:hint="eastAsia" w:ascii="方正小标宋简体" w:hAnsi="方正小标宋简体" w:eastAsia="方正小标宋简体" w:cs="方正小标宋简体"/>
          <w:b w:val="0"/>
          <w:bCs/>
          <w:color w:val="000000"/>
          <w:kern w:val="2"/>
          <w:sz w:val="44"/>
          <w:szCs w:val="44"/>
          <w:highlight w:val="none"/>
          <w:lang w:val="zh-CN" w:eastAsia="zh-CN" w:bidi="ar"/>
        </w:rPr>
        <w:t>年产5万吨玉米压片、3万吨饲料、1万吨玉米杂粮建设项目</w:t>
      </w:r>
    </w:p>
    <w:p w14:paraId="69BC866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宋体" w:eastAsia="方正小标宋简体"/>
          <w:bCs/>
          <w:snapToGrid w:val="0"/>
          <w:kern w:val="0"/>
          <w:sz w:val="44"/>
          <w:szCs w:val="44"/>
        </w:rPr>
      </w:pPr>
      <w:r>
        <w:rPr>
          <w:rFonts w:hint="eastAsia" w:ascii="方正小标宋简体" w:hAnsi="宋体" w:eastAsia="方正小标宋简体"/>
          <w:bCs/>
          <w:snapToGrid w:val="0"/>
          <w:kern w:val="0"/>
          <w:sz w:val="44"/>
          <w:szCs w:val="44"/>
          <w:lang w:val="zh-CN"/>
        </w:rPr>
        <w:t>环境影响报告</w:t>
      </w:r>
      <w:r>
        <w:rPr>
          <w:rFonts w:hint="eastAsia" w:ascii="方正小标宋简体" w:hAnsi="宋体" w:eastAsia="方正小标宋简体"/>
          <w:bCs/>
          <w:snapToGrid w:val="0"/>
          <w:kern w:val="0"/>
          <w:sz w:val="44"/>
          <w:szCs w:val="44"/>
        </w:rPr>
        <w:t>表</w:t>
      </w:r>
      <w:r>
        <w:rPr>
          <w:rFonts w:hint="eastAsia" w:ascii="方正小标宋简体" w:hAnsi="宋体" w:eastAsia="方正小标宋简体"/>
          <w:bCs/>
          <w:snapToGrid w:val="0"/>
          <w:kern w:val="0"/>
          <w:sz w:val="44"/>
          <w:szCs w:val="44"/>
          <w:lang w:val="en-US" w:eastAsia="zh-CN"/>
        </w:rPr>
        <w:t>的</w:t>
      </w:r>
      <w:r>
        <w:rPr>
          <w:rFonts w:hint="eastAsia" w:ascii="方正小标宋简体" w:hAnsi="宋体" w:eastAsia="方正小标宋简体"/>
          <w:bCs/>
          <w:snapToGrid w:val="0"/>
          <w:kern w:val="0"/>
          <w:sz w:val="44"/>
          <w:szCs w:val="44"/>
        </w:rPr>
        <w:t>批复</w:t>
      </w:r>
    </w:p>
    <w:p w14:paraId="2682C46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hAnsi="仿宋_GB2312" w:eastAsia="仿宋_GB2312" w:cs="仿宋_GB2312"/>
          <w:bCs/>
          <w:snapToGrid w:val="0"/>
          <w:kern w:val="0"/>
          <w:sz w:val="32"/>
          <w:szCs w:val="32"/>
        </w:rPr>
      </w:pPr>
    </w:p>
    <w:p w14:paraId="78FA5923">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胡杨河华优农业有限公司</w:t>
      </w:r>
      <w:r>
        <w:rPr>
          <w:rFonts w:hint="default" w:ascii="Times New Roman" w:hAnsi="Times New Roman" w:eastAsia="仿宋_GB2312" w:cs="Times New Roman"/>
          <w:sz w:val="32"/>
          <w:szCs w:val="32"/>
        </w:rPr>
        <w:t>：</w:t>
      </w:r>
    </w:p>
    <w:p w14:paraId="662674E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你公司《关于审批&lt;</w:t>
      </w:r>
      <w:r>
        <w:rPr>
          <w:rFonts w:hint="default" w:ascii="Times New Roman" w:hAnsi="Times New Roman" w:eastAsia="仿宋_GB2312" w:cs="Times New Roman"/>
          <w:sz w:val="32"/>
          <w:szCs w:val="32"/>
          <w:lang w:val="en-US" w:eastAsia="zh-CN"/>
        </w:rPr>
        <w:t>胡杨河华优农业有限公司</w:t>
      </w:r>
      <w:r>
        <w:rPr>
          <w:rFonts w:hint="default" w:ascii="Times New Roman" w:hAnsi="Times New Roman" w:eastAsia="仿宋_GB2312" w:cs="Times New Roman"/>
          <w:sz w:val="32"/>
          <w:szCs w:val="32"/>
          <w:lang w:val="zh-CN" w:eastAsia="zh-CN"/>
        </w:rPr>
        <w:t>年产5万吨玉米压片、3万吨饲料、1万吨玉米杂粮建设项目</w:t>
      </w:r>
      <w:r>
        <w:rPr>
          <w:rFonts w:hint="default" w:ascii="Times New Roman" w:hAnsi="Times New Roman" w:eastAsia="仿宋_GB2312" w:cs="Times New Roman"/>
          <w:sz w:val="32"/>
          <w:szCs w:val="32"/>
          <w:lang w:val="zh-CN"/>
        </w:rPr>
        <w:t>环境影响报告</w:t>
      </w:r>
      <w:r>
        <w:rPr>
          <w:rFonts w:hint="default" w:ascii="Times New Roman" w:hAnsi="Times New Roman" w:eastAsia="仿宋_GB2312" w:cs="Times New Roman"/>
          <w:sz w:val="32"/>
          <w:szCs w:val="32"/>
        </w:rPr>
        <w:t>表&gt;的请示》收悉。经研究，批复如下</w:t>
      </w:r>
      <w:r>
        <w:rPr>
          <w:rFonts w:hint="eastAsia" w:eastAsia="仿宋_GB2312" w:cs="Times New Roman"/>
          <w:sz w:val="32"/>
          <w:szCs w:val="32"/>
          <w:lang w:eastAsia="zh-CN"/>
        </w:rPr>
        <w:t>。</w:t>
      </w:r>
    </w:p>
    <w:p w14:paraId="79C6BD3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一、该项目</w:t>
      </w:r>
      <w:r>
        <w:rPr>
          <w:rFonts w:hint="default" w:ascii="Times New Roman" w:hAnsi="Times New Roman" w:eastAsia="仿宋_GB2312" w:cs="Times New Roman"/>
          <w:sz w:val="32"/>
          <w:szCs w:val="32"/>
          <w:lang w:val="en-US" w:eastAsia="zh-CN"/>
        </w:rPr>
        <w:t>位于七师</w:t>
      </w:r>
      <w:r>
        <w:rPr>
          <w:rFonts w:hint="eastAsia" w:eastAsia="仿宋_GB2312" w:cs="Times New Roman"/>
          <w:sz w:val="32"/>
          <w:szCs w:val="32"/>
          <w:lang w:val="en-US" w:eastAsia="zh-CN"/>
        </w:rPr>
        <w:t>131</w:t>
      </w:r>
      <w:r>
        <w:rPr>
          <w:rFonts w:hint="default" w:ascii="Times New Roman" w:hAnsi="Times New Roman" w:eastAsia="仿宋_GB2312" w:cs="Times New Roman"/>
          <w:sz w:val="32"/>
          <w:szCs w:val="32"/>
          <w:lang w:val="en-US" w:eastAsia="zh-CN"/>
        </w:rPr>
        <w:t>团，项目区中心地理位置坐标为</w:t>
      </w:r>
      <w:bookmarkStart w:id="0" w:name="_Hlk180516248"/>
      <w:r>
        <w:rPr>
          <w:rFonts w:hint="default" w:ascii="Times New Roman" w:hAnsi="Times New Roman" w:eastAsia="仿宋_GB2312" w:cs="Times New Roman"/>
          <w:sz w:val="32"/>
          <w:szCs w:val="32"/>
          <w:lang w:val="en-US" w:eastAsia="zh-CN"/>
        </w:rPr>
        <w:t>东经84°52′08.977″，北纬44°29′08.333″。</w:t>
      </w:r>
      <w:bookmarkEnd w:id="0"/>
      <w:r>
        <w:rPr>
          <w:rFonts w:hint="eastAsia" w:eastAsia="仿宋_GB2312" w:cs="Times New Roman"/>
          <w:sz w:val="32"/>
          <w:szCs w:val="32"/>
          <w:lang w:val="en-US" w:eastAsia="zh-CN"/>
        </w:rPr>
        <w:t>项目新建1千吨烘干塔、1万吨储粮仓、3000m</w:t>
      </w:r>
      <w:r>
        <w:rPr>
          <w:rFonts w:hint="eastAsia" w:eastAsia="仿宋_GB2312" w:cs="Times New Roman"/>
          <w:sz w:val="32"/>
          <w:szCs w:val="32"/>
          <w:vertAlign w:val="superscript"/>
          <w:lang w:val="en-US" w:eastAsia="zh-CN"/>
        </w:rPr>
        <w:t>2</w:t>
      </w:r>
      <w:r>
        <w:rPr>
          <w:rFonts w:hint="eastAsia" w:eastAsia="仿宋_GB2312" w:cs="Times New Roman"/>
          <w:sz w:val="32"/>
          <w:szCs w:val="32"/>
          <w:lang w:val="en-US" w:eastAsia="zh-CN"/>
        </w:rPr>
        <w:t>钢结构厂房，配套建设1台12t/h生物质热风炉。项目总投资4000万元，其中环保投资为73.5万元，环保投资占总投资的1.84%。</w:t>
      </w:r>
    </w:p>
    <w:p w14:paraId="35F61D8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本项目环境影响评价文件未经我局审批即擅自开工建设，违反了《中华人民共和国生态环境法典》有关规定</w:t>
      </w:r>
      <w:r>
        <w:rPr>
          <w:rFonts w:hint="eastAsia" w:eastAsia="仿宋_GB2312" w:cs="Times New Roman"/>
          <w:sz w:val="32"/>
          <w:szCs w:val="32"/>
          <w:lang w:val="en-US" w:eastAsia="zh-CN"/>
        </w:rPr>
        <w:t>，经执法人员现场调查，根据《中华人民共和国行政处罚法》及《新疆维吾尔自治区 新疆生产建设兵团生态环境部门不予行政处罚和不予行政强制事项清单(2026版)》规定，对本项目“未批先建”违法行为不予行政处罚，不予立案。</w:t>
      </w:r>
    </w:p>
    <w:p w14:paraId="61BE4AC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w:t>
      </w:r>
      <w:r>
        <w:rPr>
          <w:rFonts w:hint="default" w:ascii="Times New Roman" w:hAnsi="Times New Roman" w:eastAsia="仿宋_GB2312" w:cs="Times New Roman"/>
          <w:bCs/>
          <w:sz w:val="32"/>
          <w:szCs w:val="32"/>
        </w:rPr>
        <w:t>项目实施后会对环境造成一定不利影响，必须严格落实各项污染防治和生态环境保护措施，采取严格的环境风险防范措施、环境管理制度、环境监控和应急措施。综合考虑，我局原则同意该项目环境影响</w:t>
      </w:r>
      <w:r>
        <w:rPr>
          <w:rFonts w:hint="eastAsia" w:eastAsia="仿宋_GB2312" w:cs="Times New Roman"/>
          <w:bCs/>
          <w:sz w:val="32"/>
          <w:szCs w:val="32"/>
          <w:lang w:eastAsia="zh-CN"/>
        </w:rPr>
        <w:t>报告</w:t>
      </w:r>
      <w:r>
        <w:rPr>
          <w:rFonts w:hint="eastAsia" w:eastAsia="仿宋_GB2312" w:cs="Times New Roman"/>
          <w:bCs/>
          <w:sz w:val="32"/>
          <w:szCs w:val="32"/>
          <w:lang w:val="en-US" w:eastAsia="zh-CN"/>
        </w:rPr>
        <w:t>表</w:t>
      </w:r>
      <w:r>
        <w:rPr>
          <w:rFonts w:hint="default" w:ascii="Times New Roman" w:hAnsi="Times New Roman" w:eastAsia="仿宋_GB2312" w:cs="Times New Roman"/>
          <w:bCs/>
          <w:sz w:val="32"/>
          <w:szCs w:val="32"/>
        </w:rPr>
        <w:t>中所列建设项目的性质、规模、地点、工艺和环境保护对策措施。</w:t>
      </w:r>
    </w:p>
    <w:p w14:paraId="7DCF6D7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rPr>
        <w:t>三、</w:t>
      </w:r>
      <w:r>
        <w:rPr>
          <w:rFonts w:hint="default" w:ascii="Times New Roman" w:hAnsi="Times New Roman" w:eastAsia="仿宋_GB2312" w:cs="Times New Roman"/>
          <w:bCs/>
          <w:sz w:val="32"/>
          <w:szCs w:val="32"/>
        </w:rPr>
        <w:t>项目建设和运营中应重点做好的工作：</w:t>
      </w:r>
    </w:p>
    <w:p w14:paraId="1DD6809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sz w:val="32"/>
          <w:szCs w:val="32"/>
          <w:lang w:val="en-US" w:eastAsia="zh-CN"/>
        </w:rPr>
      </w:pPr>
      <w:r>
        <w:rPr>
          <w:rFonts w:hint="default" w:ascii="Times New Roman" w:hAnsi="Times New Roman" w:eastAsia="仿宋_GB2312" w:cs="Times New Roman"/>
          <w:b w:val="0"/>
          <w:bCs/>
          <w:sz w:val="32"/>
          <w:szCs w:val="32"/>
        </w:rPr>
        <w:t>（一）</w:t>
      </w:r>
      <w:r>
        <w:rPr>
          <w:rFonts w:hint="eastAsia" w:eastAsia="仿宋_GB2312" w:cs="Times New Roman"/>
          <w:b w:val="0"/>
          <w:bCs/>
          <w:sz w:val="32"/>
          <w:szCs w:val="32"/>
          <w:lang w:val="en-US" w:eastAsia="zh-CN"/>
        </w:rPr>
        <w:t>严格落实大气污染防治措施。热风炉燃烧烟气经“SNCR+旋风除尘+布袋除尘器”工艺处理后，通过40m高的排气筒排放。污染物排放浓度均执行《锅炉大气污染物排放标准》（GB13271-2014）表3中燃煤锅炉排放标准限值。</w:t>
      </w:r>
    </w:p>
    <w:p w14:paraId="68FD45A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eastAsia="仿宋_GB2312" w:cs="Times New Roman"/>
          <w:b w:val="0"/>
          <w:bCs/>
          <w:sz w:val="32"/>
          <w:szCs w:val="32"/>
          <w:lang w:val="en-US" w:eastAsia="zh-CN"/>
        </w:rPr>
      </w:pPr>
      <w:r>
        <w:rPr>
          <w:rFonts w:hint="eastAsia" w:eastAsia="仿宋_GB2312" w:cs="Times New Roman"/>
          <w:b w:val="0"/>
          <w:bCs/>
          <w:sz w:val="32"/>
          <w:szCs w:val="32"/>
          <w:lang w:val="en-US" w:eastAsia="zh-CN"/>
        </w:rPr>
        <w:t>采用控制落差，封闭式筛分，在烘干塔上部排气孔处设置自吸式布袋除尘器，设置全封闭式灰渣库及生物质燃料仓等无组织废气控制措施，厂界颗粒物排放浓度执行《大气污染物综合排放标准》（GB16297-1996）表2排放浓度限值。</w:t>
      </w:r>
    </w:p>
    <w:p w14:paraId="1B67CD3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eastAsia="仿宋_GB2312" w:cs="Times New Roman"/>
          <w:b w:val="0"/>
          <w:bCs w:val="0"/>
          <w:w w:val="100"/>
          <w:kern w:val="2"/>
          <w:sz w:val="32"/>
          <w:szCs w:val="32"/>
          <w:lang w:val="en-US" w:eastAsia="zh-CN" w:bidi="ar-SA"/>
        </w:rPr>
        <w:t>该项目</w:t>
      </w:r>
      <w:r>
        <w:rPr>
          <w:rFonts w:hint="eastAsia" w:ascii="Times New Roman" w:hAnsi="Times New Roman" w:eastAsia="仿宋_GB2312" w:cs="Times New Roman"/>
          <w:b w:val="0"/>
          <w:bCs w:val="0"/>
          <w:w w:val="100"/>
          <w:kern w:val="2"/>
          <w:sz w:val="32"/>
          <w:szCs w:val="32"/>
          <w:lang w:val="en-US" w:eastAsia="zh-CN" w:bidi="ar-SA"/>
        </w:rPr>
        <w:t>NO</w:t>
      </w:r>
      <w:r>
        <w:rPr>
          <w:rFonts w:hint="eastAsia" w:ascii="Times New Roman" w:hAnsi="Times New Roman" w:eastAsia="仿宋_GB2312" w:cs="Times New Roman"/>
          <w:b w:val="0"/>
          <w:bCs w:val="0"/>
          <w:w w:val="100"/>
          <w:kern w:val="2"/>
          <w:sz w:val="32"/>
          <w:szCs w:val="32"/>
          <w:vertAlign w:val="subscript"/>
          <w:lang w:val="en-US" w:eastAsia="zh-CN" w:bidi="ar-SA"/>
        </w:rPr>
        <w:t>X</w:t>
      </w:r>
      <w:r>
        <w:rPr>
          <w:rFonts w:hint="eastAsia" w:ascii="Times New Roman" w:hAnsi="Times New Roman" w:eastAsia="仿宋_GB2312" w:cs="Times New Roman"/>
          <w:b w:val="0"/>
          <w:bCs w:val="0"/>
          <w:w w:val="100"/>
          <w:kern w:val="2"/>
          <w:sz w:val="32"/>
          <w:szCs w:val="32"/>
          <w:lang w:val="en-US" w:eastAsia="zh-CN" w:bidi="ar-SA"/>
        </w:rPr>
        <w:t>排放总量不超过</w:t>
      </w:r>
      <w:r>
        <w:rPr>
          <w:rFonts w:hint="eastAsia" w:eastAsia="仿宋_GB2312" w:cs="Times New Roman"/>
          <w:b w:val="0"/>
          <w:bCs w:val="0"/>
          <w:w w:val="100"/>
          <w:kern w:val="2"/>
          <w:sz w:val="32"/>
          <w:szCs w:val="32"/>
          <w:lang w:val="en-US" w:eastAsia="zh-CN" w:bidi="ar-SA"/>
        </w:rPr>
        <w:t>3.06</w:t>
      </w:r>
      <w:r>
        <w:rPr>
          <w:rFonts w:hint="eastAsia" w:ascii="Times New Roman" w:hAnsi="Times New Roman" w:eastAsia="仿宋_GB2312" w:cs="Times New Roman"/>
          <w:b w:val="0"/>
          <w:bCs w:val="0"/>
          <w:w w:val="100"/>
          <w:kern w:val="2"/>
          <w:sz w:val="32"/>
          <w:szCs w:val="32"/>
          <w:lang w:val="en-US" w:eastAsia="zh-CN" w:bidi="ar-SA"/>
        </w:rPr>
        <w:t>吨/年。</w:t>
      </w:r>
    </w:p>
    <w:p w14:paraId="5668348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kern w:val="2"/>
          <w:sz w:val="32"/>
          <w:szCs w:val="32"/>
          <w:lang w:val="en-US" w:eastAsia="zh-CN" w:bidi="ar-SA"/>
        </w:rPr>
        <w:t>（二）</w:t>
      </w:r>
      <w:r>
        <w:rPr>
          <w:rFonts w:hint="default" w:ascii="Times New Roman" w:hAnsi="Times New Roman" w:eastAsia="仿宋_GB2312" w:cs="Times New Roman"/>
          <w:sz w:val="32"/>
          <w:szCs w:val="32"/>
        </w:rPr>
        <w:t>严格落实水污染防治措施。</w:t>
      </w:r>
      <w:r>
        <w:rPr>
          <w:rFonts w:hint="eastAsia" w:eastAsia="仿宋_GB2312" w:cs="Times New Roman"/>
          <w:sz w:val="32"/>
          <w:szCs w:val="32"/>
          <w:lang w:val="en-US" w:eastAsia="zh-CN"/>
        </w:rPr>
        <w:t>生</w:t>
      </w:r>
      <w:r>
        <w:rPr>
          <w:rFonts w:hint="default" w:ascii="Times New Roman" w:hAnsi="Times New Roman" w:eastAsia="仿宋_GB2312" w:cs="Times New Roman"/>
          <w:sz w:val="32"/>
          <w:szCs w:val="32"/>
          <w:lang w:val="en-US" w:eastAsia="zh-CN"/>
        </w:rPr>
        <w:t>活污水暂存于厂区防渗化粪池，委托吸污车定期拉运至天北经济技术开发区污水处理厂处理。</w:t>
      </w:r>
    </w:p>
    <w:p w14:paraId="42B7C83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（三）严格落实噪声污染防治措施。</w:t>
      </w:r>
      <w:r>
        <w:rPr>
          <w:rFonts w:hint="default" w:ascii="Times New Roman" w:hAnsi="Times New Roman" w:eastAsia="仿宋_GB2312" w:cs="Times New Roman"/>
          <w:sz w:val="32"/>
          <w:szCs w:val="32"/>
          <w:lang w:val="zh-CN" w:eastAsia="zh-CN"/>
        </w:rPr>
        <w:t>选用低噪声设备，设备采取隔声降噪、减振技术，车间设置隔声</w:t>
      </w:r>
      <w:r>
        <w:rPr>
          <w:rFonts w:hint="default" w:ascii="Times New Roman" w:hAnsi="Times New Roman" w:eastAsia="仿宋_GB2312" w:cs="Times New Roman"/>
          <w:sz w:val="32"/>
          <w:szCs w:val="32"/>
          <w:lang w:val="en-US" w:eastAsia="zh-CN"/>
        </w:rPr>
        <w:t>门窗</w:t>
      </w:r>
      <w:r>
        <w:rPr>
          <w:rFonts w:hint="default" w:ascii="Times New Roman" w:hAnsi="Times New Roman" w:eastAsia="仿宋_GB2312" w:cs="Times New Roman"/>
          <w:sz w:val="32"/>
          <w:szCs w:val="32"/>
          <w:lang w:val="zh-CN" w:eastAsia="zh-CN"/>
        </w:rPr>
        <w:t>、生产设备合理布局等措施，</w:t>
      </w:r>
      <w:r>
        <w:rPr>
          <w:rFonts w:hint="default" w:ascii="Times New Roman" w:hAnsi="Times New Roman" w:eastAsia="仿宋_GB2312" w:cs="Times New Roman"/>
          <w:sz w:val="32"/>
          <w:szCs w:val="32"/>
        </w:rPr>
        <w:t>厂界噪声</w:t>
      </w:r>
      <w:r>
        <w:rPr>
          <w:rFonts w:hint="default" w:ascii="Times New Roman" w:hAnsi="Times New Roman" w:eastAsia="仿宋_GB2312" w:cs="Times New Roman"/>
          <w:sz w:val="32"/>
          <w:szCs w:val="32"/>
          <w:lang w:val="en-US" w:eastAsia="zh-CN"/>
        </w:rPr>
        <w:t>排放</w:t>
      </w:r>
      <w:r>
        <w:rPr>
          <w:rFonts w:hint="eastAsia" w:eastAsia="仿宋_GB2312" w:cs="Times New Roman"/>
          <w:sz w:val="32"/>
          <w:szCs w:val="32"/>
          <w:lang w:val="en-US" w:eastAsia="zh-CN"/>
        </w:rPr>
        <w:t>执行</w:t>
      </w:r>
      <w:r>
        <w:rPr>
          <w:rFonts w:hint="default" w:ascii="Times New Roman" w:hAnsi="Times New Roman" w:eastAsia="仿宋_GB2312" w:cs="Times New Roman"/>
          <w:sz w:val="32"/>
          <w:szCs w:val="32"/>
        </w:rPr>
        <w:t>《工业企业厂界环境噪声排放标准》（GB12348-2008）中</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类标准要求。</w:t>
      </w:r>
    </w:p>
    <w:p w14:paraId="4405508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（四）严格落实固体废物分类处置和综合利用措施。</w:t>
      </w:r>
      <w:r>
        <w:rPr>
          <w:rFonts w:hint="eastAsia" w:ascii="Times New Roman" w:hAnsi="Times New Roman" w:eastAsia="仿宋_GB2312" w:cs="Times New Roman"/>
          <w:color w:val="000000"/>
          <w:kern w:val="2"/>
          <w:sz w:val="32"/>
          <w:szCs w:val="32"/>
          <w:highlight w:val="none"/>
          <w:lang w:val="en-US" w:eastAsia="zh-CN" w:bidi="ar-SA"/>
        </w:rPr>
        <w:t>锅炉灰渣、除尘器收集尘</w:t>
      </w:r>
      <w:r>
        <w:rPr>
          <w:rFonts w:hint="eastAsia" w:ascii="Times New Roman" w:hAnsi="Times New Roman" w:eastAsia="仿宋_GB2312" w:cs="Times New Roman"/>
          <w:b w:val="0"/>
          <w:bCs w:val="0"/>
          <w:color w:val="000000"/>
          <w:sz w:val="32"/>
          <w:szCs w:val="32"/>
          <w:highlight w:val="none"/>
          <w:lang w:eastAsia="zh-CN"/>
        </w:rPr>
        <w:t>、筛分杂质、霉变玉米</w:t>
      </w:r>
      <w:r>
        <w:rPr>
          <w:rFonts w:hint="eastAsia" w:ascii="Times New Roman" w:hAnsi="Times New Roman" w:eastAsia="仿宋_GB2312" w:cs="Times New Roman"/>
          <w:color w:val="000000"/>
          <w:sz w:val="32"/>
          <w:szCs w:val="32"/>
          <w:highlight w:val="none"/>
          <w:lang w:val="en-US" w:eastAsia="zh-CN"/>
        </w:rPr>
        <w:t>外售处置</w:t>
      </w:r>
      <w:r>
        <w:rPr>
          <w:rFonts w:hint="eastAsia" w:ascii="Times New Roman" w:hAnsi="Times New Roman" w:eastAsia="仿宋_GB2312" w:cs="Times New Roman"/>
          <w:b w:val="0"/>
          <w:bCs w:val="0"/>
          <w:color w:val="000000"/>
          <w:sz w:val="32"/>
          <w:szCs w:val="32"/>
          <w:highlight w:val="none"/>
          <w:lang w:val="en-US" w:eastAsia="zh-CN"/>
        </w:rPr>
        <w:t>；</w:t>
      </w:r>
      <w:r>
        <w:rPr>
          <w:rFonts w:hint="eastAsia" w:ascii="Times New Roman" w:hAnsi="Times New Roman" w:eastAsia="仿宋_GB2312" w:cs="Times New Roman"/>
          <w:color w:val="000000"/>
          <w:kern w:val="2"/>
          <w:sz w:val="32"/>
          <w:szCs w:val="32"/>
          <w:highlight w:val="none"/>
          <w:lang w:val="en-US" w:eastAsia="zh-CN" w:bidi="ar-SA"/>
        </w:rPr>
        <w:t>化粪池底泥委托有资质的单位处理；除尘器废布袋</w:t>
      </w:r>
      <w:r>
        <w:rPr>
          <w:rFonts w:hint="eastAsia" w:ascii="Times New Roman" w:hAnsi="Times New Roman" w:eastAsia="仿宋_GB2312" w:cs="Times New Roman"/>
          <w:color w:val="000000"/>
          <w:sz w:val="32"/>
          <w:szCs w:val="32"/>
          <w:highlight w:val="none"/>
          <w:lang w:eastAsia="zh-CN"/>
        </w:rPr>
        <w:t>更换后交由一般固废处置单位进行处置，不在厂区内储存。</w:t>
      </w:r>
      <w:r>
        <w:rPr>
          <w:rFonts w:hint="default" w:ascii="Times New Roman" w:hAnsi="Times New Roman" w:eastAsia="仿宋_GB2312" w:cs="Times New Roman"/>
          <w:sz w:val="32"/>
          <w:szCs w:val="32"/>
          <w:lang w:val="en-US" w:eastAsia="zh-CN"/>
        </w:rPr>
        <w:t>废机油、废油桶、含油废抹布及含油废手套</w:t>
      </w:r>
      <w:r>
        <w:rPr>
          <w:rFonts w:hint="eastAsia" w:eastAsia="仿宋_GB2312" w:cs="Times New Roman"/>
          <w:sz w:val="32"/>
          <w:szCs w:val="32"/>
          <w:lang w:val="en-US" w:eastAsia="zh-CN"/>
        </w:rPr>
        <w:t>属于危险废物，收集后暂存于危险废物贮存点，定期交由有资质的单位处置。</w:t>
      </w:r>
      <w:r>
        <w:rPr>
          <w:rFonts w:hint="default" w:ascii="Times New Roman" w:hAnsi="Times New Roman" w:eastAsia="仿宋_GB2312" w:cs="Times New Roman"/>
          <w:sz w:val="32"/>
          <w:szCs w:val="32"/>
          <w:lang w:val="en-US" w:eastAsia="zh-CN"/>
        </w:rPr>
        <w:t>危险废物的收集、贮存、运输须符合《危险废物收集 贮存 运输技术规范》（HJ2025-2012）及《危险废物贮存污染控制标准》（GB18597-2023）的相关要求</w:t>
      </w:r>
      <w:r>
        <w:rPr>
          <w:rFonts w:hint="default" w:ascii="Times New Roman" w:hAnsi="Times New Roman" w:eastAsia="仿宋_GB2312" w:cs="Times New Roman"/>
          <w:sz w:val="32"/>
          <w:szCs w:val="32"/>
        </w:rPr>
        <w:t>。</w:t>
      </w:r>
      <w:r>
        <w:rPr>
          <w:rFonts w:hint="default" w:ascii="Times New Roman" w:hAnsi="Times New Roman" w:eastAsia="仿宋_GB2312" w:cs="Times New Roman"/>
          <w:snapToGrid w:val="0"/>
          <w:color w:val="auto"/>
          <w:sz w:val="32"/>
          <w:szCs w:val="32"/>
          <w:lang w:val="en-US" w:eastAsia="zh-CN"/>
        </w:rPr>
        <w:t>生活垃圾收集</w:t>
      </w:r>
      <w:r>
        <w:rPr>
          <w:rFonts w:hint="eastAsia" w:ascii="Times New Roman" w:hAnsi="Times New Roman" w:eastAsia="仿宋_GB2312" w:cs="Times New Roman"/>
          <w:snapToGrid w:val="0"/>
          <w:color w:val="auto"/>
          <w:sz w:val="32"/>
          <w:szCs w:val="32"/>
          <w:lang w:val="en-US" w:eastAsia="zh-CN"/>
        </w:rPr>
        <w:t>后</w:t>
      </w:r>
      <w:r>
        <w:rPr>
          <w:rFonts w:hint="default" w:ascii="Times New Roman" w:hAnsi="Times New Roman" w:eastAsia="仿宋_GB2312" w:cs="Times New Roman"/>
          <w:snapToGrid w:val="0"/>
          <w:color w:val="auto"/>
          <w:sz w:val="32"/>
          <w:szCs w:val="32"/>
          <w:lang w:val="en-US" w:eastAsia="zh-CN"/>
        </w:rPr>
        <w:t>由环卫部门统一清运。</w:t>
      </w:r>
    </w:p>
    <w:p w14:paraId="1CE7311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Cs/>
          <w:sz w:val="32"/>
          <w:szCs w:val="32"/>
          <w:lang w:eastAsia="zh-CN"/>
        </w:rPr>
      </w:pPr>
      <w:r>
        <w:rPr>
          <w:rFonts w:hint="default" w:ascii="Times New Roman" w:hAnsi="Times New Roman" w:eastAsia="仿宋_GB2312" w:cs="Times New Roman"/>
          <w:bCs/>
          <w:sz w:val="32"/>
          <w:szCs w:val="32"/>
        </w:rPr>
        <w:t>（</w:t>
      </w:r>
      <w:r>
        <w:rPr>
          <w:rFonts w:hint="eastAsia" w:eastAsia="仿宋_GB2312" w:cs="Times New Roman"/>
          <w:bCs/>
          <w:sz w:val="32"/>
          <w:szCs w:val="32"/>
          <w:lang w:val="en-US" w:eastAsia="zh-CN"/>
        </w:rPr>
        <w:t>五</w:t>
      </w:r>
      <w:r>
        <w:rPr>
          <w:rFonts w:hint="default" w:ascii="Times New Roman" w:hAnsi="Times New Roman" w:eastAsia="仿宋_GB2312" w:cs="Times New Roman"/>
          <w:bCs/>
          <w:sz w:val="32"/>
          <w:szCs w:val="32"/>
        </w:rPr>
        <w:t>）严格落实地下水及土壤污染防治措施。</w:t>
      </w:r>
      <w:r>
        <w:rPr>
          <w:rFonts w:hint="default" w:ascii="Times New Roman" w:hAnsi="Times New Roman" w:eastAsia="仿宋_GB2312" w:cs="Times New Roman"/>
          <w:bCs/>
          <w:sz w:val="32"/>
          <w:szCs w:val="32"/>
          <w:lang w:eastAsia="zh-CN"/>
        </w:rPr>
        <w:t>按照源头防控、分区防治、污染监控、应急响应的原则进行地下水污染防治。严格按照导则要求，落实分区防渗和监控措施，</w:t>
      </w:r>
      <w:r>
        <w:rPr>
          <w:rFonts w:hint="default" w:ascii="Times New Roman" w:hAnsi="Times New Roman" w:eastAsia="仿宋_GB2312" w:cs="Times New Roman"/>
          <w:bCs/>
          <w:sz w:val="32"/>
          <w:szCs w:val="32"/>
          <w:lang w:val="en-US" w:eastAsia="zh-CN"/>
        </w:rPr>
        <w:t>对危险废物</w:t>
      </w:r>
      <w:r>
        <w:rPr>
          <w:rFonts w:hint="eastAsia" w:eastAsia="仿宋_GB2312" w:cs="Times New Roman"/>
          <w:sz w:val="32"/>
          <w:szCs w:val="32"/>
          <w:lang w:val="en-US" w:eastAsia="zh-CN"/>
        </w:rPr>
        <w:t>贮存点</w:t>
      </w:r>
      <w:r>
        <w:rPr>
          <w:rFonts w:hint="default" w:ascii="Times New Roman" w:hAnsi="Times New Roman" w:eastAsia="仿宋_GB2312" w:cs="Times New Roman"/>
          <w:bCs/>
          <w:sz w:val="32"/>
          <w:szCs w:val="32"/>
          <w:lang w:val="en-US" w:eastAsia="zh-CN"/>
        </w:rPr>
        <w:t>、化粪池</w:t>
      </w:r>
      <w:r>
        <w:rPr>
          <w:rFonts w:hint="default" w:ascii="Times New Roman" w:hAnsi="Times New Roman" w:eastAsia="仿宋_GB2312" w:cs="Times New Roman"/>
          <w:bCs/>
          <w:sz w:val="32"/>
          <w:szCs w:val="32"/>
          <w:lang w:eastAsia="zh-CN"/>
        </w:rPr>
        <w:t>进行重点防渗</w:t>
      </w:r>
      <w:r>
        <w:rPr>
          <w:rFonts w:hint="eastAsia" w:eastAsia="仿宋_GB2312" w:cs="Times New Roman"/>
          <w:bCs/>
          <w:sz w:val="32"/>
          <w:szCs w:val="32"/>
          <w:lang w:eastAsia="zh-CN"/>
        </w:rPr>
        <w:t>。</w:t>
      </w:r>
      <w:r>
        <w:rPr>
          <w:rFonts w:hint="eastAsia" w:eastAsia="仿宋_GB2312" w:cs="Times New Roman"/>
          <w:bCs/>
          <w:sz w:val="32"/>
          <w:szCs w:val="32"/>
          <w:lang w:val="en-US" w:eastAsia="zh-CN"/>
        </w:rPr>
        <w:t>对锅炉房、场内地面进行一般防渗。</w:t>
      </w:r>
      <w:r>
        <w:rPr>
          <w:rFonts w:hint="default" w:ascii="Times New Roman" w:hAnsi="Times New Roman" w:eastAsia="仿宋_GB2312" w:cs="Times New Roman"/>
          <w:bCs/>
          <w:sz w:val="32"/>
          <w:szCs w:val="32"/>
          <w:lang w:eastAsia="zh-CN"/>
        </w:rPr>
        <w:t>加强防渗设施的日常维护，对出现损坏的防渗设施应及时修复和加固，确保防渗设施牢固安全。</w:t>
      </w:r>
    </w:p>
    <w:p w14:paraId="123112F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bCs/>
          <w:sz w:val="32"/>
          <w:szCs w:val="32"/>
          <w:lang w:eastAsia="zh-CN"/>
        </w:rPr>
      </w:pPr>
      <w:r>
        <w:rPr>
          <w:rFonts w:hint="default" w:ascii="Times New Roman" w:hAnsi="Times New Roman" w:eastAsia="仿宋_GB2312" w:cs="Times New Roman"/>
          <w:bCs/>
          <w:sz w:val="32"/>
          <w:szCs w:val="32"/>
        </w:rPr>
        <w:t>（</w:t>
      </w:r>
      <w:r>
        <w:rPr>
          <w:rFonts w:hint="eastAsia" w:eastAsia="仿宋_GB2312" w:cs="Times New Roman"/>
          <w:bCs/>
          <w:sz w:val="32"/>
          <w:szCs w:val="32"/>
          <w:lang w:val="en-US" w:eastAsia="zh-CN"/>
        </w:rPr>
        <w:t>六</w:t>
      </w:r>
      <w:r>
        <w:rPr>
          <w:rFonts w:hint="default" w:ascii="Times New Roman" w:hAnsi="Times New Roman" w:eastAsia="仿宋_GB2312" w:cs="Times New Roman"/>
          <w:bCs/>
          <w:sz w:val="32"/>
          <w:szCs w:val="32"/>
        </w:rPr>
        <w:t>）强化各项环境风险防范措施，有效防范环境风险。厂内定期开展环境风险应急培训和演练，落实各项应急环境管理措施以及各项风险防范措施，确保风险事故得到有效控制。</w:t>
      </w:r>
    </w:p>
    <w:p w14:paraId="25CEDDA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eastAsia="zh-CN"/>
        </w:rPr>
        <w:t>（</w:t>
      </w:r>
      <w:r>
        <w:rPr>
          <w:rFonts w:hint="eastAsia" w:eastAsia="仿宋_GB2312" w:cs="Times New Roman"/>
          <w:bCs/>
          <w:sz w:val="32"/>
          <w:szCs w:val="32"/>
          <w:lang w:val="en-US" w:eastAsia="zh-CN"/>
        </w:rPr>
        <w:t>七</w:t>
      </w:r>
      <w:r>
        <w:rPr>
          <w:rFonts w:hint="default" w:ascii="Times New Roman" w:hAnsi="Times New Roman" w:eastAsia="仿宋_GB2312" w:cs="Times New Roman"/>
          <w:bCs/>
          <w:sz w:val="32"/>
          <w:szCs w:val="32"/>
          <w:lang w:eastAsia="zh-CN"/>
        </w:rPr>
        <w:t>）加强施工期环境保护，落实防沙治沙措施，防止施工废水、扬尘、噪声污染。</w:t>
      </w:r>
    </w:p>
    <w:p w14:paraId="07F42C7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Cs/>
          <w:sz w:val="32"/>
          <w:szCs w:val="32"/>
        </w:rPr>
      </w:pPr>
      <w:r>
        <w:rPr>
          <w:rFonts w:hint="eastAsia" w:eastAsia="仿宋_GB2312" w:cs="Times New Roman"/>
          <w:bCs/>
          <w:sz w:val="32"/>
          <w:szCs w:val="32"/>
          <w:lang w:eastAsia="zh-CN"/>
        </w:rPr>
        <w:t>（</w:t>
      </w:r>
      <w:r>
        <w:rPr>
          <w:rFonts w:hint="eastAsia" w:eastAsia="仿宋_GB2312" w:cs="Times New Roman"/>
          <w:bCs/>
          <w:sz w:val="32"/>
          <w:szCs w:val="32"/>
          <w:lang w:val="en-US" w:eastAsia="zh-CN"/>
        </w:rPr>
        <w:t>八</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在工程运营过程中，应建立畅通的公众参与平台，加强宣传与沟通工作，及时解决公众提出的合理环境诉求。定期发布企业环境信息，并主动接受社会监督。</w:t>
      </w:r>
    </w:p>
    <w:p w14:paraId="1FCD427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四、项目建设必须严格执行配套的环境保护设施与主体工程同时设计、同时施工、同时投产使用的环境保护“三同时”制度。施工招标文件和施工合同招标文件中应明确环保条款和责任，项目竣工后，须按规定程序实施竣工环境保护验收。</w:t>
      </w:r>
    </w:p>
    <w:p w14:paraId="72B821A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五、环境影响</w:t>
      </w:r>
      <w:r>
        <w:rPr>
          <w:rFonts w:hint="eastAsia" w:eastAsia="仿宋_GB2312" w:cs="Times New Roman"/>
          <w:bCs/>
          <w:sz w:val="32"/>
          <w:szCs w:val="32"/>
          <w:lang w:eastAsia="zh-CN"/>
        </w:rPr>
        <w:t>报告</w:t>
      </w:r>
      <w:r>
        <w:rPr>
          <w:rFonts w:hint="eastAsia" w:eastAsia="仿宋_GB2312" w:cs="Times New Roman"/>
          <w:bCs/>
          <w:sz w:val="32"/>
          <w:szCs w:val="32"/>
          <w:lang w:val="en-US" w:eastAsia="zh-CN"/>
        </w:rPr>
        <w:t>表</w:t>
      </w:r>
      <w:r>
        <w:rPr>
          <w:rFonts w:hint="default" w:ascii="Times New Roman" w:hAnsi="Times New Roman" w:eastAsia="仿宋_GB2312" w:cs="Times New Roman"/>
          <w:bCs/>
          <w:sz w:val="32"/>
          <w:szCs w:val="32"/>
        </w:rPr>
        <w:t>经批准后，该项目的性质、规模、地点、生产工艺和环境保护措施发生重大变动，且可能导致环境影响显著变化</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特别是不利环境影响加重</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的，应当重新报批该项目环境影响评价报告。</w:t>
      </w:r>
    </w:p>
    <w:p w14:paraId="6AE7B4D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Cs/>
          <w:color w:val="FF0000"/>
          <w:sz w:val="32"/>
          <w:szCs w:val="32"/>
          <w:highlight w:val="none"/>
        </w:rPr>
      </w:pPr>
      <w:r>
        <w:rPr>
          <w:rFonts w:hint="default" w:ascii="Times New Roman" w:hAnsi="Times New Roman" w:eastAsia="仿宋_GB2312" w:cs="Times New Roman"/>
          <w:bCs/>
          <w:sz w:val="32"/>
          <w:szCs w:val="32"/>
        </w:rPr>
        <w:t>六、在项目发生实际排污行为前，按照经批准的环境影响评价文件认真梳理并确认各项环境保护措施落实后，依法申领排污许可证。削减措施须在建设项目取得排污许可证前完成。</w:t>
      </w:r>
    </w:p>
    <w:p w14:paraId="1ADE0BD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eastAsia="仿宋_GB2312" w:cs="Times New Roman"/>
          <w:bCs/>
          <w:sz w:val="32"/>
          <w:szCs w:val="32"/>
          <w:lang w:eastAsia="zh-CN"/>
        </w:rPr>
      </w:pPr>
      <w:r>
        <w:rPr>
          <w:rFonts w:hint="default" w:ascii="Times New Roman" w:hAnsi="Times New Roman" w:eastAsia="仿宋_GB2312" w:cs="Times New Roman"/>
          <w:bCs/>
          <w:sz w:val="32"/>
          <w:szCs w:val="32"/>
        </w:rPr>
        <w:t>七、</w:t>
      </w:r>
      <w:r>
        <w:rPr>
          <w:rFonts w:hint="default" w:ascii="Times New Roman" w:hAnsi="Times New Roman" w:eastAsia="仿宋_GB2312" w:cs="Times New Roman"/>
          <w:bCs/>
          <w:sz w:val="32"/>
          <w:szCs w:val="32"/>
          <w:lang w:val="en-US" w:eastAsia="zh-CN"/>
        </w:rPr>
        <w:t>1</w:t>
      </w:r>
      <w:r>
        <w:rPr>
          <w:rFonts w:hint="eastAsia" w:eastAsia="仿宋_GB2312" w:cs="Times New Roman"/>
          <w:bCs/>
          <w:sz w:val="32"/>
          <w:szCs w:val="32"/>
          <w:lang w:val="en-US" w:eastAsia="zh-CN"/>
        </w:rPr>
        <w:t>31</w:t>
      </w:r>
      <w:r>
        <w:rPr>
          <w:rFonts w:hint="default" w:ascii="Times New Roman" w:hAnsi="Times New Roman" w:eastAsia="仿宋_GB2312" w:cs="Times New Roman"/>
          <w:bCs/>
          <w:sz w:val="32"/>
          <w:szCs w:val="32"/>
        </w:rPr>
        <w:t>团城镇和生态保护中心要</w:t>
      </w:r>
      <w:r>
        <w:rPr>
          <w:rFonts w:hint="eastAsia" w:eastAsia="仿宋_GB2312" w:cs="Times New Roman"/>
          <w:bCs/>
          <w:sz w:val="32"/>
          <w:szCs w:val="32"/>
          <w:lang w:val="en-US" w:eastAsia="zh-CN"/>
        </w:rPr>
        <w:t>切实承担</w:t>
      </w:r>
      <w:r>
        <w:rPr>
          <w:rFonts w:hint="default" w:ascii="Times New Roman" w:hAnsi="Times New Roman" w:eastAsia="仿宋_GB2312" w:cs="Times New Roman"/>
          <w:bCs/>
          <w:sz w:val="32"/>
          <w:szCs w:val="32"/>
        </w:rPr>
        <w:t>对</w:t>
      </w:r>
      <w:r>
        <w:rPr>
          <w:rFonts w:hint="eastAsia" w:eastAsia="仿宋_GB2312" w:cs="Times New Roman"/>
          <w:bCs/>
          <w:sz w:val="32"/>
          <w:szCs w:val="32"/>
          <w:lang w:val="en-US" w:eastAsia="zh-CN"/>
        </w:rPr>
        <w:t>该</w:t>
      </w:r>
      <w:r>
        <w:rPr>
          <w:rFonts w:hint="default" w:ascii="Times New Roman" w:hAnsi="Times New Roman" w:eastAsia="仿宋_GB2312" w:cs="Times New Roman"/>
          <w:bCs/>
          <w:sz w:val="32"/>
          <w:szCs w:val="32"/>
        </w:rPr>
        <w:t>项目日常</w:t>
      </w:r>
      <w:r>
        <w:rPr>
          <w:rFonts w:hint="eastAsia" w:eastAsia="仿宋_GB2312" w:cs="Times New Roman"/>
          <w:bCs/>
          <w:sz w:val="32"/>
          <w:szCs w:val="32"/>
          <w:lang w:val="en-US" w:eastAsia="zh-CN"/>
        </w:rPr>
        <w:t>环境</w:t>
      </w:r>
      <w:bookmarkStart w:id="1" w:name="_GoBack"/>
      <w:bookmarkEnd w:id="1"/>
      <w:r>
        <w:rPr>
          <w:rFonts w:hint="default" w:ascii="Times New Roman" w:hAnsi="Times New Roman" w:eastAsia="仿宋_GB2312" w:cs="Times New Roman"/>
          <w:bCs/>
          <w:sz w:val="32"/>
          <w:szCs w:val="32"/>
        </w:rPr>
        <w:t>监督管理</w:t>
      </w:r>
      <w:r>
        <w:rPr>
          <w:rFonts w:hint="eastAsia" w:eastAsia="仿宋_GB2312" w:cs="Times New Roman"/>
          <w:bCs/>
          <w:sz w:val="32"/>
          <w:szCs w:val="32"/>
          <w:lang w:val="en-US" w:eastAsia="zh-CN"/>
        </w:rPr>
        <w:t>责任</w:t>
      </w:r>
      <w:r>
        <w:rPr>
          <w:rFonts w:hint="eastAsia" w:eastAsia="仿宋_GB2312" w:cs="Times New Roman"/>
          <w:bCs/>
          <w:sz w:val="32"/>
          <w:szCs w:val="32"/>
          <w:lang w:eastAsia="zh-CN"/>
        </w:rPr>
        <w:t>。</w:t>
      </w:r>
    </w:p>
    <w:p w14:paraId="08C6359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八、我局委托师市生态环境保护综合行政执法支队负责该项目的事中事后监管，生态环境监测站按职责开展相关监管工作，我局负责对“三同时”及自主验收监管工作的监督指导。你单位应在接到本批复后20个工作日内，将批准后的环境影响</w:t>
      </w:r>
      <w:r>
        <w:rPr>
          <w:rFonts w:hint="eastAsia" w:eastAsia="仿宋_GB2312" w:cs="Times New Roman"/>
          <w:bCs/>
          <w:sz w:val="32"/>
          <w:szCs w:val="32"/>
          <w:lang w:eastAsia="zh-CN"/>
        </w:rPr>
        <w:t>报告</w:t>
      </w:r>
      <w:r>
        <w:rPr>
          <w:rFonts w:hint="eastAsia" w:eastAsia="仿宋_GB2312" w:cs="Times New Roman"/>
          <w:bCs/>
          <w:sz w:val="32"/>
          <w:szCs w:val="32"/>
          <w:lang w:val="en-US" w:eastAsia="zh-CN"/>
        </w:rPr>
        <w:t>表</w:t>
      </w:r>
      <w:r>
        <w:rPr>
          <w:rFonts w:hint="default" w:ascii="Times New Roman" w:hAnsi="Times New Roman" w:eastAsia="仿宋_GB2312" w:cs="Times New Roman"/>
          <w:bCs/>
          <w:sz w:val="32"/>
          <w:szCs w:val="32"/>
        </w:rPr>
        <w:t>送师市生态环境保护综合行政执法支队、生态环境监测站、</w:t>
      </w:r>
      <w:r>
        <w:rPr>
          <w:rFonts w:hint="default" w:ascii="Times New Roman" w:hAnsi="Times New Roman" w:eastAsia="仿宋_GB2312" w:cs="Times New Roman"/>
          <w:bCs/>
          <w:sz w:val="32"/>
          <w:szCs w:val="32"/>
          <w:lang w:val="en-US" w:eastAsia="zh-CN"/>
        </w:rPr>
        <w:t>1</w:t>
      </w:r>
      <w:r>
        <w:rPr>
          <w:rFonts w:hint="eastAsia" w:eastAsia="仿宋_GB2312" w:cs="Times New Roman"/>
          <w:bCs/>
          <w:sz w:val="32"/>
          <w:szCs w:val="32"/>
          <w:lang w:val="en-US" w:eastAsia="zh-CN"/>
        </w:rPr>
        <w:t>31</w:t>
      </w:r>
      <w:r>
        <w:rPr>
          <w:rFonts w:hint="default" w:ascii="Times New Roman" w:hAnsi="Times New Roman" w:eastAsia="仿宋_GB2312" w:cs="Times New Roman"/>
          <w:bCs/>
          <w:sz w:val="32"/>
          <w:szCs w:val="32"/>
        </w:rPr>
        <w:t>团城镇和生态保护中心，并按规定接受各级生态环境主管部门的监督检查。</w:t>
      </w:r>
    </w:p>
    <w:p w14:paraId="28DC5263">
      <w:pPr>
        <w:keepNext w:val="0"/>
        <w:keepLines w:val="0"/>
        <w:pageBreakBefore w:val="0"/>
        <w:widowControl w:val="0"/>
        <w:kinsoku/>
        <w:wordWrap/>
        <w:overflowPunct/>
        <w:topLinePunct w:val="0"/>
        <w:autoSpaceDE/>
        <w:autoSpaceDN/>
        <w:bidi w:val="0"/>
        <w:adjustRightInd/>
        <w:snapToGrid/>
        <w:spacing w:line="740" w:lineRule="exact"/>
        <w:textAlignment w:val="auto"/>
        <w:rPr>
          <w:rFonts w:hint="default" w:ascii="Times New Roman" w:hAnsi="Times New Roman" w:eastAsia="仿宋_GB2312" w:cs="Times New Roman"/>
          <w:bCs/>
          <w:sz w:val="32"/>
          <w:szCs w:val="32"/>
        </w:rPr>
      </w:pPr>
    </w:p>
    <w:p w14:paraId="081ACF6B">
      <w:pPr>
        <w:pStyle w:val="7"/>
        <w:keepNext w:val="0"/>
        <w:keepLines w:val="0"/>
        <w:pageBreakBefore w:val="0"/>
        <w:widowControl w:val="0"/>
        <w:kinsoku/>
        <w:wordWrap/>
        <w:overflowPunct/>
        <w:topLinePunct w:val="0"/>
        <w:autoSpaceDE/>
        <w:autoSpaceDN/>
        <w:bidi w:val="0"/>
        <w:adjustRightInd/>
        <w:snapToGrid/>
        <w:spacing w:line="740" w:lineRule="exact"/>
        <w:textAlignment w:val="auto"/>
        <w:rPr>
          <w:rFonts w:hint="default"/>
        </w:rPr>
      </w:pPr>
    </w:p>
    <w:p w14:paraId="1931BD59">
      <w:pPr>
        <w:spacing w:line="440" w:lineRule="exact"/>
        <w:ind w:firstLine="4160" w:firstLineChars="13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第七师胡杨河市生态环境局</w:t>
      </w:r>
    </w:p>
    <w:p w14:paraId="64D9F9AF">
      <w:pPr>
        <w:spacing w:line="440" w:lineRule="exact"/>
        <w:ind w:firstLine="5120" w:firstLineChars="1600"/>
        <w:rPr>
          <w:rFonts w:hint="default"/>
        </w:rPr>
      </w:pPr>
      <w:r>
        <w:rPr>
          <w:rFonts w:hint="default" w:ascii="Times New Roman" w:hAnsi="Times New Roman" w:eastAsia="仿宋_GB2312" w:cs="Times New Roman"/>
          <w:bCs/>
          <w:sz w:val="32"/>
          <w:szCs w:val="32"/>
        </w:rPr>
        <w:t>202</w:t>
      </w:r>
      <w:r>
        <w:rPr>
          <w:rFonts w:hint="eastAsia" w:eastAsia="仿宋_GB2312" w:cs="Times New Roman"/>
          <w:bCs/>
          <w:sz w:val="32"/>
          <w:szCs w:val="32"/>
          <w:lang w:val="en-US" w:eastAsia="zh-CN"/>
        </w:rPr>
        <w:t>6</w:t>
      </w:r>
      <w:r>
        <w:rPr>
          <w:rFonts w:hint="default" w:ascii="Times New Roman" w:hAnsi="Times New Roman" w:eastAsia="仿宋_GB2312" w:cs="Times New Roman"/>
          <w:bCs/>
          <w:sz w:val="32"/>
          <w:szCs w:val="32"/>
        </w:rPr>
        <w:t>年</w:t>
      </w:r>
      <w:r>
        <w:rPr>
          <w:rFonts w:hint="eastAsia" w:eastAsia="仿宋_GB2312" w:cs="Times New Roman"/>
          <w:bCs/>
          <w:sz w:val="32"/>
          <w:szCs w:val="32"/>
          <w:lang w:val="en-US" w:eastAsia="zh-CN"/>
        </w:rPr>
        <w:t>9</w:t>
      </w:r>
      <w:r>
        <w:rPr>
          <w:rFonts w:hint="default" w:ascii="Times New Roman" w:hAnsi="Times New Roman" w:eastAsia="仿宋_GB2312" w:cs="Times New Roman"/>
          <w:bCs/>
          <w:sz w:val="32"/>
          <w:szCs w:val="32"/>
        </w:rPr>
        <w:t>月</w:t>
      </w:r>
      <w:r>
        <w:rPr>
          <w:rFonts w:hint="eastAsia" w:eastAsia="仿宋_GB2312" w:cs="Times New Roman"/>
          <w:bCs/>
          <w:sz w:val="32"/>
          <w:szCs w:val="32"/>
          <w:lang w:val="en-US" w:eastAsia="zh-CN"/>
        </w:rPr>
        <w:t>3</w:t>
      </w:r>
      <w:r>
        <w:rPr>
          <w:rFonts w:hint="default" w:ascii="Times New Roman" w:hAnsi="Times New Roman" w:eastAsia="仿宋_GB2312" w:cs="Times New Roman"/>
          <w:bCs/>
          <w:sz w:val="32"/>
          <w:szCs w:val="32"/>
        </w:rPr>
        <w:t>日</w:t>
      </w:r>
    </w:p>
    <w:p w14:paraId="5DB9CB1D">
      <w:pPr>
        <w:keepNext w:val="0"/>
        <w:keepLines w:val="0"/>
        <w:pageBreakBefore w:val="0"/>
        <w:widowControl w:val="0"/>
        <w:kinsoku/>
        <w:wordWrap/>
        <w:overflowPunct/>
        <w:topLinePunct w:val="0"/>
        <w:autoSpaceDE/>
        <w:autoSpaceDN/>
        <w:bidi w:val="0"/>
        <w:adjustRightInd/>
        <w:snapToGrid/>
        <w:spacing w:line="600" w:lineRule="exact"/>
        <w:ind w:right="210" w:rightChars="100"/>
        <w:textAlignment w:val="auto"/>
        <w:rPr>
          <w:rFonts w:hint="default" w:ascii="Times New Roman" w:hAnsi="Times New Roman" w:eastAsia="仿宋_GB2312" w:cs="Times New Roman"/>
          <w:sz w:val="28"/>
          <w:szCs w:val="28"/>
        </w:rPr>
      </w:pPr>
    </w:p>
    <w:p w14:paraId="56F9A003">
      <w:pPr>
        <w:pStyle w:val="2"/>
        <w:rPr>
          <w:rFonts w:hint="default" w:ascii="Times New Roman" w:hAnsi="Times New Roman" w:eastAsia="仿宋_GB2312" w:cs="Times New Roman"/>
          <w:sz w:val="28"/>
          <w:szCs w:val="28"/>
        </w:rPr>
      </w:pPr>
    </w:p>
    <w:p w14:paraId="005A68AB">
      <w:pPr>
        <w:pStyle w:val="3"/>
        <w:rPr>
          <w:rFonts w:hint="default" w:ascii="Times New Roman" w:hAnsi="Times New Roman" w:eastAsia="仿宋_GB2312" w:cs="Times New Roman"/>
          <w:sz w:val="28"/>
          <w:szCs w:val="28"/>
        </w:rPr>
      </w:pPr>
    </w:p>
    <w:p w14:paraId="5E603402">
      <w:pPr>
        <w:rPr>
          <w:rFonts w:hint="default" w:ascii="Times New Roman" w:hAnsi="Times New Roman" w:eastAsia="仿宋_GB2312" w:cs="Times New Roman"/>
          <w:sz w:val="28"/>
          <w:szCs w:val="28"/>
        </w:rPr>
      </w:pPr>
    </w:p>
    <w:p w14:paraId="02F3D28B">
      <w:pPr>
        <w:pStyle w:val="2"/>
        <w:rPr>
          <w:rFonts w:hint="default" w:ascii="Times New Roman" w:hAnsi="Times New Roman" w:eastAsia="仿宋_GB2312" w:cs="Times New Roman"/>
          <w:sz w:val="28"/>
          <w:szCs w:val="28"/>
        </w:rPr>
      </w:pPr>
    </w:p>
    <w:p w14:paraId="5DB27721">
      <w:pPr>
        <w:pStyle w:val="3"/>
        <w:rPr>
          <w:rFonts w:hint="default" w:ascii="Times New Roman" w:hAnsi="Times New Roman" w:eastAsia="仿宋_GB2312" w:cs="Times New Roman"/>
          <w:sz w:val="28"/>
          <w:szCs w:val="28"/>
        </w:rPr>
      </w:pPr>
    </w:p>
    <w:p w14:paraId="68700DBC">
      <w:pPr>
        <w:rPr>
          <w:rFonts w:hint="default" w:ascii="Times New Roman" w:hAnsi="Times New Roman" w:eastAsia="仿宋_GB2312" w:cs="Times New Roman"/>
          <w:sz w:val="28"/>
          <w:szCs w:val="28"/>
        </w:rPr>
      </w:pPr>
    </w:p>
    <w:p w14:paraId="0856749A">
      <w:pPr>
        <w:pStyle w:val="2"/>
        <w:rPr>
          <w:rFonts w:hint="default" w:ascii="Times New Roman" w:hAnsi="Times New Roman" w:eastAsia="仿宋_GB2312" w:cs="Times New Roman"/>
          <w:sz w:val="28"/>
          <w:szCs w:val="28"/>
        </w:rPr>
      </w:pPr>
    </w:p>
    <w:p w14:paraId="27BA6D8E">
      <w:pPr>
        <w:pStyle w:val="3"/>
        <w:rPr>
          <w:rFonts w:hint="default" w:ascii="Times New Roman" w:hAnsi="Times New Roman" w:eastAsia="仿宋_GB2312" w:cs="Times New Roman"/>
          <w:sz w:val="28"/>
          <w:szCs w:val="28"/>
        </w:rPr>
      </w:pPr>
    </w:p>
    <w:p w14:paraId="29AA7279">
      <w:pPr>
        <w:rPr>
          <w:rFonts w:hint="default" w:ascii="Times New Roman" w:hAnsi="Times New Roman" w:eastAsia="仿宋_GB2312" w:cs="Times New Roman"/>
          <w:sz w:val="28"/>
          <w:szCs w:val="28"/>
        </w:rPr>
      </w:pPr>
    </w:p>
    <w:p w14:paraId="1CB8812C">
      <w:pPr>
        <w:pStyle w:val="2"/>
        <w:rPr>
          <w:rFonts w:hint="default" w:ascii="Times New Roman" w:hAnsi="Times New Roman" w:eastAsia="仿宋_GB2312" w:cs="Times New Roman"/>
          <w:sz w:val="28"/>
          <w:szCs w:val="28"/>
        </w:rPr>
      </w:pPr>
    </w:p>
    <w:p w14:paraId="3E1191F1">
      <w:pPr>
        <w:pStyle w:val="3"/>
        <w:rPr>
          <w:rFonts w:hint="default" w:ascii="Times New Roman" w:hAnsi="Times New Roman" w:eastAsia="仿宋_GB2312" w:cs="Times New Roman"/>
          <w:sz w:val="28"/>
          <w:szCs w:val="28"/>
        </w:rPr>
      </w:pPr>
    </w:p>
    <w:p w14:paraId="33188413">
      <w:pPr>
        <w:rPr>
          <w:rFonts w:hint="default" w:ascii="Times New Roman" w:hAnsi="Times New Roman" w:eastAsia="仿宋_GB2312" w:cs="Times New Roman"/>
          <w:sz w:val="28"/>
          <w:szCs w:val="28"/>
        </w:rPr>
      </w:pPr>
    </w:p>
    <w:p w14:paraId="2C9EF1F4">
      <w:pPr>
        <w:pStyle w:val="2"/>
        <w:rPr>
          <w:rFonts w:hint="default" w:ascii="Times New Roman" w:hAnsi="Times New Roman" w:eastAsia="仿宋_GB2312" w:cs="Times New Roman"/>
          <w:sz w:val="28"/>
          <w:szCs w:val="28"/>
        </w:rPr>
      </w:pPr>
    </w:p>
    <w:p w14:paraId="42DC7FB4">
      <w:pPr>
        <w:pStyle w:val="3"/>
        <w:rPr>
          <w:rFonts w:hint="default" w:ascii="Times New Roman" w:hAnsi="Times New Roman" w:eastAsia="仿宋_GB2312" w:cs="Times New Roman"/>
          <w:sz w:val="28"/>
          <w:szCs w:val="28"/>
        </w:rPr>
      </w:pPr>
    </w:p>
    <w:p w14:paraId="7052DA49">
      <w:pPr>
        <w:rPr>
          <w:rFonts w:hint="default" w:ascii="Times New Roman" w:hAnsi="Times New Roman" w:eastAsia="仿宋_GB2312" w:cs="Times New Roman"/>
          <w:sz w:val="28"/>
          <w:szCs w:val="28"/>
        </w:rPr>
      </w:pPr>
    </w:p>
    <w:p w14:paraId="5A751708">
      <w:pPr>
        <w:pStyle w:val="2"/>
        <w:rPr>
          <w:rFonts w:hint="default" w:ascii="Times New Roman" w:hAnsi="Times New Roman" w:eastAsia="仿宋_GB2312" w:cs="Times New Roman"/>
          <w:sz w:val="28"/>
          <w:szCs w:val="28"/>
        </w:rPr>
      </w:pPr>
    </w:p>
    <w:p w14:paraId="0C9BF748">
      <w:pPr>
        <w:pStyle w:val="3"/>
        <w:rPr>
          <w:rFonts w:hint="default" w:ascii="Times New Roman" w:hAnsi="Times New Roman" w:eastAsia="仿宋_GB2312" w:cs="Times New Roman"/>
          <w:sz w:val="28"/>
          <w:szCs w:val="28"/>
        </w:rPr>
      </w:pPr>
    </w:p>
    <w:p w14:paraId="05A39D6A">
      <w:pPr>
        <w:rPr>
          <w:rFonts w:hint="default" w:ascii="Times New Roman" w:hAnsi="Times New Roman" w:eastAsia="仿宋_GB2312" w:cs="Times New Roman"/>
          <w:sz w:val="28"/>
          <w:szCs w:val="28"/>
        </w:rPr>
      </w:pPr>
    </w:p>
    <w:p w14:paraId="2551E0D6">
      <w:pPr>
        <w:pStyle w:val="2"/>
        <w:rPr>
          <w:rFonts w:hint="default" w:ascii="Times New Roman" w:hAnsi="Times New Roman" w:eastAsia="仿宋_GB2312" w:cs="Times New Roman"/>
          <w:sz w:val="28"/>
          <w:szCs w:val="28"/>
        </w:rPr>
      </w:pPr>
    </w:p>
    <w:p w14:paraId="203B8523">
      <w:pPr>
        <w:pStyle w:val="3"/>
        <w:rPr>
          <w:rFonts w:hint="default" w:ascii="Times New Roman" w:hAnsi="Times New Roman" w:eastAsia="仿宋_GB2312" w:cs="Times New Roman"/>
          <w:sz w:val="28"/>
          <w:szCs w:val="28"/>
        </w:rPr>
      </w:pPr>
    </w:p>
    <w:p w14:paraId="0D8BBBA3">
      <w:pPr>
        <w:rPr>
          <w:rFonts w:hint="default" w:ascii="Times New Roman" w:hAnsi="Times New Roman" w:eastAsia="仿宋_GB2312" w:cs="Times New Roman"/>
          <w:sz w:val="28"/>
          <w:szCs w:val="28"/>
        </w:rPr>
      </w:pPr>
    </w:p>
    <w:p w14:paraId="0D9E601D">
      <w:pPr>
        <w:pStyle w:val="2"/>
        <w:rPr>
          <w:rFonts w:hint="default" w:ascii="Times New Roman" w:hAnsi="Times New Roman" w:eastAsia="仿宋_GB2312" w:cs="Times New Roman"/>
          <w:sz w:val="28"/>
          <w:szCs w:val="28"/>
        </w:rPr>
      </w:pPr>
    </w:p>
    <w:p w14:paraId="7C829906">
      <w:pPr>
        <w:pStyle w:val="3"/>
        <w:rPr>
          <w:rFonts w:hint="default" w:ascii="Times New Roman" w:hAnsi="Times New Roman" w:eastAsia="仿宋_GB2312" w:cs="Times New Roman"/>
          <w:sz w:val="28"/>
          <w:szCs w:val="28"/>
        </w:rPr>
      </w:pPr>
    </w:p>
    <w:p w14:paraId="25BD5562">
      <w:pPr>
        <w:rPr>
          <w:rFonts w:hint="default" w:ascii="Times New Roman" w:hAnsi="Times New Roman" w:eastAsia="仿宋_GB2312" w:cs="Times New Roman"/>
          <w:sz w:val="28"/>
          <w:szCs w:val="28"/>
        </w:rPr>
      </w:pPr>
    </w:p>
    <w:p w14:paraId="4D260F6F">
      <w:pPr>
        <w:pStyle w:val="2"/>
        <w:rPr>
          <w:rFonts w:hint="default" w:ascii="Times New Roman" w:hAnsi="Times New Roman" w:eastAsia="仿宋_GB2312" w:cs="Times New Roman"/>
          <w:sz w:val="28"/>
          <w:szCs w:val="28"/>
        </w:rPr>
      </w:pPr>
    </w:p>
    <w:p w14:paraId="3325D9C4">
      <w:pPr>
        <w:pStyle w:val="3"/>
        <w:rPr>
          <w:rFonts w:hint="default" w:ascii="Times New Roman" w:hAnsi="Times New Roman" w:eastAsia="仿宋_GB2312" w:cs="Times New Roman"/>
          <w:sz w:val="28"/>
          <w:szCs w:val="28"/>
        </w:rPr>
      </w:pPr>
    </w:p>
    <w:p w14:paraId="217CF8AD">
      <w:pPr>
        <w:rPr>
          <w:rFonts w:hint="default" w:ascii="Times New Roman" w:hAnsi="Times New Roman" w:eastAsia="仿宋_GB2312" w:cs="Times New Roman"/>
          <w:sz w:val="28"/>
          <w:szCs w:val="28"/>
        </w:rPr>
      </w:pPr>
    </w:p>
    <w:p w14:paraId="043D7132">
      <w:pPr>
        <w:pStyle w:val="2"/>
        <w:rPr>
          <w:rFonts w:hint="default"/>
        </w:rPr>
      </w:pPr>
    </w:p>
    <w:p w14:paraId="222FEB84">
      <w:pPr>
        <w:pStyle w:val="2"/>
        <w:rPr>
          <w:rFonts w:hint="default"/>
        </w:rPr>
      </w:pPr>
    </w:p>
    <w:p w14:paraId="1D65CEC6">
      <w:pPr>
        <w:pStyle w:val="3"/>
        <w:rPr>
          <w:rFonts w:hint="default"/>
        </w:rPr>
      </w:pPr>
    </w:p>
    <w:p w14:paraId="2144FEE6">
      <w:pPr>
        <w:pStyle w:val="3"/>
        <w:rPr>
          <w:rFonts w:hint="default"/>
        </w:rPr>
      </w:pPr>
    </w:p>
    <w:p w14:paraId="756E161C">
      <w:pPr>
        <w:pStyle w:val="3"/>
        <w:keepNext w:val="0"/>
        <w:keepLines w:val="0"/>
        <w:pageBreakBefore w:val="0"/>
        <w:widowControl w:val="0"/>
        <w:kinsoku/>
        <w:wordWrap/>
        <w:overflowPunct/>
        <w:topLinePunct w:val="0"/>
        <w:autoSpaceDE/>
        <w:autoSpaceDN/>
        <w:bidi w:val="0"/>
        <w:adjustRightInd/>
        <w:snapToGrid/>
        <w:spacing w:line="800" w:lineRule="exact"/>
        <w:jc w:val="both"/>
        <w:textAlignment w:val="auto"/>
        <w:rPr>
          <w:rFonts w:hint="default"/>
        </w:rPr>
      </w:pPr>
    </w:p>
    <w:p w14:paraId="46A19A44">
      <w:pPr>
        <w:keepNext w:val="0"/>
        <w:keepLines w:val="0"/>
        <w:pageBreakBefore w:val="0"/>
        <w:widowControl w:val="0"/>
        <w:kinsoku/>
        <w:wordWrap/>
        <w:overflowPunct/>
        <w:topLinePunct w:val="0"/>
        <w:autoSpaceDE/>
        <w:autoSpaceDN/>
        <w:bidi w:val="0"/>
        <w:adjustRightInd/>
        <w:snapToGrid/>
        <w:spacing w:line="440" w:lineRule="exact"/>
        <w:ind w:right="210" w:rightChars="100"/>
        <w:textAlignment w:val="auto"/>
        <w:rPr>
          <w:rFonts w:hint="eastAsia" w:ascii="仿宋_GB2312" w:hAnsi="仿宋_GB2312" w:eastAsia="仿宋_GB2312" w:cs="仿宋_GB2312"/>
          <w:sz w:val="28"/>
          <w:szCs w:val="28"/>
          <w:lang w:eastAsia="zh-CN"/>
        </w:rPr>
      </w:pPr>
      <w:r>
        <w:rPr>
          <w:rFonts w:hint="default" w:ascii="Times New Roman" w:hAnsi="Times New Roman" w:eastAsia="仿宋_GB2312" w:cs="Times New Roman"/>
          <w:sz w:val="28"/>
          <w:szCs w:val="28"/>
        </w:rPr>
        <mc:AlternateContent>
          <mc:Choice Requires="wps">
            <w:drawing>
              <wp:anchor distT="0" distB="0" distL="114300" distR="114300" simplePos="0" relativeHeight="251660288" behindDoc="0" locked="0" layoutInCell="1" allowOverlap="1">
                <wp:simplePos x="0" y="0"/>
                <wp:positionH relativeFrom="column">
                  <wp:posOffset>-142240</wp:posOffset>
                </wp:positionH>
                <wp:positionV relativeFrom="paragraph">
                  <wp:posOffset>2540</wp:posOffset>
                </wp:positionV>
                <wp:extent cx="5901055" cy="0"/>
                <wp:effectExtent l="0" t="9525" r="4445" b="9525"/>
                <wp:wrapNone/>
                <wp:docPr id="1" name="直接连接符 5"/>
                <wp:cNvGraphicFramePr/>
                <a:graphic xmlns:a="http://schemas.openxmlformats.org/drawingml/2006/main">
                  <a:graphicData uri="http://schemas.microsoft.com/office/word/2010/wordprocessingShape">
                    <wps:wsp>
                      <wps:cNvCnPr/>
                      <wps:spPr>
                        <a:xfrm>
                          <a:off x="0" y="0"/>
                          <a:ext cx="5901055" cy="0"/>
                        </a:xfrm>
                        <a:prstGeom prst="straightConnector1">
                          <a:avLst/>
                        </a:prstGeom>
                        <a:ln w="19050" cap="flat" cmpd="sng">
                          <a:solidFill>
                            <a:srgbClr val="000000"/>
                          </a:solidFill>
                          <a:prstDash val="solid"/>
                          <a:round/>
                          <a:headEnd type="none" w="med" len="med"/>
                          <a:tailEnd type="none" w="med" len="med"/>
                        </a:ln>
                      </wps:spPr>
                      <wps:bodyPr/>
                    </wps:wsp>
                  </a:graphicData>
                </a:graphic>
              </wp:anchor>
            </w:drawing>
          </mc:Choice>
          <mc:Fallback>
            <w:pict>
              <v:shape id="直接连接符 5" o:spid="_x0000_s1026" o:spt="32" type="#_x0000_t32" style="position:absolute;left:0pt;margin-left:-11.2pt;margin-top:0.2pt;height:0pt;width:464.65pt;z-index:251660288;mso-width-relative:page;mso-height-relative:page;" filled="f" stroked="t" coordsize="21600,21600" o:gfxdata="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cwRcddEAAAAFAQAADwAAAAAAAAABACAAAAAiAAAAZHJzL2Rvd25yZXYueG1sUEsBAhQA&#10;FAAAAAgAh07iQHFWSkj5AQAA8QMAAA4AAAAAAAAAAQAgAAAAIAEAAGRycy9lMm9Eb2MueG1sUEsF&#10;BgAAAAAGAAYAWQEAAIsFAAAAAA==&#10;">
                <v:fill on="f" focussize="0,0"/>
                <v:stroke weight="1.5pt" color="#000000" joinstyle="round"/>
                <v:imagedata o:title=""/>
                <o:lock v:ext="edit" aspectratio="f"/>
              </v:shape>
            </w:pict>
          </mc:Fallback>
        </mc:AlternateContent>
      </w:r>
      <w:r>
        <w:rPr>
          <w:rFonts w:hint="default" w:ascii="Times New Roman" w:hAnsi="Times New Roman" w:eastAsia="仿宋_GB2312" w:cs="Times New Roman"/>
          <w:sz w:val="28"/>
          <w:szCs w:val="28"/>
        </w:rPr>
        <w:t>抄送</w:t>
      </w:r>
      <w:r>
        <w:rPr>
          <w:rFonts w:hint="eastAsia" w:ascii="仿宋_GB2312" w:hAnsi="仿宋_GB2312" w:eastAsia="仿宋_GB2312" w:cs="仿宋_GB2312"/>
          <w:sz w:val="28"/>
          <w:szCs w:val="28"/>
        </w:rPr>
        <w:t>：师市生态环境保护综合行政执法支队</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生态环境监测站、</w:t>
      </w:r>
      <w:r>
        <w:rPr>
          <w:rFonts w:hint="default" w:ascii="Times New Roman" w:hAnsi="Times New Roman" w:eastAsia="仿宋_GB2312" w:cs="Times New Roman"/>
          <w:sz w:val="28"/>
          <w:szCs w:val="28"/>
          <w:lang w:val="en-US" w:eastAsia="zh-CN"/>
        </w:rPr>
        <w:t>1</w:t>
      </w:r>
      <w:r>
        <w:rPr>
          <w:rFonts w:hint="eastAsia" w:eastAsia="仿宋_GB2312" w:cs="Times New Roman"/>
          <w:sz w:val="28"/>
          <w:szCs w:val="28"/>
          <w:lang w:val="en-US" w:eastAsia="zh-CN"/>
        </w:rPr>
        <w:t>31</w:t>
      </w:r>
      <w:r>
        <w:rPr>
          <w:rFonts w:hint="default" w:ascii="Times New Roman" w:hAnsi="Times New Roman" w:eastAsia="仿宋_GB2312" w:cs="Times New Roman"/>
          <w:sz w:val="28"/>
          <w:szCs w:val="28"/>
        </w:rPr>
        <w:t>团城镇和生态保护中心</w:t>
      </w:r>
      <w:r>
        <w:rPr>
          <w:rFonts w:hint="eastAsia" w:ascii="仿宋_GB2312" w:hAnsi="仿宋_GB2312" w:eastAsia="仿宋_GB2312" w:cs="仿宋_GB2312"/>
          <w:sz w:val="28"/>
          <w:szCs w:val="28"/>
          <w:lang w:eastAsia="zh-CN"/>
        </w:rPr>
        <w:t>。</w:t>
      </w:r>
    </w:p>
    <w:p w14:paraId="0ADEB69F">
      <w:pPr>
        <w:spacing w:line="600" w:lineRule="exact"/>
        <w:ind w:right="210" w:rightChars="100"/>
        <w:rPr>
          <w:rFonts w:hint="eastAsia" w:ascii="仿宋_GB2312" w:hAnsi="仿宋_GB2312" w:eastAsia="仿宋_GB2312" w:cs="仿宋_GB2312"/>
          <w:lang w:val="en-US" w:eastAsia="zh-CN"/>
        </w:rPr>
      </w:pPr>
      <w:r>
        <w:rPr>
          <w:rFonts w:hint="eastAsia" w:ascii="仿宋_GB2312" w:hAnsi="仿宋_GB2312" w:eastAsia="仿宋_GB2312" w:cs="仿宋_GB2312"/>
          <w:sz w:val="28"/>
          <w:szCs w:val="28"/>
        </w:rPr>
        <mc:AlternateContent>
          <mc:Choice Requires="wps">
            <w:drawing>
              <wp:anchor distT="0" distB="0" distL="114300" distR="114300" simplePos="0" relativeHeight="251662336" behindDoc="0" locked="0" layoutInCell="1" allowOverlap="1">
                <wp:simplePos x="0" y="0"/>
                <wp:positionH relativeFrom="column">
                  <wp:posOffset>-152400</wp:posOffset>
                </wp:positionH>
                <wp:positionV relativeFrom="paragraph">
                  <wp:posOffset>371475</wp:posOffset>
                </wp:positionV>
                <wp:extent cx="5930265" cy="1270"/>
                <wp:effectExtent l="0" t="9525" r="13335" b="17780"/>
                <wp:wrapNone/>
                <wp:docPr id="3" name="直接连接符 4"/>
                <wp:cNvGraphicFramePr/>
                <a:graphic xmlns:a="http://schemas.openxmlformats.org/drawingml/2006/main">
                  <a:graphicData uri="http://schemas.microsoft.com/office/word/2010/wordprocessingShape">
                    <wps:wsp>
                      <wps:cNvCnPr/>
                      <wps:spPr>
                        <a:xfrm flipV="1">
                          <a:off x="0" y="0"/>
                          <a:ext cx="5930265" cy="1270"/>
                        </a:xfrm>
                        <a:prstGeom prst="straightConnector1">
                          <a:avLst/>
                        </a:prstGeom>
                        <a:ln w="19050" cap="flat" cmpd="sng">
                          <a:solidFill>
                            <a:srgbClr val="000000"/>
                          </a:solidFill>
                          <a:prstDash val="solid"/>
                          <a:round/>
                          <a:headEnd type="none" w="med" len="med"/>
                          <a:tailEnd type="none" w="med" len="med"/>
                        </a:ln>
                      </wps:spPr>
                      <wps:bodyPr/>
                    </wps:wsp>
                  </a:graphicData>
                </a:graphic>
              </wp:anchor>
            </w:drawing>
          </mc:Choice>
          <mc:Fallback>
            <w:pict>
              <v:shape id="直接连接符 4" o:spid="_x0000_s1026" o:spt="32" type="#_x0000_t32" style="position:absolute;left:0pt;flip:y;margin-left:-12pt;margin-top:29.25pt;height:0.1pt;width:466.95pt;z-index:251662336;mso-width-relative:page;mso-height-relative:page;" filled="f" stroked="t" coordsize="21600,21600" o:gfxdata="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qhDXPtgAAAAJAQAADwAAAAAAAAABACAAAAAiAAAA&#10;ZHJzL2Rvd25yZXYueG1sUEsBAhQAFAAAAAgAh07iQN+/8UIHAgAA/gMAAA4AAAAAAAAAAQAgAAAA&#10;JwEAAGRycy9lMm9Eb2MueG1sUEsFBgAAAAAGAAYAWQEAAKAFAAAAAA==&#10;">
                <v:fill on="f" focussize="0,0"/>
                <v:stroke weight="1.5pt" color="#000000" joinstyle="round"/>
                <v:imagedata o:title=""/>
                <o:lock v:ext="edit" aspectratio="f"/>
              </v:shape>
            </w:pict>
          </mc:Fallback>
        </mc:AlternateContent>
      </w:r>
      <w:r>
        <w:rPr>
          <w:rFonts w:hint="eastAsia" w:ascii="仿宋_GB2312" w:hAnsi="仿宋_GB2312" w:eastAsia="仿宋_GB2312" w:cs="仿宋_GB2312"/>
          <w:sz w:val="28"/>
          <w:szCs w:val="28"/>
        </w:rPr>
        <mc:AlternateContent>
          <mc:Choice Requires="wps">
            <w:drawing>
              <wp:anchor distT="0" distB="0" distL="114300" distR="114300" simplePos="0" relativeHeight="251661312" behindDoc="0" locked="0" layoutInCell="1" allowOverlap="1">
                <wp:simplePos x="0" y="0"/>
                <wp:positionH relativeFrom="column">
                  <wp:posOffset>-142875</wp:posOffset>
                </wp:positionH>
                <wp:positionV relativeFrom="paragraph">
                  <wp:posOffset>0</wp:posOffset>
                </wp:positionV>
                <wp:extent cx="5882640" cy="0"/>
                <wp:effectExtent l="0" t="0" r="0" b="0"/>
                <wp:wrapNone/>
                <wp:docPr id="2" name="直接连接符 3"/>
                <wp:cNvGraphicFramePr/>
                <a:graphic xmlns:a="http://schemas.openxmlformats.org/drawingml/2006/main">
                  <a:graphicData uri="http://schemas.microsoft.com/office/word/2010/wordprocessingShape">
                    <wps:wsp>
                      <wps:cNvCnPr/>
                      <wps:spPr>
                        <a:xfrm>
                          <a:off x="0" y="0"/>
                          <a:ext cx="5882640" cy="0"/>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w:pict>
              <v:shape id="直接连接符 3" o:spid="_x0000_s1026" o:spt="32" type="#_x0000_t32" style="position:absolute;left:0pt;margin-left:-11.25pt;margin-top:0pt;height:0pt;width:463.2pt;z-index:251661312;mso-width-relative:page;mso-height-relative:page;" filled="f" stroked="t" coordsize="21600,21600" o:gfxdata="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Dgu0c3UAAAABQEAAA8AAAAAAAAAAQAgAAAAIgAAAGRycy9kb3ducmV2LnhtbFBL&#10;AQIUABQAAAAIAIdO4kDtBQzC+gEAAPADAAAOAAAAAAAAAAEAIAAAACMBAABkcnMvZTJvRG9jLnht&#10;bFBLBQYAAAAABgAGAFkBAACPBQAAAAA=&#10;">
                <v:fill on="f" focussize="0,0"/>
                <v:stroke color="#000000" joinstyle="round"/>
                <v:imagedata o:title=""/>
                <o:lock v:ext="edit" aspectratio="f"/>
              </v:shape>
            </w:pict>
          </mc:Fallback>
        </mc:AlternateContent>
      </w:r>
      <w:r>
        <w:rPr>
          <w:rFonts w:hint="eastAsia" w:ascii="仿宋_GB2312" w:hAnsi="仿宋_GB2312" w:eastAsia="仿宋_GB2312" w:cs="仿宋_GB2312"/>
          <w:sz w:val="28"/>
          <w:szCs w:val="28"/>
        </w:rPr>
        <w:t xml:space="preserve">兵团第七师胡杨河市生态环境局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日印</w:t>
      </w:r>
      <w:r>
        <w:rPr>
          <w:rFonts w:hint="eastAsia" w:ascii="仿宋_GB2312" w:hAnsi="仿宋_GB2312" w:eastAsia="仿宋_GB2312" w:cs="仿宋_GB2312"/>
          <w:sz w:val="28"/>
          <w:szCs w:val="28"/>
          <w:lang w:val="en-US" w:eastAsia="zh-CN"/>
        </w:rPr>
        <w:t>发</w:t>
      </w:r>
    </w:p>
    <w:sectPr>
      <w:footerReference r:id="rId3" w:type="default"/>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55C53">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-114300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007639">
                          <w:pPr>
                            <w:pStyle w:val="8"/>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9pt;height:144pt;width:144pt;mso-position-horizontal:outside;mso-position-horizontal-relative:margin;mso-wrap-style:none;z-index:251659264;mso-width-relative:page;mso-height-relative:page;" filled="f" stroked="f" coordsize="21600,21600" o:gfxdata="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XaJ/59QAAAAIAQAADwAAAAAAAAABACAAAAAiAAAAZHJzL2Rvd25yZXYueG1sUEsB&#10;AhQAFAAAAAgAh07iQLqMOCsyAgAAYQQAAA4AAAAAAAAAAQAgAAAAIwEAAGRycy9lMm9Eb2MueG1s&#10;UEsFBgAAAAAGAAYAWQEAAMcFAAAAAA==&#10;">
              <v:fill on="f" focussize="0,0"/>
              <v:stroke on="f" weight="0.5pt"/>
              <v:imagedata o:title=""/>
              <o:lock v:ext="edit" aspectratio="f"/>
              <v:textbox inset="0mm,0mm,0mm,0mm" style="mso-fit-shape-to-text:t;">
                <w:txbxContent>
                  <w:p w14:paraId="51007639">
                    <w:pPr>
                      <w:pStyle w:val="8"/>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jZTQ2MWYyYTY5MDNmZDNlOGVlYzE1OWZlNTE2NTUifQ=="/>
  </w:docVars>
  <w:rsids>
    <w:rsidRoot w:val="19A61553"/>
    <w:rsid w:val="00301E8D"/>
    <w:rsid w:val="006F367F"/>
    <w:rsid w:val="00742AA9"/>
    <w:rsid w:val="01B110AA"/>
    <w:rsid w:val="025F2F6C"/>
    <w:rsid w:val="02A511E1"/>
    <w:rsid w:val="03E07A24"/>
    <w:rsid w:val="0402172C"/>
    <w:rsid w:val="06103791"/>
    <w:rsid w:val="064F49ED"/>
    <w:rsid w:val="07EF0236"/>
    <w:rsid w:val="095B26AD"/>
    <w:rsid w:val="0A0D21E1"/>
    <w:rsid w:val="0A6D7B38"/>
    <w:rsid w:val="0A717628"/>
    <w:rsid w:val="0BD55735"/>
    <w:rsid w:val="0CD67C16"/>
    <w:rsid w:val="0DEC6201"/>
    <w:rsid w:val="0E772D33"/>
    <w:rsid w:val="0E927B6D"/>
    <w:rsid w:val="0F3A0A84"/>
    <w:rsid w:val="0F8E2A2A"/>
    <w:rsid w:val="0F9811B3"/>
    <w:rsid w:val="10415B91"/>
    <w:rsid w:val="10F1501F"/>
    <w:rsid w:val="11E46932"/>
    <w:rsid w:val="13222B5F"/>
    <w:rsid w:val="13411924"/>
    <w:rsid w:val="1367781A"/>
    <w:rsid w:val="13B33653"/>
    <w:rsid w:val="15DB44F0"/>
    <w:rsid w:val="15E46F00"/>
    <w:rsid w:val="182926C8"/>
    <w:rsid w:val="19A61553"/>
    <w:rsid w:val="1A271AB1"/>
    <w:rsid w:val="1ABC044C"/>
    <w:rsid w:val="1C444C69"/>
    <w:rsid w:val="1CB3762C"/>
    <w:rsid w:val="1D4B3D09"/>
    <w:rsid w:val="1E1F706C"/>
    <w:rsid w:val="1E222CBC"/>
    <w:rsid w:val="1E48649A"/>
    <w:rsid w:val="1F0C482E"/>
    <w:rsid w:val="1F6410B2"/>
    <w:rsid w:val="1F792DAF"/>
    <w:rsid w:val="20735A50"/>
    <w:rsid w:val="209D0D1F"/>
    <w:rsid w:val="213A5F9C"/>
    <w:rsid w:val="2177331E"/>
    <w:rsid w:val="21A1039B"/>
    <w:rsid w:val="24240DD8"/>
    <w:rsid w:val="24806158"/>
    <w:rsid w:val="24C7636B"/>
    <w:rsid w:val="24F3437F"/>
    <w:rsid w:val="274A3283"/>
    <w:rsid w:val="27E6038A"/>
    <w:rsid w:val="293E30BA"/>
    <w:rsid w:val="29ED02E2"/>
    <w:rsid w:val="2A0C4820"/>
    <w:rsid w:val="2B0A6FB1"/>
    <w:rsid w:val="2BE9171D"/>
    <w:rsid w:val="2CD07D87"/>
    <w:rsid w:val="2DB71358"/>
    <w:rsid w:val="2E4D5985"/>
    <w:rsid w:val="2E6647A7"/>
    <w:rsid w:val="2FC85447"/>
    <w:rsid w:val="2FE778C1"/>
    <w:rsid w:val="30766E97"/>
    <w:rsid w:val="319A0963"/>
    <w:rsid w:val="31DB1B10"/>
    <w:rsid w:val="31DE6AA2"/>
    <w:rsid w:val="325A00D3"/>
    <w:rsid w:val="32EA1B39"/>
    <w:rsid w:val="334B0167"/>
    <w:rsid w:val="3390201E"/>
    <w:rsid w:val="33FC16C7"/>
    <w:rsid w:val="3446239F"/>
    <w:rsid w:val="34552334"/>
    <w:rsid w:val="345D63A4"/>
    <w:rsid w:val="34DB0164"/>
    <w:rsid w:val="34DB0F65"/>
    <w:rsid w:val="35222615"/>
    <w:rsid w:val="35335B87"/>
    <w:rsid w:val="362F528B"/>
    <w:rsid w:val="37C91FA2"/>
    <w:rsid w:val="380D6520"/>
    <w:rsid w:val="389B146D"/>
    <w:rsid w:val="390336C5"/>
    <w:rsid w:val="39586DFD"/>
    <w:rsid w:val="39F41A28"/>
    <w:rsid w:val="3AFE1F63"/>
    <w:rsid w:val="3B901665"/>
    <w:rsid w:val="3B90705F"/>
    <w:rsid w:val="3CA8662A"/>
    <w:rsid w:val="3E3F2FBE"/>
    <w:rsid w:val="3E5263F1"/>
    <w:rsid w:val="3E8F41EC"/>
    <w:rsid w:val="3ED656D0"/>
    <w:rsid w:val="406B063D"/>
    <w:rsid w:val="40B27A77"/>
    <w:rsid w:val="41B8730F"/>
    <w:rsid w:val="41E12475"/>
    <w:rsid w:val="41F36599"/>
    <w:rsid w:val="425C5EED"/>
    <w:rsid w:val="4475215D"/>
    <w:rsid w:val="44AC37CB"/>
    <w:rsid w:val="465316EE"/>
    <w:rsid w:val="46C2653A"/>
    <w:rsid w:val="46CD5F17"/>
    <w:rsid w:val="46F76C15"/>
    <w:rsid w:val="47623535"/>
    <w:rsid w:val="495711BC"/>
    <w:rsid w:val="4B4732F2"/>
    <w:rsid w:val="4B9E0BAE"/>
    <w:rsid w:val="4BE111CF"/>
    <w:rsid w:val="4D3248D1"/>
    <w:rsid w:val="4DF46F02"/>
    <w:rsid w:val="4E1C7BCA"/>
    <w:rsid w:val="4E23273D"/>
    <w:rsid w:val="4E2A19FE"/>
    <w:rsid w:val="4E8260C7"/>
    <w:rsid w:val="4E8B592A"/>
    <w:rsid w:val="4EF35AAE"/>
    <w:rsid w:val="4FDB6ACA"/>
    <w:rsid w:val="5144471C"/>
    <w:rsid w:val="51CA44D0"/>
    <w:rsid w:val="51F85506"/>
    <w:rsid w:val="52016A0C"/>
    <w:rsid w:val="521E31BF"/>
    <w:rsid w:val="53732803"/>
    <w:rsid w:val="53BF72F1"/>
    <w:rsid w:val="5445681C"/>
    <w:rsid w:val="54E21B59"/>
    <w:rsid w:val="55F63B99"/>
    <w:rsid w:val="576461D9"/>
    <w:rsid w:val="588418A2"/>
    <w:rsid w:val="58D34BF9"/>
    <w:rsid w:val="593C3F2A"/>
    <w:rsid w:val="593F70C5"/>
    <w:rsid w:val="598D4786"/>
    <w:rsid w:val="59AE7AF9"/>
    <w:rsid w:val="59BB12F3"/>
    <w:rsid w:val="5A0B54BA"/>
    <w:rsid w:val="5A132EDD"/>
    <w:rsid w:val="5A2854B0"/>
    <w:rsid w:val="5AD563E4"/>
    <w:rsid w:val="5ADB6D32"/>
    <w:rsid w:val="5AFA409D"/>
    <w:rsid w:val="5BBE331C"/>
    <w:rsid w:val="5D0F6CD8"/>
    <w:rsid w:val="5DB04EE7"/>
    <w:rsid w:val="5E116A2B"/>
    <w:rsid w:val="5EE50BC0"/>
    <w:rsid w:val="5FCF6BF0"/>
    <w:rsid w:val="609D79A4"/>
    <w:rsid w:val="60BB7E2A"/>
    <w:rsid w:val="6109328C"/>
    <w:rsid w:val="612B239E"/>
    <w:rsid w:val="623C143F"/>
    <w:rsid w:val="62A019CE"/>
    <w:rsid w:val="62E3579C"/>
    <w:rsid w:val="63284D3B"/>
    <w:rsid w:val="644952F5"/>
    <w:rsid w:val="6703077D"/>
    <w:rsid w:val="679C6136"/>
    <w:rsid w:val="67B83316"/>
    <w:rsid w:val="68152516"/>
    <w:rsid w:val="69392234"/>
    <w:rsid w:val="698B1E19"/>
    <w:rsid w:val="6A1F6FF6"/>
    <w:rsid w:val="6BCB47AF"/>
    <w:rsid w:val="6CC3509F"/>
    <w:rsid w:val="6F2512C7"/>
    <w:rsid w:val="6F4158DC"/>
    <w:rsid w:val="708446DD"/>
    <w:rsid w:val="709661BE"/>
    <w:rsid w:val="732B7092"/>
    <w:rsid w:val="7375588F"/>
    <w:rsid w:val="73E5637C"/>
    <w:rsid w:val="74BD1F6B"/>
    <w:rsid w:val="75006CB2"/>
    <w:rsid w:val="7516167C"/>
    <w:rsid w:val="75A137DC"/>
    <w:rsid w:val="75B72E5F"/>
    <w:rsid w:val="75F30136"/>
    <w:rsid w:val="76017E90"/>
    <w:rsid w:val="78422A56"/>
    <w:rsid w:val="79AC0800"/>
    <w:rsid w:val="79C23023"/>
    <w:rsid w:val="7B220D7A"/>
    <w:rsid w:val="7B2B2A8E"/>
    <w:rsid w:val="7BE007E5"/>
    <w:rsid w:val="7C86579B"/>
    <w:rsid w:val="7D875B61"/>
    <w:rsid w:val="7E671FD9"/>
    <w:rsid w:val="7F4A4BC8"/>
    <w:rsid w:val="7FFB60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unhideWhenUsed="0" w:uiPriority="0" w:semiHidden="0" w:name="header"/>
    <w:lsdException w:qFormat="1" w:uiPriority="99"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5">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index heading"/>
    <w:basedOn w:val="1"/>
    <w:next w:val="3"/>
    <w:qFormat/>
    <w:uiPriority w:val="0"/>
    <w:pPr>
      <w:widowControl/>
      <w:jc w:val="left"/>
    </w:pPr>
    <w:rPr>
      <w:rFonts w:ascii="Arial" w:hAnsi="Arial" w:cs="Arial"/>
      <w:b/>
      <w:bCs/>
      <w:kern w:val="0"/>
      <w:sz w:val="24"/>
    </w:rPr>
  </w:style>
  <w:style w:type="paragraph" w:styleId="3">
    <w:name w:val="index 1"/>
    <w:basedOn w:val="1"/>
    <w:next w:val="1"/>
    <w:qFormat/>
    <w:uiPriority w:val="0"/>
    <w:pPr>
      <w:spacing w:line="360" w:lineRule="auto"/>
      <w:jc w:val="center"/>
    </w:pPr>
  </w:style>
  <w:style w:type="paragraph" w:styleId="6">
    <w:name w:val="index 5"/>
    <w:basedOn w:val="1"/>
    <w:next w:val="1"/>
    <w:qFormat/>
    <w:uiPriority w:val="0"/>
    <w:pPr>
      <w:ind w:left="800" w:leftChars="800"/>
    </w:pPr>
  </w:style>
  <w:style w:type="paragraph" w:styleId="7">
    <w:name w:val="Body Text"/>
    <w:basedOn w:val="1"/>
    <w:next w:val="1"/>
    <w:qFormat/>
    <w:uiPriority w:val="0"/>
    <w:rPr>
      <w:rFonts w:eastAsia="华文中宋"/>
      <w:b/>
      <w:bCs/>
      <w:w w:val="90"/>
      <w:sz w:val="44"/>
    </w:rPr>
  </w:style>
  <w:style w:type="paragraph" w:styleId="8">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9">
    <w:name w:val="List"/>
    <w:basedOn w:val="1"/>
    <w:qFormat/>
    <w:uiPriority w:val="0"/>
    <w:pPr>
      <w:ind w:left="200" w:hanging="200" w:hangingChars="200"/>
    </w:pPr>
  </w:style>
  <w:style w:type="paragraph" w:styleId="10">
    <w:name w:val="footnote text"/>
    <w:basedOn w:val="1"/>
    <w:next w:val="6"/>
    <w:unhideWhenUsed/>
    <w:qFormat/>
    <w:uiPriority w:val="99"/>
    <w:pPr>
      <w:snapToGrid w:val="0"/>
      <w:jc w:val="left"/>
    </w:pPr>
    <w:rPr>
      <w:rFonts w:ascii="Calibri" w:hAnsi="Calibri" w:eastAsia="仿宋" w:cs="Times New Roman"/>
      <w:sz w:val="18"/>
      <w:szCs w:val="18"/>
    </w:rPr>
  </w:style>
  <w:style w:type="paragraph" w:styleId="11">
    <w:name w:val="Body Text 2"/>
    <w:basedOn w:val="1"/>
    <w:unhideWhenUsed/>
    <w:qFormat/>
    <w:uiPriority w:val="99"/>
    <w:pPr>
      <w:spacing w:after="120" w:line="480" w:lineRule="auto"/>
    </w:pPr>
  </w:style>
  <w:style w:type="paragraph" w:customStyle="1" w:styleId="14">
    <w:name w:val="Default"/>
    <w:basedOn w:val="15"/>
    <w:next w:val="1"/>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5">
    <w:name w:val="1 表头"/>
    <w:basedOn w:val="1"/>
    <w:qFormat/>
    <w:uiPriority w:val="0"/>
    <w:pPr>
      <w:adjustRightInd w:val="0"/>
      <w:snapToGrid w:val="0"/>
      <w:spacing w:line="240" w:lineRule="auto"/>
      <w:ind w:firstLine="0" w:firstLineChars="0"/>
      <w:jc w:val="center"/>
    </w:pPr>
    <w:rPr>
      <w:b/>
      <w:color w:val="000000"/>
      <w:sz w:val="21"/>
      <w:szCs w:val="21"/>
    </w:rPr>
  </w:style>
  <w:style w:type="paragraph" w:customStyle="1" w:styleId="16">
    <w:name w:val="纯文本1"/>
    <w:basedOn w:val="1"/>
    <w:qFormat/>
    <w:uiPriority w:val="0"/>
    <w:pPr>
      <w:adjustRightInd w:val="0"/>
      <w:textAlignment w:val="baseline"/>
    </w:pPr>
    <w:rPr>
      <w:rFonts w:ascii="宋体" w:hAnsi="Courier New"/>
      <w:szCs w:val="20"/>
    </w:rPr>
  </w:style>
  <w:style w:type="paragraph" w:customStyle="1" w:styleId="17">
    <w:name w:val="xl27"/>
    <w:basedOn w:val="1"/>
    <w:qFormat/>
    <w:uiPriority w:val="0"/>
    <w:pPr>
      <w:widowControl/>
      <w:pBdr>
        <w:bottom w:val="single" w:color="auto" w:sz="4" w:space="0"/>
        <w:right w:val="single" w:color="auto" w:sz="4" w:space="0"/>
      </w:pBdr>
      <w:spacing w:before="100" w:beforeAutospacing="1" w:after="100" w:afterAutospacing="1"/>
      <w:jc w:val="center"/>
    </w:pPr>
    <w:rPr>
      <w:rFonts w:eastAsia="Arial Unicode MS"/>
      <w:kern w:val="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89ad443b-3661-4814-bcfb-b5a61b368351</errorID>
      <errorWord>&lt;</errorWord>
      <group>L1_Format</group>
      <groupName>格式问题</groupName>
      <ability>L2_HalfPunc</ability>
      <abilityName>全半角检查</abilityName>
      <candidateList>
        <item>〈</item>
      </candidateList>
      <explain>文本全半角错误。</explain>
      <paraID>662674EC</paraID>
      <start>8</start>
      <end>9</end>
      <status>unmodified</status>
      <modifiedWord/>
      <trackRevisions>false</trackRevisions>
    </reviewItem>
    <reviewItem>
      <errorID>ea8684a6-ceea-4999-80d8-63f9478373c9</errorID>
      <errorWord>&gt;</errorWord>
      <group>L1_Format</group>
      <groupName>格式问题</groupName>
      <ability>L2_HalfPunc</ability>
      <abilityName>全半角检查</abilityName>
      <candidateList>
        <item>〉</item>
      </candidateList>
      <explain>文本全半角错误。</explain>
      <paraID>662674EC</paraID>
      <start>25</start>
      <end>26</end>
      <status>unmodified</status>
      <modifiedWord/>
      <trackRevisions>false</trackRevisions>
    </reviewItem>
    <reviewItem>
      <errorID>110ceed0-1358-4655-8e2e-5e5f3056a28d</errorID>
      <errorWord>团</errorWord>
      <group>L1_Word</group>
      <groupName>字词问题</groupName>
      <ability>L2_Typo</ability>
      <abilityName>字词错误</abilityName>
      <candidateList>
        <item>个</item>
      </candidateList>
      <explain/>
      <paraID> 8C6359C</paraID>
      <start>139</start>
      <end>140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b1a8f0-0dbe-4711-a080-d0f3e3c44e11}">
  <ds:schemaRefs/>
</ds:datastoreItem>
</file>

<file path=docProps/app.xml><?xml version="1.0" encoding="utf-8"?>
<Properties xmlns="http://schemas.openxmlformats.org/officeDocument/2006/extended-properties" xmlns:vt="http://schemas.openxmlformats.org/officeDocument/2006/docPropsVTypes">
  <Template>Normal.dotm</Template>
  <Pages>6</Pages>
  <Words>1923</Words>
  <Characters>2054</Characters>
  <Lines>0</Lines>
  <Paragraphs>0</Paragraphs>
  <TotalTime>148</TotalTime>
  <ScaleCrop>false</ScaleCrop>
  <LinksUpToDate>false</LinksUpToDate>
  <CharactersWithSpaces>2103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2024-08-23T02:46:00Z</dcterms:created>
  <dc:creator>Administrator</dc:creator>
  <cp:lastModifiedBy>Floating dream </cp:lastModifiedBy>
  <cp:lastPrinted>2026-09-03T10:51:41Z</cp:lastPrinted>
  <dcterms:modified xsi:type="dcterms:W3CDTF">2026-09-03T10:57:30Z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751734355ABC4736B9CEEA6C56744F26_13</vt:lpwstr>
  </property>
  <property fmtid="{D5CDD505-2E9C-101B-9397-08002B2CF9AE}" pid="4" name="KSOTemplateDocerSaveRecord">
    <vt:lpwstr>eyJoZGlkIjoiOTM4ZGE5MjAwOTRjNzE3YmI3NzllODlkMzQzMmYzMzgiLCJ1c2VySWQiOiIzNjMzMTU4MzUifQ==</vt:lpwstr>
  </property>
</Properties>
</file>