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A8662">
      <w:pPr>
        <w:keepNext w:val="0"/>
        <w:keepLines w:val="0"/>
        <w:pageBreakBefore w:val="0"/>
        <w:widowControl w:val="0"/>
        <w:tabs>
          <w:tab w:val="left" w:pos="4982"/>
        </w:tabs>
        <w:kinsoku/>
        <w:wordWrap/>
        <w:overflowPunct/>
        <w:topLinePunct w:val="0"/>
        <w:autoSpaceDE/>
        <w:autoSpaceDN/>
        <w:bidi w:val="0"/>
        <w:adjustRightInd/>
        <w:snapToGrid/>
        <w:spacing w:line="800" w:lineRule="exact"/>
        <w:textAlignment w:val="auto"/>
        <w:rPr>
          <w:rFonts w:hint="default" w:ascii="仿宋_GB2312" w:eastAsia="仿宋_GB2312"/>
          <w:snapToGrid w:val="0"/>
          <w:kern w:val="0"/>
          <w:sz w:val="32"/>
          <w:szCs w:val="32"/>
          <w:lang w:val="en-US" w:eastAsia="zh-CN"/>
        </w:rPr>
      </w:pPr>
      <w:r>
        <w:rPr>
          <w:rFonts w:hint="eastAsia" w:ascii="仿宋_GB2312" w:eastAsia="仿宋_GB2312"/>
          <w:snapToGrid w:val="0"/>
          <w:kern w:val="0"/>
          <w:sz w:val="32"/>
          <w:szCs w:val="32"/>
          <w:lang w:val="en-US" w:eastAsia="zh-CN"/>
        </w:rPr>
        <w:tab/>
      </w:r>
    </w:p>
    <w:p w14:paraId="72AD179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napToGrid w:val="0"/>
          <w:kern w:val="0"/>
          <w:sz w:val="32"/>
          <w:szCs w:val="32"/>
        </w:rPr>
      </w:pPr>
      <w:r>
        <w:rPr>
          <w:rFonts w:hint="eastAsia" w:ascii="仿宋_GB2312" w:eastAsia="仿宋_GB2312"/>
          <w:snapToGrid w:val="0"/>
          <w:kern w:val="0"/>
          <w:sz w:val="32"/>
          <w:szCs w:val="32"/>
        </w:rPr>
        <w:t xml:space="preserve">                              </w:t>
      </w:r>
      <w:r>
        <w:rPr>
          <w:rFonts w:hint="default" w:ascii="Times New Roman" w:hAnsi="Times New Roman" w:eastAsia="仿宋_GB2312" w:cs="Times New Roman"/>
          <w:snapToGrid w:val="0"/>
          <w:kern w:val="0"/>
          <w:sz w:val="32"/>
          <w:szCs w:val="32"/>
        </w:rPr>
        <w:t xml:space="preserve">  师市环审〔202</w:t>
      </w:r>
      <w:r>
        <w:rPr>
          <w:rFonts w:hint="eastAsia" w:eastAsia="仿宋_GB2312" w:cs="Times New Roman"/>
          <w:snapToGrid w:val="0"/>
          <w:kern w:val="0"/>
          <w:sz w:val="32"/>
          <w:szCs w:val="32"/>
          <w:lang w:val="en-US" w:eastAsia="zh-CN"/>
        </w:rPr>
        <w:t>6</w:t>
      </w:r>
      <w:r>
        <w:rPr>
          <w:rFonts w:hint="default" w:ascii="Times New Roman" w:hAnsi="Times New Roman" w:eastAsia="仿宋_GB2312" w:cs="Times New Roman"/>
          <w:snapToGrid w:val="0"/>
          <w:kern w:val="0"/>
          <w:sz w:val="32"/>
          <w:szCs w:val="32"/>
        </w:rPr>
        <w:t>〕</w:t>
      </w:r>
      <w:r>
        <w:rPr>
          <w:rFonts w:hint="eastAsia" w:eastAsia="仿宋_GB2312" w:cs="Times New Roman"/>
          <w:snapToGrid w:val="0"/>
          <w:kern w:val="0"/>
          <w:sz w:val="32"/>
          <w:szCs w:val="32"/>
          <w:lang w:val="en-US" w:eastAsia="zh-CN"/>
        </w:rPr>
        <w:t>34</w:t>
      </w:r>
      <w:r>
        <w:rPr>
          <w:rFonts w:hint="default" w:ascii="Times New Roman" w:hAnsi="Times New Roman" w:eastAsia="仿宋_GB2312" w:cs="Times New Roman"/>
          <w:snapToGrid w:val="0"/>
          <w:kern w:val="0"/>
          <w:sz w:val="32"/>
          <w:szCs w:val="32"/>
        </w:rPr>
        <w:t>号</w:t>
      </w:r>
    </w:p>
    <w:p w14:paraId="3A98C3E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宋体" w:eastAsia="方正小标宋简体"/>
          <w:bCs/>
          <w:snapToGrid w:val="0"/>
          <w:kern w:val="0"/>
          <w:sz w:val="44"/>
          <w:szCs w:val="44"/>
        </w:rPr>
      </w:pPr>
    </w:p>
    <w:p w14:paraId="3780CAF5">
      <w:pPr>
        <w:spacing w:line="600" w:lineRule="exact"/>
        <w:jc w:val="center"/>
        <w:rPr>
          <w:rFonts w:ascii="方正小标宋简体" w:hAnsi="宋体" w:eastAsia="方正小标宋简体"/>
          <w:bCs/>
          <w:snapToGrid w:val="0"/>
          <w:kern w:val="0"/>
          <w:sz w:val="44"/>
          <w:szCs w:val="44"/>
        </w:rPr>
      </w:pPr>
      <w:r>
        <w:rPr>
          <w:rFonts w:hint="eastAsia" w:ascii="方正小标宋简体" w:hAnsi="方正小标宋简体" w:eastAsia="方正小标宋简体" w:cs="方正小标宋简体"/>
          <w:bCs/>
          <w:snapToGrid w:val="0"/>
          <w:kern w:val="0"/>
          <w:sz w:val="44"/>
          <w:szCs w:val="44"/>
        </w:rPr>
        <w:t>关于</w:t>
      </w:r>
      <w:r>
        <w:rPr>
          <w:rFonts w:hint="eastAsia" w:ascii="Times New Roman" w:hAnsi="Times New Roman" w:eastAsia="方正小标宋简体" w:cs="Times New Roman"/>
          <w:b w:val="0"/>
          <w:bCs/>
          <w:color w:val="auto"/>
          <w:kern w:val="2"/>
          <w:sz w:val="44"/>
          <w:szCs w:val="44"/>
          <w:lang w:val="zh-CN" w:eastAsia="zh-CN" w:bidi="ar"/>
        </w:rPr>
        <w:t>新疆晶诺新能源产业发展有限公司</w:t>
      </w:r>
      <w:r>
        <w:rPr>
          <w:rFonts w:hint="eastAsia" w:ascii="方正小标宋简体" w:hAnsi="方正小标宋简体" w:eastAsia="方正小标宋简体" w:cs="方正小标宋简体"/>
          <w:b w:val="0"/>
          <w:bCs/>
          <w:color w:val="auto"/>
          <w:kern w:val="2"/>
          <w:sz w:val="44"/>
          <w:szCs w:val="44"/>
          <w:lang w:val="zh-CN" w:eastAsia="zh-CN" w:bidi="ar"/>
        </w:rPr>
        <w:t>110kV</w:t>
      </w:r>
      <w:r>
        <w:rPr>
          <w:rFonts w:hint="eastAsia" w:ascii="Times New Roman" w:hAnsi="Times New Roman" w:eastAsia="方正小标宋简体" w:cs="Times New Roman"/>
          <w:b w:val="0"/>
          <w:bCs/>
          <w:color w:val="auto"/>
          <w:kern w:val="2"/>
          <w:sz w:val="44"/>
          <w:szCs w:val="44"/>
          <w:lang w:val="zh-CN" w:eastAsia="zh-CN" w:bidi="ar"/>
        </w:rPr>
        <w:t>变电站建设项目</w:t>
      </w:r>
      <w:r>
        <w:rPr>
          <w:rFonts w:hint="eastAsia" w:ascii="方正小标宋简体" w:hAnsi="方正小标宋简体" w:eastAsia="方正小标宋简体" w:cs="方正小标宋简体"/>
          <w:bCs/>
          <w:snapToGrid w:val="0"/>
          <w:kern w:val="0"/>
          <w:sz w:val="44"/>
          <w:szCs w:val="44"/>
          <w:lang w:val="zh-CN"/>
        </w:rPr>
        <w:t>环境影响报告</w:t>
      </w:r>
      <w:r>
        <w:rPr>
          <w:rFonts w:hint="eastAsia" w:ascii="方正小标宋简体" w:hAnsi="方正小标宋简体" w:eastAsia="方正小标宋简体" w:cs="方正小标宋简体"/>
          <w:bCs/>
          <w:snapToGrid w:val="0"/>
          <w:kern w:val="0"/>
          <w:sz w:val="44"/>
          <w:szCs w:val="44"/>
        </w:rPr>
        <w:t>表</w:t>
      </w:r>
      <w:r>
        <w:rPr>
          <w:rFonts w:hint="eastAsia" w:ascii="方正小标宋简体" w:hAnsi="方正小标宋简体" w:eastAsia="方正小标宋简体" w:cs="方正小标宋简体"/>
          <w:bCs/>
          <w:snapToGrid w:val="0"/>
          <w:kern w:val="0"/>
          <w:sz w:val="44"/>
          <w:szCs w:val="44"/>
          <w:lang w:val="en-US" w:eastAsia="zh-CN"/>
        </w:rPr>
        <w:t>的</w:t>
      </w:r>
      <w:r>
        <w:rPr>
          <w:rFonts w:hint="eastAsia" w:ascii="方正小标宋简体" w:hAnsi="方正小标宋简体" w:eastAsia="方正小标宋简体" w:cs="方正小标宋简体"/>
          <w:bCs/>
          <w:snapToGrid w:val="0"/>
          <w:kern w:val="0"/>
          <w:sz w:val="44"/>
          <w:szCs w:val="44"/>
        </w:rPr>
        <w:t>批复</w:t>
      </w:r>
    </w:p>
    <w:p w14:paraId="42D8EB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Cs/>
          <w:snapToGrid w:val="0"/>
          <w:kern w:val="0"/>
          <w:sz w:val="32"/>
          <w:szCs w:val="32"/>
        </w:rPr>
      </w:pPr>
    </w:p>
    <w:p w14:paraId="221A86A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zh-CN" w:eastAsia="zh-CN"/>
        </w:rPr>
        <w:t>新疆晶诺新能源产业发展有限公司</w:t>
      </w:r>
      <w:r>
        <w:rPr>
          <w:rFonts w:hint="default" w:ascii="Times New Roman" w:hAnsi="Times New Roman" w:eastAsia="仿宋_GB2312" w:cs="Times New Roman"/>
          <w:sz w:val="32"/>
          <w:szCs w:val="32"/>
        </w:rPr>
        <w:t>：</w:t>
      </w:r>
    </w:p>
    <w:p w14:paraId="45C29A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你公司《关于审批&lt;</w:t>
      </w:r>
      <w:r>
        <w:rPr>
          <w:rFonts w:hint="default" w:ascii="Times New Roman" w:hAnsi="Times New Roman" w:eastAsia="仿宋_GB2312" w:cs="Times New Roman"/>
          <w:sz w:val="32"/>
          <w:szCs w:val="32"/>
          <w:lang w:val="zh-CN" w:eastAsia="zh-CN"/>
        </w:rPr>
        <w:t>新疆晶诺新能源产业发展有限公司110kV变电站建设项目</w:t>
      </w:r>
      <w:r>
        <w:rPr>
          <w:rFonts w:hint="default" w:ascii="Times New Roman" w:hAnsi="Times New Roman" w:eastAsia="仿宋_GB2312" w:cs="Times New Roman"/>
          <w:sz w:val="32"/>
          <w:szCs w:val="32"/>
          <w:lang w:val="zh-CN"/>
        </w:rPr>
        <w:t>环境影响报告</w:t>
      </w:r>
      <w:r>
        <w:rPr>
          <w:rFonts w:hint="default" w:ascii="Times New Roman" w:hAnsi="Times New Roman" w:eastAsia="仿宋_GB2312" w:cs="Times New Roman"/>
          <w:sz w:val="32"/>
          <w:szCs w:val="32"/>
        </w:rPr>
        <w:t>表&gt;的请示》收悉。经研究，批复如下：</w:t>
      </w:r>
    </w:p>
    <w:p w14:paraId="1BEBE1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sz w:val="32"/>
          <w:szCs w:val="32"/>
          <w:lang w:val="en-US" w:eastAsia="zh-CN"/>
        </w:rPr>
      </w:pPr>
      <w:r>
        <w:rPr>
          <w:rFonts w:hint="default" w:ascii="Times New Roman" w:hAnsi="Times New Roman" w:eastAsia="仿宋_GB2312" w:cs="Times New Roman"/>
          <w:sz w:val="32"/>
          <w:szCs w:val="32"/>
        </w:rPr>
        <w:t>一、该项目</w:t>
      </w:r>
      <w:r>
        <w:rPr>
          <w:rFonts w:hint="default" w:ascii="Times New Roman" w:hAnsi="Times New Roman" w:eastAsia="仿宋_GB2312" w:cs="Times New Roman"/>
          <w:sz w:val="32"/>
          <w:szCs w:val="32"/>
          <w:lang w:val="en-US" w:eastAsia="zh-CN"/>
        </w:rPr>
        <w:t>位于第七师胡杨河经济技术开发区南园区</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lang w:val="en-US" w:eastAsia="zh-CN"/>
        </w:rPr>
        <w:t>项目区中心地理位置坐标为</w:t>
      </w:r>
      <w:bookmarkStart w:id="0" w:name="_Hlk180516248"/>
      <w:r>
        <w:rPr>
          <w:rFonts w:hint="default" w:ascii="Times New Roman" w:hAnsi="Times New Roman" w:eastAsia="仿宋_GB2312" w:cs="Times New Roman"/>
          <w:sz w:val="32"/>
          <w:szCs w:val="32"/>
          <w:lang w:val="en-US" w:eastAsia="zh-CN"/>
        </w:rPr>
        <w:t>东经84°53′9.451″，北纬44°49′44.051″。</w:t>
      </w:r>
      <w:bookmarkEnd w:id="0"/>
      <w:r>
        <w:rPr>
          <w:rFonts w:hint="default" w:ascii="Times New Roman" w:hAnsi="Times New Roman" w:eastAsia="仿宋_GB2312" w:cs="Times New Roman"/>
          <w:sz w:val="32"/>
          <w:szCs w:val="32"/>
          <w:lang w:val="zh-CN"/>
        </w:rPr>
        <w:t>项目</w:t>
      </w:r>
      <w:bookmarkStart w:id="1" w:name="OLE_LINK24"/>
      <w:r>
        <w:rPr>
          <w:rFonts w:hint="default" w:ascii="Times New Roman" w:hAnsi="Times New Roman" w:eastAsia="仿宋_GB2312" w:cs="Times New Roman"/>
          <w:sz w:val="32"/>
          <w:szCs w:val="32"/>
          <w:lang w:val="zh-CN"/>
        </w:rPr>
        <w:t>新建</w:t>
      </w:r>
      <w:bookmarkEnd w:id="1"/>
      <w:r>
        <w:rPr>
          <w:rFonts w:hint="default" w:ascii="Times New Roman" w:hAnsi="Times New Roman" w:eastAsia="仿宋_GB2312" w:cs="Times New Roman"/>
          <w:sz w:val="32"/>
          <w:szCs w:val="32"/>
          <w:lang w:val="zh-CN" w:eastAsia="zh-CN"/>
        </w:rPr>
        <w:t>一座110kV变电站，建设4台容量为2×50+2×40MVA</w:t>
      </w:r>
      <w:r>
        <w:rPr>
          <w:rFonts w:hint="eastAsia"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lang w:val="zh-CN" w:eastAsia="zh-CN"/>
        </w:rPr>
        <w:t>主变压器；110kV侧电气主接线采用单母线分段接线，出线4回；10kV侧电气主接线采用单母线分段接线，出线27回</w:t>
      </w:r>
      <w:r>
        <w:rPr>
          <w:rFonts w:hint="default" w:ascii="Times New Roman" w:hAnsi="Times New Roman" w:eastAsia="仿宋_GB2312" w:cs="Times New Roman"/>
          <w:sz w:val="32"/>
          <w:szCs w:val="32"/>
          <w:lang w:val="zh-CN"/>
        </w:rPr>
        <w:t>。项目总投资</w:t>
      </w:r>
      <w:r>
        <w:rPr>
          <w:rFonts w:hint="default" w:ascii="Times New Roman" w:hAnsi="Times New Roman" w:eastAsia="仿宋_GB2312" w:cs="Times New Roman"/>
          <w:sz w:val="32"/>
          <w:szCs w:val="32"/>
          <w:lang w:val="zh-CN" w:eastAsia="zh-CN"/>
        </w:rPr>
        <w:t>3653</w:t>
      </w:r>
      <w:r>
        <w:rPr>
          <w:rFonts w:hint="default" w:ascii="Times New Roman" w:hAnsi="Times New Roman" w:eastAsia="仿宋_GB2312" w:cs="Times New Roman"/>
          <w:sz w:val="32"/>
          <w:szCs w:val="32"/>
          <w:lang w:val="zh-CN"/>
        </w:rPr>
        <w:t>万元，其中环保投资约</w:t>
      </w:r>
      <w:r>
        <w:rPr>
          <w:rFonts w:hint="default" w:ascii="Times New Roman" w:hAnsi="Times New Roman" w:eastAsia="仿宋_GB2312" w:cs="Times New Roman"/>
          <w:sz w:val="32"/>
          <w:szCs w:val="32"/>
          <w:lang w:val="zh-CN" w:eastAsia="zh-CN"/>
        </w:rPr>
        <w:t>62</w:t>
      </w:r>
      <w:r>
        <w:rPr>
          <w:rFonts w:hint="default" w:ascii="Times New Roman" w:hAnsi="Times New Roman" w:eastAsia="仿宋_GB2312" w:cs="Times New Roman"/>
          <w:sz w:val="32"/>
          <w:szCs w:val="32"/>
          <w:lang w:val="zh-CN"/>
        </w:rPr>
        <w:t>万元，占总投资的</w:t>
      </w:r>
      <w:r>
        <w:rPr>
          <w:rFonts w:hint="default" w:ascii="Times New Roman" w:hAnsi="Times New Roman" w:eastAsia="仿宋_GB2312" w:cs="Times New Roman"/>
          <w:sz w:val="32"/>
          <w:szCs w:val="32"/>
          <w:lang w:val="zh-CN" w:eastAsia="zh-CN"/>
        </w:rPr>
        <w:t>1.74</w:t>
      </w:r>
      <w:r>
        <w:rPr>
          <w:rFonts w:hint="default" w:ascii="Times New Roman" w:hAnsi="Times New Roman" w:eastAsia="仿宋_GB2312" w:cs="Times New Roman"/>
          <w:sz w:val="32"/>
          <w:szCs w:val="32"/>
          <w:lang w:val="zh-CN"/>
        </w:rPr>
        <w:t>%。</w:t>
      </w:r>
    </w:p>
    <w:p w14:paraId="7E1141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bCs/>
          <w:sz w:val="32"/>
          <w:szCs w:val="32"/>
        </w:rPr>
        <w:t>项目实施后会对环境造成一定不利影响，必须严格落实各项污染防治和生态环境保护措施，采取严格的环境风险防范措施、环境管理制度、环境监控和应急措施。综合考虑，我局原则同意该项目环境影响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中所列建设项目的性质、规模、地点、工艺和环境保护对策措施。</w:t>
      </w:r>
    </w:p>
    <w:p w14:paraId="6AF414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三、</w:t>
      </w:r>
      <w:r>
        <w:rPr>
          <w:rFonts w:hint="default" w:ascii="Times New Roman" w:hAnsi="Times New Roman" w:eastAsia="仿宋_GB2312" w:cs="Times New Roman"/>
          <w:bCs/>
          <w:sz w:val="32"/>
          <w:szCs w:val="32"/>
        </w:rPr>
        <w:t>项目建设和运营中应重点做好的工作：</w:t>
      </w:r>
    </w:p>
    <w:p w14:paraId="411CA4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sz w:val="32"/>
          <w:szCs w:val="32"/>
        </w:rPr>
        <w:t>（一）严格落实生态保护措施。强化施工人员环保宣教与行为管控，严禁超范围作业、随意弃渣。优化施工场地及临时工程布局，固定机械、车辆行驶路线，缩减地表扰动范围、保护原有砾幕与地貌。落实完善水土保持与临时防护措施，建材、临时堆土底部铺垫彩条布、顶部及四周全覆盖防护网，表土堆存采取密目网苫盖、编织袋拦挡，通行路段铺设砾石，施工后及时平整、夯实扰动场地。施工结束后对扰动区域实施砾石压盖，完工后做到工完场清、恢复原状地貌。</w:t>
      </w:r>
    </w:p>
    <w:p w14:paraId="3AE531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eastAsia" w:eastAsia="仿宋_GB2312" w:cs="Times New Roman"/>
          <w:sz w:val="32"/>
          <w:szCs w:val="32"/>
          <w:lang w:val="en-US" w:eastAsia="zh-CN"/>
        </w:rPr>
        <w:t>二</w:t>
      </w:r>
      <w:r>
        <w:rPr>
          <w:rFonts w:hint="default" w:ascii="Times New Roman" w:hAnsi="Times New Roman" w:eastAsia="仿宋_GB2312" w:cs="Times New Roman"/>
          <w:sz w:val="32"/>
          <w:szCs w:val="32"/>
          <w:lang w:eastAsia="zh-CN"/>
        </w:rPr>
        <w:t>）严格落实电磁环境保护措施。变电站采用户外形式建设，变电站内电气设备采取集中布置方式，选用具有低辐射、抗干扰能力的设备，设置防雷接地保护装置，选用带屏蔽层的电缆、屏蔽层接地。</w:t>
      </w:r>
    </w:p>
    <w:p w14:paraId="36A8CA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三</w:t>
      </w:r>
      <w:r>
        <w:rPr>
          <w:rFonts w:hint="default" w:ascii="Times New Roman" w:hAnsi="Times New Roman" w:eastAsia="仿宋_GB2312" w:cs="Times New Roman"/>
          <w:sz w:val="32"/>
          <w:szCs w:val="32"/>
        </w:rPr>
        <w:t>）严格落实</w:t>
      </w:r>
      <w:r>
        <w:rPr>
          <w:rFonts w:hint="eastAsia" w:eastAsia="仿宋_GB2312" w:cs="Times New Roman"/>
          <w:sz w:val="32"/>
          <w:szCs w:val="32"/>
          <w:lang w:val="en-US" w:eastAsia="zh-CN"/>
        </w:rPr>
        <w:t>水</w:t>
      </w:r>
      <w:r>
        <w:rPr>
          <w:rFonts w:hint="default" w:ascii="Times New Roman" w:hAnsi="Times New Roman" w:eastAsia="仿宋_GB2312" w:cs="Times New Roman"/>
          <w:sz w:val="32"/>
          <w:szCs w:val="32"/>
        </w:rPr>
        <w:t>污染防治措施。</w:t>
      </w:r>
      <w:r>
        <w:rPr>
          <w:rFonts w:hint="default" w:ascii="Times New Roman" w:hAnsi="Times New Roman" w:eastAsia="仿宋_GB2312" w:cs="Times New Roman"/>
          <w:sz w:val="32"/>
          <w:szCs w:val="32"/>
          <w:lang w:val="en-US" w:eastAsia="zh-CN"/>
        </w:rPr>
        <w:t>生活污水经化粪池处理后排入园区污水处理厂。</w:t>
      </w:r>
    </w:p>
    <w:p w14:paraId="144CE8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四</w:t>
      </w:r>
      <w:r>
        <w:rPr>
          <w:rFonts w:hint="default" w:ascii="Times New Roman" w:hAnsi="Times New Roman" w:eastAsia="仿宋_GB2312" w:cs="Times New Roman"/>
          <w:sz w:val="32"/>
          <w:szCs w:val="32"/>
        </w:rPr>
        <w:t>）严格落实噪声污染防治措施。选择低噪声设备，合理布局站内电气设备及配电装置</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加强站内电气设备的日常维护</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项目</w:t>
      </w:r>
      <w:r>
        <w:rPr>
          <w:rFonts w:hint="default" w:ascii="Times New Roman" w:hAnsi="Times New Roman" w:eastAsia="仿宋_GB2312" w:cs="Times New Roman"/>
          <w:sz w:val="32"/>
          <w:szCs w:val="32"/>
        </w:rPr>
        <w:t>运行时声环境</w:t>
      </w:r>
      <w:r>
        <w:rPr>
          <w:rFonts w:hint="eastAsia" w:eastAsia="仿宋_GB2312" w:cs="Times New Roman"/>
          <w:sz w:val="32"/>
          <w:szCs w:val="32"/>
          <w:lang w:eastAsia="zh-CN"/>
        </w:rPr>
        <w:t>执行</w:t>
      </w:r>
      <w:r>
        <w:rPr>
          <w:rFonts w:hint="default" w:ascii="Times New Roman" w:hAnsi="Times New Roman" w:eastAsia="仿宋_GB2312" w:cs="Times New Roman"/>
          <w:sz w:val="32"/>
          <w:szCs w:val="32"/>
        </w:rPr>
        <w:t>《声环境质量标准》（GB3096-2008）中的</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类标准要求。</w:t>
      </w:r>
    </w:p>
    <w:p w14:paraId="2A7E72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五</w:t>
      </w:r>
      <w:r>
        <w:rPr>
          <w:rFonts w:hint="default" w:ascii="Times New Roman" w:hAnsi="Times New Roman" w:eastAsia="仿宋_GB2312" w:cs="Times New Roman"/>
          <w:sz w:val="32"/>
          <w:szCs w:val="32"/>
        </w:rPr>
        <w:t>）严格落实固体废物分类处置和综合利用措施。</w:t>
      </w:r>
      <w:r>
        <w:rPr>
          <w:rFonts w:hint="default" w:ascii="Times New Roman" w:hAnsi="Times New Roman" w:eastAsia="仿宋_GB2312" w:cs="Times New Roman"/>
          <w:sz w:val="32"/>
          <w:szCs w:val="32"/>
          <w:lang w:eastAsia="zh-CN"/>
        </w:rPr>
        <w:t>废铅蓄酸电池</w:t>
      </w:r>
      <w:r>
        <w:rPr>
          <w:rFonts w:hint="eastAsia" w:eastAsia="仿宋_GB2312" w:cs="Times New Roman"/>
          <w:sz w:val="32"/>
          <w:szCs w:val="32"/>
          <w:lang w:val="en-US" w:eastAsia="zh-CN"/>
        </w:rPr>
        <w:t>属于危险废物，委托有资质的单位更换后回收。</w:t>
      </w:r>
      <w:r>
        <w:rPr>
          <w:rFonts w:hint="eastAsia" w:ascii="Times New Roman" w:hAnsi="Times New Roman" w:eastAsia="仿宋_GB2312" w:cs="Times New Roman"/>
          <w:sz w:val="32"/>
          <w:szCs w:val="32"/>
          <w:lang w:val="en-US" w:eastAsia="zh-CN"/>
        </w:rPr>
        <w:t>一般固体废物中运</w:t>
      </w:r>
      <w:r>
        <w:rPr>
          <w:rFonts w:hint="eastAsia" w:eastAsia="仿宋_GB2312" w:cs="Times New Roman"/>
          <w:sz w:val="32"/>
          <w:szCs w:val="32"/>
          <w:lang w:val="en-US" w:eastAsia="zh-CN"/>
        </w:rPr>
        <w:t>营</w:t>
      </w:r>
      <w:r>
        <w:rPr>
          <w:rFonts w:hint="eastAsia" w:ascii="Times New Roman" w:hAnsi="Times New Roman" w:eastAsia="仿宋_GB2312" w:cs="Times New Roman"/>
          <w:sz w:val="32"/>
          <w:szCs w:val="32"/>
          <w:lang w:val="en-US" w:eastAsia="zh-CN"/>
        </w:rPr>
        <w:t>期人员</w:t>
      </w:r>
      <w:r>
        <w:rPr>
          <w:rFonts w:hint="eastAsia" w:eastAsia="仿宋_GB2312" w:cs="Times New Roman"/>
          <w:sz w:val="32"/>
          <w:szCs w:val="32"/>
          <w:lang w:val="en-US" w:eastAsia="zh-CN"/>
        </w:rPr>
        <w:t>的</w:t>
      </w:r>
      <w:r>
        <w:rPr>
          <w:rFonts w:hint="eastAsia" w:ascii="Times New Roman" w:hAnsi="Times New Roman" w:eastAsia="仿宋_GB2312" w:cs="Times New Roman"/>
          <w:sz w:val="32"/>
          <w:szCs w:val="32"/>
          <w:lang w:val="en-US" w:eastAsia="zh-CN"/>
        </w:rPr>
        <w:t>生活垃圾临时存放</w:t>
      </w:r>
      <w:r>
        <w:rPr>
          <w:rFonts w:hint="eastAsia" w:eastAsia="仿宋_GB2312" w:cs="Times New Roman"/>
          <w:sz w:val="32"/>
          <w:szCs w:val="32"/>
          <w:lang w:val="en-US" w:eastAsia="zh-CN"/>
        </w:rPr>
        <w:t>于</w:t>
      </w:r>
      <w:r>
        <w:rPr>
          <w:rFonts w:hint="eastAsia" w:ascii="Times New Roman" w:hAnsi="Times New Roman" w:eastAsia="仿宋_GB2312" w:cs="Times New Roman"/>
          <w:sz w:val="32"/>
          <w:szCs w:val="32"/>
          <w:lang w:val="en-US" w:eastAsia="zh-CN"/>
        </w:rPr>
        <w:t>垃圾桶，定期运至当地生活垃圾填埋场。危险废物收集、运输、储存须严格按照《危险废物贮存污染控制标准》（GB18597-2023）、《危险废物收集、贮存、运输技术规范》（HJ2025-2012）和《危险废物转移管理办法》等相关要求。</w:t>
      </w:r>
    </w:p>
    <w:p w14:paraId="7AA1C5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六</w:t>
      </w:r>
      <w:r>
        <w:rPr>
          <w:rFonts w:hint="default" w:ascii="Times New Roman" w:hAnsi="Times New Roman" w:eastAsia="仿宋_GB2312" w:cs="Times New Roman"/>
          <w:sz w:val="32"/>
          <w:szCs w:val="32"/>
        </w:rPr>
        <w:t>）强化各项环境风险防范措施，有效防范环境风险。定期开展环境风险应急培训和演练，落实各项应急环境管理措施以及各项风险防范措施，确保风险事故得到有效控制。</w:t>
      </w:r>
    </w:p>
    <w:p w14:paraId="09D236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lang w:eastAsia="zh-CN"/>
        </w:rPr>
        <w:t>（</w:t>
      </w:r>
      <w:r>
        <w:rPr>
          <w:rFonts w:hint="eastAsia" w:eastAsia="仿宋_GB2312" w:cs="Times New Roman"/>
          <w:bCs/>
          <w:sz w:val="32"/>
          <w:szCs w:val="32"/>
          <w:lang w:val="en-US" w:eastAsia="zh-CN"/>
        </w:rPr>
        <w:t>七</w:t>
      </w:r>
      <w:r>
        <w:rPr>
          <w:rFonts w:hint="default" w:ascii="Times New Roman" w:hAnsi="Times New Roman" w:eastAsia="仿宋_GB2312" w:cs="Times New Roman"/>
          <w:bCs/>
          <w:sz w:val="32"/>
          <w:szCs w:val="32"/>
          <w:lang w:eastAsia="zh-CN"/>
        </w:rPr>
        <w:t>）加强施工期环境保护，防止施工废水、扬尘、噪声污染、水土流失和生态破坏。</w:t>
      </w:r>
    </w:p>
    <w:p w14:paraId="592148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eastAsia="zh-CN"/>
        </w:rPr>
        <w:t>（</w:t>
      </w:r>
      <w:r>
        <w:rPr>
          <w:rFonts w:hint="eastAsia" w:eastAsia="仿宋_GB2312" w:cs="Times New Roman"/>
          <w:bCs/>
          <w:sz w:val="32"/>
          <w:szCs w:val="32"/>
          <w:lang w:val="en-US" w:eastAsia="zh-CN"/>
        </w:rPr>
        <w:t>八</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在工程运营过程中，应建立畅通的公众参与平台，加强宣传与沟通工作，及时解决公众提出的合理环境诉求。定期发布企业环境信息，并主动接受社会监督。</w:t>
      </w:r>
    </w:p>
    <w:p w14:paraId="2791F1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四、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031299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五、环境影响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经批准后，该项目的性质、规模、地点、生产工艺和环境保护措施发生重大变动，且可能导致环境影响显著变化</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特别是不利环境影响加重</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的，应当重新报批该项目环境影响评价报告。</w:t>
      </w:r>
    </w:p>
    <w:p w14:paraId="1E5ED3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val="en-US" w:eastAsia="zh-CN"/>
        </w:rPr>
        <w:t>六</w:t>
      </w: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胡杨河</w:t>
      </w:r>
      <w:r>
        <w:rPr>
          <w:rFonts w:hint="default" w:ascii="Times New Roman" w:hAnsi="Times New Roman" w:eastAsia="仿宋_GB2312" w:cs="Times New Roman"/>
          <w:bCs/>
          <w:sz w:val="32"/>
          <w:szCs w:val="32"/>
        </w:rPr>
        <w:t>经济技术开发区应急管理和环境保护局要切实承担事中事后监管主要责任，履行属地监管职责，按照《关于进一步完善建设项目环境保护“三同时”及竣工环境保护自主验收监管工作机制的意见》（环执法〔2021〕70号）要求，加强对该项目环境保护“三同时”及自主验收监管。</w:t>
      </w:r>
    </w:p>
    <w:p w14:paraId="280AE4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val="en-US" w:eastAsia="zh-CN"/>
        </w:rPr>
        <w:t>七</w:t>
      </w:r>
      <w:r>
        <w:rPr>
          <w:rFonts w:hint="default" w:ascii="Times New Roman" w:hAnsi="Times New Roman" w:eastAsia="仿宋_GB2312" w:cs="Times New Roman"/>
          <w:bCs/>
          <w:sz w:val="32"/>
          <w:szCs w:val="32"/>
        </w:rPr>
        <w:t>、我局委托师市生态环境保护综合行政执法支队负责该项目的事中事后监管，生态环境监测站按职责开展相关监管工作，我局负责对“三同时”及自主验收监管工作的监督指导。你单位应在接到本批复后20个工作日内，将批准后的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送师市生态环境保护综合行政执法支队、生态环境监测站、</w:t>
      </w:r>
      <w:r>
        <w:rPr>
          <w:rFonts w:hint="eastAsia" w:eastAsia="仿宋_GB2312" w:cs="Times New Roman"/>
          <w:bCs/>
          <w:sz w:val="32"/>
          <w:szCs w:val="32"/>
          <w:lang w:val="en-US" w:eastAsia="zh-CN"/>
        </w:rPr>
        <w:t>胡杨河</w:t>
      </w:r>
      <w:r>
        <w:rPr>
          <w:rFonts w:hint="default" w:ascii="Times New Roman" w:hAnsi="Times New Roman" w:eastAsia="仿宋_GB2312" w:cs="Times New Roman"/>
          <w:bCs/>
          <w:sz w:val="32"/>
          <w:szCs w:val="32"/>
        </w:rPr>
        <w:t>经济技术开发区应急管理和环境保护局，并按规定接受各级生态环境主管部门的监督检查。</w:t>
      </w:r>
    </w:p>
    <w:p w14:paraId="7AC05405">
      <w:pPr>
        <w:keepNext w:val="0"/>
        <w:keepLines w:val="0"/>
        <w:pageBreakBefore w:val="0"/>
        <w:widowControl w:val="0"/>
        <w:kinsoku/>
        <w:wordWrap/>
        <w:overflowPunct/>
        <w:topLinePunct w:val="0"/>
        <w:autoSpaceDE/>
        <w:autoSpaceDN/>
        <w:bidi w:val="0"/>
        <w:adjustRightInd/>
        <w:snapToGrid/>
        <w:spacing w:line="740" w:lineRule="exact"/>
        <w:ind w:firstLine="4480" w:firstLineChars="1400"/>
        <w:textAlignment w:val="auto"/>
        <w:rPr>
          <w:rFonts w:hint="default" w:ascii="Times New Roman" w:hAnsi="Times New Roman" w:eastAsia="仿宋_GB2312" w:cs="Times New Roman"/>
          <w:bCs/>
          <w:sz w:val="32"/>
          <w:szCs w:val="32"/>
        </w:rPr>
      </w:pPr>
    </w:p>
    <w:p w14:paraId="03B99F5F">
      <w:pPr>
        <w:keepNext w:val="0"/>
        <w:keepLines w:val="0"/>
        <w:pageBreakBefore w:val="0"/>
        <w:widowControl w:val="0"/>
        <w:kinsoku/>
        <w:wordWrap/>
        <w:overflowPunct/>
        <w:topLinePunct w:val="0"/>
        <w:autoSpaceDE/>
        <w:autoSpaceDN/>
        <w:bidi w:val="0"/>
        <w:adjustRightInd/>
        <w:snapToGrid/>
        <w:spacing w:line="740" w:lineRule="exact"/>
        <w:ind w:firstLine="4480" w:firstLineChars="1400"/>
        <w:textAlignment w:val="auto"/>
        <w:rPr>
          <w:rFonts w:hint="default" w:ascii="Times New Roman" w:hAnsi="Times New Roman" w:eastAsia="仿宋_GB2312" w:cs="Times New Roman"/>
          <w:bCs/>
          <w:sz w:val="32"/>
          <w:szCs w:val="32"/>
        </w:rPr>
      </w:pPr>
    </w:p>
    <w:p w14:paraId="35EA146C">
      <w:pPr>
        <w:spacing w:line="440" w:lineRule="exact"/>
        <w:ind w:firstLine="4800" w:firstLineChars="15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第七师胡杨河市生态环境局</w:t>
      </w:r>
    </w:p>
    <w:p w14:paraId="11AF33CE">
      <w:pPr>
        <w:spacing w:line="440" w:lineRule="exact"/>
        <w:ind w:firstLine="5440" w:firstLineChars="1700"/>
        <w:rPr>
          <w:rFonts w:hint="eastAsia"/>
        </w:rPr>
      </w:pPr>
      <w:r>
        <w:rPr>
          <w:rFonts w:hint="default" w:ascii="Times New Roman" w:hAnsi="Times New Roman" w:eastAsia="仿宋_GB2312" w:cs="Times New Roman"/>
          <w:bCs/>
          <w:sz w:val="32"/>
          <w:szCs w:val="32"/>
        </w:rPr>
        <w:t>202</w:t>
      </w:r>
      <w:r>
        <w:rPr>
          <w:rFonts w:hint="eastAsia" w:eastAsia="仿宋_GB2312" w:cs="Times New Roman"/>
          <w:bCs/>
          <w:sz w:val="32"/>
          <w:szCs w:val="32"/>
          <w:lang w:val="en-US" w:eastAsia="zh-CN"/>
        </w:rPr>
        <w:t>6</w:t>
      </w:r>
      <w:r>
        <w:rPr>
          <w:rFonts w:hint="default" w:ascii="Times New Roman" w:hAnsi="Times New Roman" w:eastAsia="仿宋_GB2312" w:cs="Times New Roman"/>
          <w:bCs/>
          <w:sz w:val="32"/>
          <w:szCs w:val="32"/>
        </w:rPr>
        <w:t>年</w:t>
      </w:r>
      <w:r>
        <w:rPr>
          <w:rFonts w:hint="eastAsia" w:eastAsia="仿宋_GB2312" w:cs="Times New Roman"/>
          <w:bCs/>
          <w:sz w:val="32"/>
          <w:szCs w:val="32"/>
          <w:lang w:val="en-US" w:eastAsia="zh-CN"/>
        </w:rPr>
        <w:t>9</w:t>
      </w:r>
      <w:r>
        <w:rPr>
          <w:rFonts w:hint="default" w:ascii="Times New Roman" w:hAnsi="Times New Roman" w:eastAsia="仿宋_GB2312" w:cs="Times New Roman"/>
          <w:bCs/>
          <w:sz w:val="32"/>
          <w:szCs w:val="32"/>
        </w:rPr>
        <w:t>月</w:t>
      </w:r>
      <w:r>
        <w:rPr>
          <w:rFonts w:hint="eastAsia" w:eastAsia="仿宋_GB2312" w:cs="Times New Roman"/>
          <w:bCs/>
          <w:sz w:val="32"/>
          <w:szCs w:val="32"/>
          <w:lang w:val="en-US" w:eastAsia="zh-CN"/>
        </w:rPr>
        <w:t>1</w:t>
      </w:r>
      <w:r>
        <w:rPr>
          <w:rFonts w:hint="default" w:ascii="Times New Roman" w:hAnsi="Times New Roman" w:eastAsia="仿宋_GB2312" w:cs="Times New Roman"/>
          <w:bCs/>
          <w:sz w:val="32"/>
          <w:szCs w:val="32"/>
        </w:rPr>
        <w:t>日</w:t>
      </w:r>
    </w:p>
    <w:p w14:paraId="557A7685">
      <w:pPr>
        <w:rPr>
          <w:rFonts w:hint="eastAsia"/>
        </w:rPr>
      </w:pPr>
    </w:p>
    <w:p w14:paraId="2407869A">
      <w:pPr>
        <w:keepNext w:val="0"/>
        <w:keepLines w:val="0"/>
        <w:pageBreakBefore w:val="0"/>
        <w:widowControl w:val="0"/>
        <w:kinsoku/>
        <w:wordWrap/>
        <w:overflowPunct/>
        <w:topLinePunct w:val="0"/>
        <w:autoSpaceDE/>
        <w:autoSpaceDN/>
        <w:bidi w:val="0"/>
        <w:adjustRightInd/>
        <w:snapToGrid/>
        <w:spacing w:line="560" w:lineRule="exact"/>
        <w:ind w:left="0" w:right="210" w:rightChars="100" w:hanging="840" w:hangingChars="300"/>
        <w:textAlignment w:val="auto"/>
        <w:rPr>
          <w:rFonts w:hint="default" w:ascii="Times New Roman" w:hAnsi="Times New Roman" w:eastAsia="仿宋_GB2312" w:cs="Times New Roman"/>
          <w:sz w:val="28"/>
          <w:szCs w:val="28"/>
        </w:rPr>
      </w:pPr>
    </w:p>
    <w:p w14:paraId="2E6BB6A4">
      <w:pPr>
        <w:keepNext w:val="0"/>
        <w:keepLines w:val="0"/>
        <w:pageBreakBefore w:val="0"/>
        <w:widowControl w:val="0"/>
        <w:kinsoku/>
        <w:wordWrap/>
        <w:overflowPunct/>
        <w:topLinePunct w:val="0"/>
        <w:autoSpaceDE/>
        <w:autoSpaceDN/>
        <w:bidi w:val="0"/>
        <w:adjustRightInd/>
        <w:snapToGrid/>
        <w:spacing w:line="560" w:lineRule="exact"/>
        <w:ind w:left="0" w:right="210" w:rightChars="100" w:hanging="840" w:hangingChars="300"/>
        <w:textAlignment w:val="auto"/>
        <w:rPr>
          <w:rFonts w:hint="default" w:ascii="Times New Roman" w:hAnsi="Times New Roman" w:eastAsia="仿宋_GB2312" w:cs="Times New Roman"/>
          <w:sz w:val="28"/>
          <w:szCs w:val="28"/>
        </w:rPr>
      </w:pPr>
    </w:p>
    <w:p w14:paraId="34012139">
      <w:pPr>
        <w:keepNext w:val="0"/>
        <w:keepLines w:val="0"/>
        <w:pageBreakBefore w:val="0"/>
        <w:widowControl w:val="0"/>
        <w:kinsoku/>
        <w:wordWrap/>
        <w:overflowPunct/>
        <w:topLinePunct w:val="0"/>
        <w:autoSpaceDE/>
        <w:autoSpaceDN/>
        <w:bidi w:val="0"/>
        <w:adjustRightInd/>
        <w:snapToGrid/>
        <w:spacing w:line="560" w:lineRule="exact"/>
        <w:ind w:left="0" w:right="210" w:rightChars="100" w:hanging="840" w:hangingChars="300"/>
        <w:textAlignment w:val="auto"/>
        <w:rPr>
          <w:rFonts w:hint="default" w:ascii="Times New Roman" w:hAnsi="Times New Roman" w:eastAsia="仿宋_GB2312" w:cs="Times New Roman"/>
          <w:sz w:val="28"/>
          <w:szCs w:val="28"/>
        </w:rPr>
      </w:pPr>
    </w:p>
    <w:p w14:paraId="70F94020">
      <w:pPr>
        <w:keepNext w:val="0"/>
        <w:keepLines w:val="0"/>
        <w:pageBreakBefore w:val="0"/>
        <w:widowControl w:val="0"/>
        <w:kinsoku/>
        <w:wordWrap/>
        <w:overflowPunct/>
        <w:topLinePunct w:val="0"/>
        <w:autoSpaceDE/>
        <w:autoSpaceDN/>
        <w:bidi w:val="0"/>
        <w:adjustRightInd/>
        <w:snapToGrid/>
        <w:spacing w:line="560" w:lineRule="exact"/>
        <w:ind w:left="0" w:right="210" w:rightChars="100" w:hanging="840" w:hangingChars="300"/>
        <w:textAlignment w:val="auto"/>
        <w:rPr>
          <w:rFonts w:hint="default" w:ascii="Times New Roman" w:hAnsi="Times New Roman" w:eastAsia="仿宋_GB2312" w:cs="Times New Roman"/>
          <w:sz w:val="28"/>
          <w:szCs w:val="28"/>
        </w:rPr>
      </w:pPr>
    </w:p>
    <w:p w14:paraId="6F9D8BE4">
      <w:pPr>
        <w:keepNext w:val="0"/>
        <w:keepLines w:val="0"/>
        <w:pageBreakBefore w:val="0"/>
        <w:widowControl w:val="0"/>
        <w:kinsoku/>
        <w:wordWrap/>
        <w:overflowPunct/>
        <w:topLinePunct w:val="0"/>
        <w:autoSpaceDE/>
        <w:autoSpaceDN/>
        <w:bidi w:val="0"/>
        <w:adjustRightInd/>
        <w:snapToGrid/>
        <w:spacing w:line="560" w:lineRule="exact"/>
        <w:ind w:left="0" w:right="210" w:rightChars="100" w:hanging="840" w:hangingChars="300"/>
        <w:textAlignment w:val="auto"/>
        <w:rPr>
          <w:rFonts w:hint="default" w:ascii="Times New Roman" w:hAnsi="Times New Roman" w:eastAsia="仿宋_GB2312" w:cs="Times New Roman"/>
          <w:sz w:val="28"/>
          <w:szCs w:val="28"/>
        </w:rPr>
      </w:pPr>
    </w:p>
    <w:p w14:paraId="3224E3A5">
      <w:pPr>
        <w:keepNext w:val="0"/>
        <w:keepLines w:val="0"/>
        <w:pageBreakBefore w:val="0"/>
        <w:widowControl w:val="0"/>
        <w:kinsoku/>
        <w:wordWrap/>
        <w:overflowPunct/>
        <w:topLinePunct w:val="0"/>
        <w:autoSpaceDE/>
        <w:autoSpaceDN/>
        <w:bidi w:val="0"/>
        <w:adjustRightInd/>
        <w:snapToGrid/>
        <w:spacing w:line="560" w:lineRule="exact"/>
        <w:ind w:left="0" w:right="210" w:rightChars="100" w:hanging="840" w:hangingChars="300"/>
        <w:textAlignment w:val="auto"/>
        <w:rPr>
          <w:rFonts w:hint="default" w:ascii="Times New Roman" w:hAnsi="Times New Roman" w:eastAsia="仿宋_GB2312" w:cs="Times New Roman"/>
          <w:sz w:val="28"/>
          <w:szCs w:val="28"/>
        </w:rPr>
      </w:pPr>
    </w:p>
    <w:p w14:paraId="5F9E9536">
      <w:pPr>
        <w:keepNext w:val="0"/>
        <w:keepLines w:val="0"/>
        <w:pageBreakBefore w:val="0"/>
        <w:widowControl w:val="0"/>
        <w:kinsoku/>
        <w:wordWrap/>
        <w:overflowPunct/>
        <w:topLinePunct w:val="0"/>
        <w:autoSpaceDE/>
        <w:autoSpaceDN/>
        <w:bidi w:val="0"/>
        <w:adjustRightInd/>
        <w:snapToGrid/>
        <w:spacing w:line="440" w:lineRule="exact"/>
        <w:ind w:right="210" w:rightChars="100"/>
        <w:textAlignment w:val="auto"/>
        <w:rPr>
          <w:rFonts w:hint="eastAsia" w:ascii="仿宋_GB2312" w:hAnsi="仿宋_GB2312" w:eastAsia="仿宋_GB2312" w:cs="仿宋_GB2312"/>
          <w:sz w:val="28"/>
          <w:szCs w:val="28"/>
          <w:lang w:eastAsia="zh-CN"/>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-142240</wp:posOffset>
                </wp:positionH>
                <wp:positionV relativeFrom="paragraph">
                  <wp:posOffset>2540</wp:posOffset>
                </wp:positionV>
                <wp:extent cx="5901055" cy="0"/>
                <wp:effectExtent l="0" t="9525" r="4445" b="9525"/>
                <wp:wrapNone/>
                <wp:docPr id="1" name="直接连接符 5"/>
                <wp:cNvGraphicFramePr/>
                <a:graphic xmlns:a="http://schemas.openxmlformats.org/drawingml/2006/main">
                  <a:graphicData uri="http://schemas.microsoft.com/office/word/2010/wordprocessingShape">
                    <wps:wsp>
                      <wps:cNvCnPr/>
                      <wps:spPr>
                        <a:xfrm>
                          <a:off x="0" y="0"/>
                          <a:ext cx="5901055" cy="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5" o:spid="_x0000_s1026" o:spt="32" type="#_x0000_t32" style="position:absolute;left:0pt;margin-left:-11.2pt;margin-top:0.2pt;height:0pt;width:464.65pt;z-index:251660288;mso-width-relative:page;mso-height-relative:page;" filled="f" stroked="t" coordsize="21600,21600" o:gfxdata="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wRcddEAAAAFAQAADwAAAAAAAAABACAAAAAiAAAAZHJzL2Rvd25yZXYueG1sUEsBAhQA&#10;FAAAAAgAh07iQHFWSkj5AQAA8QMAAA4AAAAAAAAAAQAgAAAAIAEAAGRycy9lMm9Eb2MueG1sUEsF&#10;BgAAAAAGAAYAWQEAAIsFAAAAAA==&#10;">
                <v:fill on="f" focussize="0,0"/>
                <v:stroke weight="1.5pt" color="#000000" joinstyle="round"/>
                <v:imagedata o:title=""/>
                <o:lock v:ext="edit" aspectratio="f"/>
              </v:shape>
            </w:pict>
          </mc:Fallback>
        </mc:AlternateContent>
      </w:r>
      <w:r>
        <w:rPr>
          <w:rFonts w:hint="default" w:ascii="Times New Roman" w:hAnsi="Times New Roman" w:eastAsia="仿宋_GB2312" w:cs="Times New Roman"/>
          <w:sz w:val="28"/>
          <w:szCs w:val="28"/>
        </w:rPr>
        <w:t>抄送</w:t>
      </w:r>
      <w:r>
        <w:rPr>
          <w:rFonts w:hint="eastAsia" w:ascii="仿宋_GB2312" w:hAnsi="仿宋_GB2312" w:eastAsia="仿宋_GB2312" w:cs="仿宋_GB2312"/>
          <w:sz w:val="28"/>
          <w:szCs w:val="28"/>
        </w:rPr>
        <w:t>：师市生态环境保护综合行政执法支队、生态环境监测站、胡杨河经济技术开发区应急管理和环境保护局</w:t>
      </w:r>
      <w:r>
        <w:rPr>
          <w:rFonts w:hint="eastAsia" w:ascii="仿宋_GB2312" w:hAnsi="仿宋_GB2312" w:eastAsia="仿宋_GB2312" w:cs="仿宋_GB2312"/>
          <w:sz w:val="28"/>
          <w:szCs w:val="28"/>
          <w:lang w:eastAsia="zh-CN"/>
        </w:rPr>
        <w:t>。</w:t>
      </w:r>
    </w:p>
    <w:p w14:paraId="077E45AA">
      <w:pPr>
        <w:spacing w:line="600" w:lineRule="exact"/>
        <w:ind w:right="210" w:rightChars="100"/>
        <w:rPr>
          <w:rFonts w:hint="eastAsia" w:ascii="仿宋_GB2312" w:hAnsi="仿宋_GB2312" w:eastAsia="仿宋_GB2312" w:cs="仿宋_GB2312"/>
          <w:lang w:val="en-US" w:eastAsia="zh-CN"/>
        </w:rPr>
      </w:pPr>
      <w:r>
        <w:rPr>
          <w:rFonts w:hint="eastAsia" w:ascii="仿宋_GB2312" w:hAnsi="仿宋_GB2312" w:eastAsia="仿宋_GB2312" w:cs="仿宋_GB2312"/>
          <w:sz w:val="28"/>
          <w:szCs w:val="28"/>
        </w:rPr>
        <mc:AlternateContent>
          <mc:Choice Requires="wps">
            <w:drawing>
              <wp:anchor distT="0" distB="0" distL="114300" distR="114300" simplePos="0" relativeHeight="251662336" behindDoc="0" locked="0" layoutInCell="1" allowOverlap="1">
                <wp:simplePos x="0" y="0"/>
                <wp:positionH relativeFrom="column">
                  <wp:posOffset>-152400</wp:posOffset>
                </wp:positionH>
                <wp:positionV relativeFrom="paragraph">
                  <wp:posOffset>371475</wp:posOffset>
                </wp:positionV>
                <wp:extent cx="5930265" cy="1270"/>
                <wp:effectExtent l="0" t="9525" r="13335" b="17780"/>
                <wp:wrapNone/>
                <wp:docPr id="3" name="直接连接符 4"/>
                <wp:cNvGraphicFramePr/>
                <a:graphic xmlns:a="http://schemas.openxmlformats.org/drawingml/2006/main">
                  <a:graphicData uri="http://schemas.microsoft.com/office/word/2010/wordprocessingShape">
                    <wps:wsp>
                      <wps:cNvCnPr/>
                      <wps:spPr>
                        <a:xfrm flipV="1">
                          <a:off x="0" y="0"/>
                          <a:ext cx="5930265" cy="127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4" o:spid="_x0000_s1026" o:spt="32" type="#_x0000_t32" style="position:absolute;left:0pt;flip:y;margin-left:-12pt;margin-top:29.25pt;height:0.1pt;width:466.95pt;z-index:251662336;mso-width-relative:page;mso-height-relative:page;" filled="f" stroked="t" coordsize="21600,21600" o:gfxdata="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hDXPtgAAAAJAQAADwAAAAAAAAABACAAAAAiAAAA&#10;ZHJzL2Rvd25yZXYueG1sUEsBAhQAFAAAAAgAh07iQN+/8UIHAgAA/gMAAA4AAAAAAAAAAQAgAAAA&#10;JwEAAGRycy9lMm9Eb2MueG1sUEsFBgAAAAAGAAYAWQEAAKAFAAAAAA==&#10;">
                <v:fill on="f" focussize="0,0"/>
                <v:stroke weight="1.5pt" color="#000000" joinstyle="round"/>
                <v:imagedata o:title=""/>
                <o:lock v:ext="edit" aspectratio="f"/>
              </v:shape>
            </w:pict>
          </mc:Fallback>
        </mc:AlternateContent>
      </w:r>
      <w:r>
        <w:rPr>
          <w:rFonts w:hint="eastAsia" w:ascii="仿宋_GB2312" w:hAnsi="仿宋_GB2312" w:eastAsia="仿宋_GB2312" w:cs="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-142875</wp:posOffset>
                </wp:positionH>
                <wp:positionV relativeFrom="paragraph">
                  <wp:posOffset>0</wp:posOffset>
                </wp:positionV>
                <wp:extent cx="5882640" cy="0"/>
                <wp:effectExtent l="0" t="0" r="0" b="0"/>
                <wp:wrapNone/>
                <wp:docPr id="2" name="直接连接符 3"/>
                <wp:cNvGraphicFramePr/>
                <a:graphic xmlns:a="http://schemas.openxmlformats.org/drawingml/2006/main">
                  <a:graphicData uri="http://schemas.microsoft.com/office/word/2010/wordprocessingShape">
                    <wps:wsp>
                      <wps:cNvCnPr/>
                      <wps:spPr>
                        <a:xfrm>
                          <a:off x="0" y="0"/>
                          <a:ext cx="5882640"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直接连接符 3" o:spid="_x0000_s1026" o:spt="32" type="#_x0000_t32" style="position:absolute;left:0pt;margin-left:-11.25pt;margin-top:0pt;height:0pt;width:463.2pt;z-index:251661312;mso-width-relative:page;mso-height-relative:page;" filled="f" stroked="t" coordsize="21600,21600" o:gfxdata="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gu0c3UAAAABQEAAA8AAAAAAAAAAQAgAAAAIgAAAGRycy9kb3ducmV2LnhtbFBL&#10;AQIUABQAAAAIAIdO4kDtBQzC+gEAAPADAAAOAAAAAAAAAAEAIAAAACMBAABkcnMvZTJvRG9jLnht&#10;bFBLBQYAAAAABgAGAFkBAACPBQAAAAA=&#10;">
                <v:fill on="f" focussize="0,0"/>
                <v:stroke color="#000000" joinstyle="round"/>
                <v:imagedata o:title=""/>
                <o:lock v:ext="edit" aspectratio="f"/>
              </v:shape>
            </w:pict>
          </mc:Fallback>
        </mc:AlternateContent>
      </w:r>
      <w:r>
        <w:rPr>
          <w:rFonts w:hint="eastAsia" w:ascii="仿宋_GB2312" w:hAnsi="仿宋_GB2312" w:eastAsia="仿宋_GB2312" w:cs="仿宋_GB2312"/>
          <w:sz w:val="28"/>
          <w:szCs w:val="28"/>
        </w:rPr>
        <w:t xml:space="preserve">兵团第七师胡杨河市生态环境局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w:t>
      </w:r>
      <w:bookmarkStart w:id="2" w:name="_GoBack"/>
      <w:bookmarkEnd w:id="2"/>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日印</w:t>
      </w:r>
      <w:r>
        <w:rPr>
          <w:rFonts w:hint="eastAsia" w:ascii="仿宋_GB2312" w:hAnsi="仿宋_GB2312" w:eastAsia="仿宋_GB2312" w:cs="仿宋_GB2312"/>
          <w:sz w:val="28"/>
          <w:szCs w:val="28"/>
          <w:lang w:val="en-US" w:eastAsia="zh-CN"/>
        </w:rPr>
        <w:t>发</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59BB6">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-114300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8573D7">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pt;height:144pt;width:144pt;mso-position-horizontal:outside;mso-position-horizontal-relative:margin;mso-wrap-style:none;z-index:251659264;mso-width-relative:page;mso-height-relative:page;" filled="f" stroked="f" coordsize="21600,21600" o:gfxdata="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aJ/59QAAAAIAQAADwAAAAAAAAABACAAAAAiAAAAZHJzL2Rvd25yZXYueG1sUEsB&#10;AhQAFAAAAAgAh07iQLqMOCsyAgAAYQQAAA4AAAAAAAAAAQAgAAAAIwEAAGRycy9lMm9Eb2MueG1s&#10;UEsFBgAAAAAGAAYAWQEAAMcFAAAAAA==&#10;">
              <v:fill on="f" focussize="0,0"/>
              <v:stroke on="f" weight="0.5pt"/>
              <v:imagedata o:title=""/>
              <o:lock v:ext="edit" aspectratio="f"/>
              <v:textbox inset="0mm,0mm,0mm,0mm" style="mso-fit-shape-to-text:t;">
                <w:txbxContent>
                  <w:p w14:paraId="7C8573D7">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jZTQ2MWYyYTY5MDNmZDNlOGVlYzE1OWZlNTE2NTUifQ=="/>
  </w:docVars>
  <w:rsids>
    <w:rsidRoot w:val="19A61553"/>
    <w:rsid w:val="00301E8D"/>
    <w:rsid w:val="006F367F"/>
    <w:rsid w:val="00742AA9"/>
    <w:rsid w:val="01B110AA"/>
    <w:rsid w:val="025F2F6C"/>
    <w:rsid w:val="03E07A24"/>
    <w:rsid w:val="0402172C"/>
    <w:rsid w:val="06103791"/>
    <w:rsid w:val="064F49ED"/>
    <w:rsid w:val="07EF0236"/>
    <w:rsid w:val="0A0D21E1"/>
    <w:rsid w:val="0A6D7B38"/>
    <w:rsid w:val="0A717628"/>
    <w:rsid w:val="0BD55735"/>
    <w:rsid w:val="0CD67C16"/>
    <w:rsid w:val="0CEB02C3"/>
    <w:rsid w:val="0DEC6201"/>
    <w:rsid w:val="0E927B6D"/>
    <w:rsid w:val="0F3A0A84"/>
    <w:rsid w:val="0F8E2A2A"/>
    <w:rsid w:val="0F9811B3"/>
    <w:rsid w:val="10415B91"/>
    <w:rsid w:val="13222B5F"/>
    <w:rsid w:val="1367781A"/>
    <w:rsid w:val="13B33653"/>
    <w:rsid w:val="13E62E35"/>
    <w:rsid w:val="14B95E54"/>
    <w:rsid w:val="15E46F00"/>
    <w:rsid w:val="16930A17"/>
    <w:rsid w:val="191F64A1"/>
    <w:rsid w:val="19A61553"/>
    <w:rsid w:val="1ABC044C"/>
    <w:rsid w:val="1CB3762C"/>
    <w:rsid w:val="1D4B3D09"/>
    <w:rsid w:val="1E1F706C"/>
    <w:rsid w:val="1E222CBC"/>
    <w:rsid w:val="1E2F2A87"/>
    <w:rsid w:val="1E4C5A99"/>
    <w:rsid w:val="1F0C482E"/>
    <w:rsid w:val="1F6410B2"/>
    <w:rsid w:val="2177331E"/>
    <w:rsid w:val="21A1039B"/>
    <w:rsid w:val="24C7636B"/>
    <w:rsid w:val="24F3437F"/>
    <w:rsid w:val="274A3283"/>
    <w:rsid w:val="27E6038A"/>
    <w:rsid w:val="293E30BA"/>
    <w:rsid w:val="29ED02E2"/>
    <w:rsid w:val="2A0C4820"/>
    <w:rsid w:val="2A492FF3"/>
    <w:rsid w:val="2BE9171D"/>
    <w:rsid w:val="2DB66F7C"/>
    <w:rsid w:val="2DB71358"/>
    <w:rsid w:val="2E6647A7"/>
    <w:rsid w:val="2FE778C1"/>
    <w:rsid w:val="30766E97"/>
    <w:rsid w:val="308621F1"/>
    <w:rsid w:val="30E57BC8"/>
    <w:rsid w:val="319A0963"/>
    <w:rsid w:val="31DB1B10"/>
    <w:rsid w:val="31DE6AA2"/>
    <w:rsid w:val="325A00D3"/>
    <w:rsid w:val="32EA1B39"/>
    <w:rsid w:val="334B0167"/>
    <w:rsid w:val="3390201E"/>
    <w:rsid w:val="34552334"/>
    <w:rsid w:val="345D63A4"/>
    <w:rsid w:val="34DB0164"/>
    <w:rsid w:val="34DB0F65"/>
    <w:rsid w:val="35222615"/>
    <w:rsid w:val="35335B87"/>
    <w:rsid w:val="3763266A"/>
    <w:rsid w:val="37641BBC"/>
    <w:rsid w:val="37B3452D"/>
    <w:rsid w:val="37C91FA2"/>
    <w:rsid w:val="389B146D"/>
    <w:rsid w:val="38A30A78"/>
    <w:rsid w:val="390336C5"/>
    <w:rsid w:val="39586DFD"/>
    <w:rsid w:val="3B901665"/>
    <w:rsid w:val="3BF13876"/>
    <w:rsid w:val="3C667DC0"/>
    <w:rsid w:val="3E3F2FBE"/>
    <w:rsid w:val="3E5263F1"/>
    <w:rsid w:val="3E8F41EC"/>
    <w:rsid w:val="3ED656D0"/>
    <w:rsid w:val="3F712B5E"/>
    <w:rsid w:val="3F9B0E38"/>
    <w:rsid w:val="412344D1"/>
    <w:rsid w:val="41E12475"/>
    <w:rsid w:val="41F36599"/>
    <w:rsid w:val="425C5EED"/>
    <w:rsid w:val="4475215D"/>
    <w:rsid w:val="44AC37CB"/>
    <w:rsid w:val="458B0897"/>
    <w:rsid w:val="461B7A35"/>
    <w:rsid w:val="465316EE"/>
    <w:rsid w:val="46C2653A"/>
    <w:rsid w:val="46CD5F17"/>
    <w:rsid w:val="46F76C15"/>
    <w:rsid w:val="47623535"/>
    <w:rsid w:val="497529D7"/>
    <w:rsid w:val="4A2456CF"/>
    <w:rsid w:val="4B0E2331"/>
    <w:rsid w:val="4B4732F2"/>
    <w:rsid w:val="4B9E0BAE"/>
    <w:rsid w:val="4BE111CF"/>
    <w:rsid w:val="4D3248D1"/>
    <w:rsid w:val="4DF46F02"/>
    <w:rsid w:val="4E1C7BCA"/>
    <w:rsid w:val="4E23273D"/>
    <w:rsid w:val="4E2A19FE"/>
    <w:rsid w:val="4E8B592A"/>
    <w:rsid w:val="5144471C"/>
    <w:rsid w:val="519163C1"/>
    <w:rsid w:val="519805C3"/>
    <w:rsid w:val="51CA44D0"/>
    <w:rsid w:val="52016A0C"/>
    <w:rsid w:val="521E31BF"/>
    <w:rsid w:val="53732803"/>
    <w:rsid w:val="5445681C"/>
    <w:rsid w:val="54E21B59"/>
    <w:rsid w:val="55F63B99"/>
    <w:rsid w:val="576461D9"/>
    <w:rsid w:val="5786035A"/>
    <w:rsid w:val="5851771E"/>
    <w:rsid w:val="58D34BF9"/>
    <w:rsid w:val="593C3F2A"/>
    <w:rsid w:val="598D4786"/>
    <w:rsid w:val="59BB12F3"/>
    <w:rsid w:val="5A0B54BA"/>
    <w:rsid w:val="5A132EDD"/>
    <w:rsid w:val="5A2854B0"/>
    <w:rsid w:val="5A3949E4"/>
    <w:rsid w:val="5AD563E4"/>
    <w:rsid w:val="5ADB6D32"/>
    <w:rsid w:val="5BBE331C"/>
    <w:rsid w:val="5D8F4F70"/>
    <w:rsid w:val="5E116A2B"/>
    <w:rsid w:val="5EAF46C2"/>
    <w:rsid w:val="5EE50BC0"/>
    <w:rsid w:val="5F304919"/>
    <w:rsid w:val="5FCF6BF0"/>
    <w:rsid w:val="609D79A4"/>
    <w:rsid w:val="60BB7E2A"/>
    <w:rsid w:val="6109328C"/>
    <w:rsid w:val="612B239E"/>
    <w:rsid w:val="623C143F"/>
    <w:rsid w:val="62A019CE"/>
    <w:rsid w:val="62E3579C"/>
    <w:rsid w:val="644952F5"/>
    <w:rsid w:val="651D40D0"/>
    <w:rsid w:val="6703077D"/>
    <w:rsid w:val="67362AAB"/>
    <w:rsid w:val="679C6136"/>
    <w:rsid w:val="68152516"/>
    <w:rsid w:val="698B1E19"/>
    <w:rsid w:val="6CC3509F"/>
    <w:rsid w:val="6F2512C7"/>
    <w:rsid w:val="6F4158DC"/>
    <w:rsid w:val="70445CD9"/>
    <w:rsid w:val="708446DD"/>
    <w:rsid w:val="715F4802"/>
    <w:rsid w:val="72941802"/>
    <w:rsid w:val="7375588F"/>
    <w:rsid w:val="73E5637C"/>
    <w:rsid w:val="73FE0302"/>
    <w:rsid w:val="75006CB2"/>
    <w:rsid w:val="7516167C"/>
    <w:rsid w:val="75F30136"/>
    <w:rsid w:val="76017E90"/>
    <w:rsid w:val="7693567A"/>
    <w:rsid w:val="79AC0800"/>
    <w:rsid w:val="7BE007E5"/>
    <w:rsid w:val="7BE262C5"/>
    <w:rsid w:val="7D8212F8"/>
    <w:rsid w:val="7E3030BB"/>
    <w:rsid w:val="7F4A4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800" w:leftChars="800"/>
    </w:pPr>
  </w:style>
  <w:style w:type="paragraph" w:styleId="3">
    <w:name w:val="Body Text"/>
    <w:basedOn w:val="1"/>
    <w:next w:val="4"/>
    <w:qFormat/>
    <w:uiPriority w:val="0"/>
    <w:rPr>
      <w:rFonts w:eastAsia="华文中宋"/>
      <w:b/>
      <w:bCs/>
      <w:w w:val="90"/>
      <w:sz w:val="44"/>
    </w:rPr>
  </w:style>
  <w:style w:type="paragraph" w:customStyle="1" w:styleId="4">
    <w:name w:val="Default"/>
    <w:basedOn w:val="5"/>
    <w:next w:val="1"/>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5">
    <w:name w:val="纯文本1"/>
    <w:basedOn w:val="1"/>
    <w:qFormat/>
    <w:uiPriority w:val="0"/>
    <w:pPr>
      <w:adjustRightInd w:val="0"/>
      <w:textAlignment w:val="baseline"/>
    </w:pPr>
    <w:rPr>
      <w:rFonts w:ascii="宋体" w:hAnsi="Courier New"/>
      <w:szCs w:val="20"/>
    </w:rPr>
  </w:style>
  <w:style w:type="paragraph" w:styleId="6">
    <w:name w:val="Body Text Indent"/>
    <w:basedOn w:val="1"/>
    <w:next w:val="1"/>
    <w:semiHidden/>
    <w:qFormat/>
    <w:uiPriority w:val="99"/>
    <w:pPr>
      <w:spacing w:after="120"/>
      <w:ind w:left="420" w:leftChars="200"/>
    </w:pPr>
  </w:style>
  <w:style w:type="paragraph" w:styleId="7">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List"/>
    <w:basedOn w:val="1"/>
    <w:qFormat/>
    <w:uiPriority w:val="0"/>
    <w:pPr>
      <w:ind w:left="200" w:hanging="200" w:hangingChars="200"/>
    </w:pPr>
  </w:style>
  <w:style w:type="paragraph" w:styleId="9">
    <w:name w:val="footnote text"/>
    <w:basedOn w:val="1"/>
    <w:next w:val="2"/>
    <w:unhideWhenUsed/>
    <w:qFormat/>
    <w:uiPriority w:val="99"/>
    <w:pPr>
      <w:snapToGrid w:val="0"/>
      <w:jc w:val="left"/>
    </w:pPr>
    <w:rPr>
      <w:rFonts w:ascii="Calibri" w:hAnsi="Calibri" w:eastAsia="仿宋" w:cs="Times New Roman"/>
      <w:sz w:val="18"/>
      <w:szCs w:val="18"/>
    </w:rPr>
  </w:style>
  <w:style w:type="paragraph" w:styleId="10">
    <w:name w:val="Body Text 2"/>
    <w:basedOn w:val="1"/>
    <w:unhideWhenUsed/>
    <w:qFormat/>
    <w:uiPriority w:val="99"/>
    <w:pPr>
      <w:spacing w:after="120" w:line="480" w:lineRule="auto"/>
    </w:pPr>
  </w:style>
  <w:style w:type="paragraph" w:styleId="11">
    <w:name w:val="Body Text First Indent 2"/>
    <w:basedOn w:val="6"/>
    <w:next w:val="1"/>
    <w:unhideWhenUsed/>
    <w:qFormat/>
    <w:uiPriority w:val="99"/>
    <w:pPr>
      <w:keepNext w:val="0"/>
      <w:keepLines w:val="0"/>
      <w:widowControl w:val="0"/>
      <w:suppressLineNumbers w:val="0"/>
      <w:spacing w:before="156" w:beforeLines="50" w:beforeAutospacing="0" w:after="156" w:afterLines="50" w:afterAutospacing="0" w:line="360" w:lineRule="auto"/>
      <w:ind w:left="0" w:right="0" w:firstLine="420" w:firstLineChars="200"/>
      <w:jc w:val="both"/>
    </w:pPr>
    <w:rPr>
      <w:rFonts w:hint="default" w:ascii="Times New Roman" w:hAnsi="Times New Roman" w:eastAsia="宋体" w:cs="Times New Roman"/>
      <w:kern w:val="2"/>
      <w:sz w:val="24"/>
      <w:szCs w:val="24"/>
      <w:lang w:val="en-US" w:eastAsia="zh-CN" w:bidi="ar-SA"/>
    </w:rPr>
  </w:style>
  <w:style w:type="paragraph" w:customStyle="1" w:styleId="14">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15">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1757</Words>
  <Characters>1867</Characters>
  <Lines>0</Lines>
  <Paragraphs>0</Paragraphs>
  <TotalTime>1</TotalTime>
  <ScaleCrop>false</ScaleCrop>
  <LinksUpToDate>false</LinksUpToDate>
  <CharactersWithSpaces>1913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2024-08-23T02:46:00Z</dcterms:created>
  <dc:creator>Administrator</dc:creator>
  <cp:lastModifiedBy>Floating dream </cp:lastModifiedBy>
  <cp:lastPrinted>2025-12-15T02:49:00Z</cp:lastPrinted>
  <dcterms:modified xsi:type="dcterms:W3CDTF">2026-08-31T09:57:24Z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C638A8B3D15C4BB09D7562518D86C646_13</vt:lpwstr>
  </property>
  <property fmtid="{D5CDD505-2E9C-101B-9397-08002B2CF9AE}" pid="4" name="KSOTemplateDocerSaveRecord">
    <vt:lpwstr>eyJoZGlkIjoiODBjNzYxYmIzOWJkMDlmNzJmZjdjMmNkNDkzMGYxZDkiLCJ1c2VySWQiOiIzNjMzMTU4MzUifQ==</vt:lpwstr>
  </property>
</Properties>
</file>