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BA7E4">
      <w:pPr>
        <w:ind w:firstLine="720"/>
        <w:rPr>
          <w:rFonts w:hint="default" w:ascii="Times New Roman" w:hAnsi="Times New Roman" w:cs="Times New Roman"/>
          <w:color w:val="auto"/>
          <w:sz w:val="36"/>
          <w:szCs w:val="36"/>
          <w:highlight w:val="none"/>
        </w:rPr>
      </w:pPr>
      <w:bookmarkStart w:id="0" w:name="_Hlk196123770"/>
      <w:bookmarkEnd w:id="0"/>
      <w:bookmarkStart w:id="1" w:name="_Hlk164678119"/>
    </w:p>
    <w:p w14:paraId="0B54991E">
      <w:pPr>
        <w:ind w:firstLine="720"/>
        <w:rPr>
          <w:rFonts w:hint="default" w:ascii="Times New Roman" w:hAnsi="Times New Roman" w:cs="Times New Roman"/>
          <w:color w:val="auto"/>
          <w:sz w:val="36"/>
          <w:szCs w:val="36"/>
          <w:highlight w:val="none"/>
        </w:rPr>
      </w:pPr>
    </w:p>
    <w:p w14:paraId="4782CBB8">
      <w:pPr>
        <w:ind w:firstLine="720"/>
        <w:rPr>
          <w:rFonts w:hint="default" w:ascii="Times New Roman" w:hAnsi="Times New Roman" w:cs="Times New Roman"/>
          <w:color w:val="auto"/>
          <w:sz w:val="36"/>
          <w:szCs w:val="36"/>
          <w:highlight w:val="none"/>
        </w:rPr>
      </w:pPr>
    </w:p>
    <w:bookmarkEnd w:id="1"/>
    <w:p w14:paraId="23AA9F58">
      <w:pPr>
        <w:adjustRightInd w:val="0"/>
        <w:snapToGrid w:val="0"/>
        <w:jc w:val="center"/>
        <w:outlineLvl w:val="0"/>
        <w:rPr>
          <w:rFonts w:hint="default" w:ascii="Times New Roman" w:hAnsi="Times New Roman" w:eastAsia="方正小标宋简体" w:cs="Times New Roman"/>
          <w:bCs/>
          <w:color w:val="auto"/>
          <w:sz w:val="72"/>
          <w:szCs w:val="72"/>
          <w:highlight w:val="none"/>
        </w:rPr>
      </w:pPr>
      <w:bookmarkStart w:id="2" w:name="_Toc15314"/>
      <w:bookmarkStart w:id="3" w:name="_Toc8812"/>
      <w:bookmarkStart w:id="4" w:name="_Toc24446"/>
      <w:r>
        <w:rPr>
          <w:rFonts w:hint="default" w:ascii="Times New Roman" w:hAnsi="Times New Roman" w:eastAsia="方正小标宋简体" w:cs="Times New Roman"/>
          <w:bCs/>
          <w:color w:val="auto"/>
          <w:sz w:val="72"/>
          <w:szCs w:val="72"/>
          <w:highlight w:val="none"/>
        </w:rPr>
        <w:t>建设项目环境影响报告表</w:t>
      </w:r>
      <w:bookmarkEnd w:id="2"/>
      <w:bookmarkEnd w:id="3"/>
    </w:p>
    <w:p w14:paraId="21879D3F">
      <w:pPr>
        <w:adjustRightInd w:val="0"/>
        <w:snapToGrid w:val="0"/>
        <w:spacing w:before="192" w:beforeLines="80"/>
        <w:jc w:val="center"/>
        <w:rPr>
          <w:rFonts w:hint="default" w:ascii="Times New Roman" w:hAnsi="Times New Roman" w:cs="Times New Roman"/>
          <w:bCs/>
          <w:color w:val="auto"/>
          <w:sz w:val="48"/>
          <w:szCs w:val="48"/>
          <w:highlight w:val="none"/>
        </w:rPr>
      </w:pPr>
      <w:r>
        <w:rPr>
          <w:rFonts w:hint="default" w:ascii="Times New Roman" w:hAnsi="Times New Roman" w:cs="Times New Roman"/>
          <w:bCs/>
          <w:color w:val="auto"/>
          <w:sz w:val="48"/>
          <w:szCs w:val="48"/>
          <w:highlight w:val="none"/>
        </w:rPr>
        <w:t>（</w:t>
      </w:r>
      <w:r>
        <w:rPr>
          <w:rFonts w:hint="default" w:ascii="Times New Roman" w:hAnsi="Times New Roman" w:cs="Times New Roman"/>
          <w:bCs/>
          <w:color w:val="auto"/>
          <w:sz w:val="48"/>
          <w:szCs w:val="48"/>
          <w:highlight w:val="none"/>
          <w:lang w:val="en-US" w:eastAsia="zh-CN"/>
        </w:rPr>
        <w:t>污染</w:t>
      </w:r>
      <w:r>
        <w:rPr>
          <w:rFonts w:hint="default" w:ascii="Times New Roman" w:hAnsi="Times New Roman" w:cs="Times New Roman"/>
          <w:bCs/>
          <w:color w:val="auto"/>
          <w:sz w:val="48"/>
          <w:szCs w:val="48"/>
          <w:highlight w:val="none"/>
        </w:rPr>
        <w:t>影响类）</w:t>
      </w:r>
    </w:p>
    <w:p w14:paraId="6CE61E6B">
      <w:pPr>
        <w:adjustRightInd w:val="0"/>
        <w:snapToGrid w:val="0"/>
        <w:spacing w:before="120" w:beforeLines="50" w:line="288" w:lineRule="auto"/>
        <w:rPr>
          <w:rFonts w:hint="default" w:ascii="Times New Roman" w:hAnsi="Times New Roman" w:cs="Times New Roman"/>
          <w:color w:val="auto"/>
          <w:kern w:val="44"/>
          <w:sz w:val="44"/>
          <w:szCs w:val="44"/>
          <w:highlight w:val="none"/>
        </w:rPr>
      </w:pPr>
    </w:p>
    <w:p w14:paraId="74EBD506">
      <w:pPr>
        <w:ind w:firstLine="1040"/>
        <w:rPr>
          <w:rFonts w:hint="default" w:ascii="Times New Roman" w:hAnsi="Times New Roman" w:cs="Times New Roman"/>
          <w:color w:val="auto"/>
          <w:sz w:val="52"/>
          <w:szCs w:val="52"/>
          <w:highlight w:val="none"/>
        </w:rPr>
      </w:pPr>
    </w:p>
    <w:p w14:paraId="108E2556">
      <w:pPr>
        <w:ind w:firstLine="880"/>
        <w:rPr>
          <w:rFonts w:hint="default" w:ascii="Times New Roman" w:hAnsi="Times New Roman" w:cs="Times New Roman"/>
          <w:color w:val="auto"/>
          <w:sz w:val="44"/>
          <w:szCs w:val="44"/>
          <w:highlight w:val="none"/>
        </w:rPr>
      </w:pPr>
    </w:p>
    <w:p w14:paraId="14BB3853">
      <w:pPr>
        <w:ind w:firstLine="880"/>
        <w:rPr>
          <w:rFonts w:hint="default" w:ascii="Times New Roman" w:hAnsi="Times New Roman" w:cs="Times New Roman"/>
          <w:color w:val="auto"/>
          <w:sz w:val="44"/>
          <w:szCs w:val="44"/>
          <w:highlight w:val="none"/>
        </w:rPr>
      </w:pPr>
    </w:p>
    <w:p w14:paraId="1245837B">
      <w:pPr>
        <w:ind w:firstLine="880"/>
        <w:rPr>
          <w:rFonts w:hint="default" w:ascii="Times New Roman" w:hAnsi="Times New Roman" w:cs="Times New Roman"/>
          <w:color w:val="auto"/>
          <w:sz w:val="44"/>
          <w:szCs w:val="44"/>
          <w:highlight w:val="none"/>
        </w:rPr>
      </w:pPr>
    </w:p>
    <w:p w14:paraId="4BAA5DF8">
      <w:pPr>
        <w:pStyle w:val="29"/>
        <w:rPr>
          <w:rFonts w:hint="default" w:ascii="Times New Roman" w:hAnsi="Times New Roman" w:cs="Times New Roman"/>
          <w:color w:val="auto"/>
          <w:highlight w:val="none"/>
        </w:rPr>
      </w:pPr>
    </w:p>
    <w:p w14:paraId="10288D87">
      <w:pPr>
        <w:adjustRightInd w:val="0"/>
        <w:snapToGrid w:val="0"/>
        <w:spacing w:line="360" w:lineRule="auto"/>
        <w:ind w:left="2397" w:leftChars="300" w:hanging="1677" w:hangingChars="466"/>
        <w:rPr>
          <w:rFonts w:hint="default" w:ascii="Times New Roman" w:hAnsi="Times New Roman" w:cs="Times New Roman"/>
          <w:color w:val="auto"/>
          <w:sz w:val="36"/>
          <w:szCs w:val="36"/>
          <w:highlight w:val="none"/>
          <w:u w:val="single"/>
        </w:rPr>
      </w:pPr>
      <w:bookmarkStart w:id="5" w:name="_Hlk57884087"/>
      <w:r>
        <w:rPr>
          <w:rFonts w:hint="default" w:ascii="Times New Roman" w:hAnsi="Times New Roman" w:cs="Times New Roman"/>
          <w:color w:val="auto"/>
          <w:sz w:val="36"/>
          <w:szCs w:val="36"/>
          <w:highlight w:val="none"/>
        </w:rPr>
        <w:t>项目名称：</w:t>
      </w:r>
      <w:r>
        <w:rPr>
          <w:rFonts w:hint="default" w:ascii="Times New Roman" w:hAnsi="Times New Roman" w:cs="Times New Roman"/>
          <w:color w:val="auto"/>
          <w:spacing w:val="1"/>
          <w:w w:val="92"/>
          <w:kern w:val="0"/>
          <w:sz w:val="36"/>
          <w:szCs w:val="36"/>
          <w:highlight w:val="none"/>
          <w:u w:val="single"/>
          <w:fitText w:val="6480" w:id="759825881"/>
        </w:rPr>
        <w:t>民丰产业园果品分选线和NFC汁生产线项</w:t>
      </w:r>
      <w:r>
        <w:rPr>
          <w:rFonts w:hint="default" w:ascii="Times New Roman" w:hAnsi="Times New Roman" w:cs="Times New Roman"/>
          <w:color w:val="auto"/>
          <w:spacing w:val="20"/>
          <w:w w:val="92"/>
          <w:kern w:val="0"/>
          <w:sz w:val="36"/>
          <w:szCs w:val="36"/>
          <w:highlight w:val="none"/>
          <w:u w:val="single"/>
          <w:fitText w:val="6480" w:id="759825881"/>
          <w:lang w:val="en-US" w:eastAsia="zh-CN"/>
        </w:rPr>
        <w:t>目</w:t>
      </w:r>
    </w:p>
    <w:p w14:paraId="33BFC9DE">
      <w:pPr>
        <w:adjustRightInd w:val="0"/>
        <w:snapToGrid w:val="0"/>
        <w:spacing w:line="360" w:lineRule="auto"/>
        <w:ind w:left="3600" w:leftChars="300" w:hanging="2880" w:hangingChars="800"/>
        <w:rPr>
          <w:rFonts w:hint="default" w:ascii="Times New Roman" w:hAnsi="Times New Roman" w:cs="Times New Roman"/>
          <w:color w:val="auto"/>
          <w:sz w:val="36"/>
          <w:szCs w:val="36"/>
          <w:highlight w:val="none"/>
          <w:u w:val="single"/>
        </w:rPr>
      </w:pPr>
      <w:r>
        <w:rPr>
          <w:rFonts w:hint="default" w:ascii="Times New Roman" w:hAnsi="Times New Roman" w:cs="Times New Roman"/>
          <w:color w:val="auto"/>
          <w:sz w:val="36"/>
          <w:szCs w:val="36"/>
          <w:highlight w:val="none"/>
        </w:rPr>
        <w:t>建设单位</w:t>
      </w:r>
      <w:bookmarkStart w:id="6" w:name="_Hlk194919852"/>
      <w:r>
        <w:rPr>
          <w:rFonts w:hint="default" w:ascii="Times New Roman" w:hAnsi="Times New Roman" w:cs="Times New Roman"/>
          <w:color w:val="auto"/>
          <w:sz w:val="36"/>
          <w:szCs w:val="36"/>
          <w:highlight w:val="none"/>
        </w:rPr>
        <w:t>（盖章）</w:t>
      </w:r>
      <w:bookmarkEnd w:id="6"/>
      <w:r>
        <w:rPr>
          <w:rFonts w:hint="default" w:ascii="Times New Roman" w:hAnsi="Times New Roman" w:cs="Times New Roman"/>
          <w:color w:val="auto"/>
          <w:sz w:val="36"/>
          <w:szCs w:val="36"/>
          <w:highlight w:val="none"/>
        </w:rPr>
        <w:t>：</w:t>
      </w:r>
      <w:r>
        <w:rPr>
          <w:rFonts w:hint="eastAsia" w:cs="Times New Roman"/>
          <w:color w:val="auto"/>
          <w:spacing w:val="1"/>
          <w:w w:val="87"/>
          <w:kern w:val="0"/>
          <w:sz w:val="36"/>
          <w:szCs w:val="36"/>
          <w:highlight w:val="none"/>
          <w:u w:val="single"/>
          <w:fitText w:val="5040" w:id="1621245072"/>
          <w:lang w:val="en-US" w:eastAsia="zh-CN"/>
        </w:rPr>
        <w:t>兵地融合发展</w:t>
      </w:r>
      <w:r>
        <w:rPr>
          <w:rFonts w:hint="default" w:ascii="Times New Roman" w:hAnsi="Times New Roman" w:cs="Times New Roman"/>
          <w:color w:val="auto"/>
          <w:spacing w:val="1"/>
          <w:w w:val="87"/>
          <w:kern w:val="0"/>
          <w:sz w:val="36"/>
          <w:szCs w:val="36"/>
          <w:highlight w:val="none"/>
          <w:u w:val="single"/>
          <w:fitText w:val="5040" w:id="1621245072"/>
          <w:lang w:val="en-US" w:eastAsia="zh-CN"/>
        </w:rPr>
        <w:t>民丰产业园项目指挥</w:t>
      </w:r>
      <w:r>
        <w:rPr>
          <w:rFonts w:hint="default" w:ascii="Times New Roman" w:hAnsi="Times New Roman" w:cs="Times New Roman"/>
          <w:color w:val="auto"/>
          <w:spacing w:val="8"/>
          <w:w w:val="87"/>
          <w:kern w:val="0"/>
          <w:sz w:val="36"/>
          <w:szCs w:val="36"/>
          <w:highlight w:val="none"/>
          <w:u w:val="single"/>
          <w:fitText w:val="5040" w:id="1621245072"/>
          <w:lang w:val="en-US" w:eastAsia="zh-CN"/>
        </w:rPr>
        <w:t>部</w:t>
      </w:r>
    </w:p>
    <w:p w14:paraId="35EC75B2">
      <w:pPr>
        <w:adjustRightInd w:val="0"/>
        <w:snapToGrid w:val="0"/>
        <w:spacing w:line="288" w:lineRule="auto"/>
        <w:ind w:firstLine="720" w:firstLineChars="200"/>
        <w:rPr>
          <w:rFonts w:hint="default" w:ascii="Times New Roman" w:hAnsi="Times New Roman" w:eastAsia="宋体" w:cs="Times New Roman"/>
          <w:color w:val="auto"/>
          <w:sz w:val="36"/>
          <w:szCs w:val="36"/>
          <w:highlight w:val="none"/>
          <w:u w:val="single"/>
          <w:lang w:val="en-US" w:eastAsia="zh-CN"/>
        </w:rPr>
      </w:pPr>
      <w:r>
        <w:rPr>
          <w:rFonts w:hint="default" w:ascii="Times New Roman" w:hAnsi="Times New Roman" w:cs="Times New Roman"/>
          <w:color w:val="auto"/>
          <w:sz w:val="36"/>
          <w:szCs w:val="36"/>
          <w:highlight w:val="none"/>
        </w:rPr>
        <w:t>编制日期：</w:t>
      </w:r>
      <w:r>
        <w:rPr>
          <w:rFonts w:hint="default" w:ascii="Times New Roman" w:hAnsi="Times New Roman" w:cs="Times New Roman"/>
          <w:color w:val="auto"/>
          <w:sz w:val="36"/>
          <w:szCs w:val="36"/>
          <w:highlight w:val="none"/>
          <w:u w:val="single"/>
        </w:rPr>
        <w:t xml:space="preserve">     202</w:t>
      </w:r>
      <w:r>
        <w:rPr>
          <w:rFonts w:hint="default" w:ascii="Times New Roman" w:hAnsi="Times New Roman" w:cs="Times New Roman"/>
          <w:color w:val="auto"/>
          <w:sz w:val="36"/>
          <w:szCs w:val="36"/>
          <w:highlight w:val="none"/>
          <w:u w:val="single"/>
          <w:lang w:val="en-US" w:eastAsia="zh-CN"/>
        </w:rPr>
        <w:t>6</w:t>
      </w:r>
      <w:r>
        <w:rPr>
          <w:rFonts w:hint="default" w:ascii="Times New Roman" w:hAnsi="Times New Roman" w:cs="Times New Roman"/>
          <w:color w:val="auto"/>
          <w:sz w:val="36"/>
          <w:szCs w:val="36"/>
          <w:highlight w:val="none"/>
          <w:u w:val="single"/>
        </w:rPr>
        <w:t>年</w:t>
      </w:r>
      <w:r>
        <w:rPr>
          <w:rFonts w:hint="eastAsia" w:cs="Times New Roman"/>
          <w:color w:val="auto"/>
          <w:sz w:val="36"/>
          <w:szCs w:val="36"/>
          <w:highlight w:val="none"/>
          <w:u w:val="single"/>
          <w:lang w:val="en-US" w:eastAsia="zh-CN"/>
        </w:rPr>
        <w:t>8</w:t>
      </w:r>
      <w:r>
        <w:rPr>
          <w:rFonts w:hint="default" w:ascii="Times New Roman" w:hAnsi="Times New Roman" w:cs="Times New Roman"/>
          <w:color w:val="auto"/>
          <w:sz w:val="36"/>
          <w:szCs w:val="36"/>
          <w:highlight w:val="none"/>
          <w:u w:val="single"/>
        </w:rPr>
        <w:t xml:space="preserve">月                  </w:t>
      </w:r>
      <w:r>
        <w:rPr>
          <w:rFonts w:hint="default" w:ascii="Times New Roman" w:hAnsi="Times New Roman" w:cs="Times New Roman"/>
          <w:color w:val="auto"/>
          <w:sz w:val="36"/>
          <w:szCs w:val="36"/>
          <w:highlight w:val="none"/>
          <w:u w:val="single"/>
          <w:lang w:val="en-US" w:eastAsia="zh-CN"/>
        </w:rPr>
        <w:t xml:space="preserve"> </w:t>
      </w:r>
    </w:p>
    <w:p w14:paraId="07269896">
      <w:pPr>
        <w:adjustRightInd w:val="0"/>
        <w:snapToGrid w:val="0"/>
        <w:spacing w:line="288" w:lineRule="auto"/>
        <w:ind w:firstLine="720"/>
        <w:rPr>
          <w:rFonts w:hint="default" w:ascii="Times New Roman" w:hAnsi="Times New Roman" w:cs="Times New Roman"/>
          <w:color w:val="auto"/>
          <w:sz w:val="36"/>
          <w:szCs w:val="36"/>
          <w:highlight w:val="none"/>
        </w:rPr>
      </w:pPr>
    </w:p>
    <w:p w14:paraId="1F8643DA">
      <w:pPr>
        <w:adjustRightInd w:val="0"/>
        <w:snapToGrid w:val="0"/>
        <w:spacing w:line="288" w:lineRule="auto"/>
        <w:ind w:firstLine="720"/>
        <w:rPr>
          <w:rFonts w:hint="default" w:ascii="Times New Roman" w:hAnsi="Times New Roman" w:cs="Times New Roman"/>
          <w:color w:val="auto"/>
          <w:sz w:val="36"/>
          <w:szCs w:val="36"/>
          <w:highlight w:val="none"/>
        </w:rPr>
      </w:pPr>
    </w:p>
    <w:p w14:paraId="745D1F74">
      <w:pPr>
        <w:adjustRightInd w:val="0"/>
        <w:snapToGrid w:val="0"/>
        <w:spacing w:line="288" w:lineRule="auto"/>
        <w:ind w:firstLine="640"/>
        <w:rPr>
          <w:rFonts w:hint="default" w:ascii="Times New Roman" w:hAnsi="Times New Roman" w:cs="Times New Roman"/>
          <w:color w:val="auto"/>
          <w:sz w:val="32"/>
          <w:szCs w:val="32"/>
          <w:highlight w:val="none"/>
        </w:rPr>
      </w:pPr>
    </w:p>
    <w:bookmarkEnd w:id="5"/>
    <w:p w14:paraId="04A382BE">
      <w:pPr>
        <w:adjustRightInd w:val="0"/>
        <w:snapToGrid w:val="0"/>
        <w:spacing w:line="288" w:lineRule="auto"/>
        <w:jc w:val="center"/>
        <w:rPr>
          <w:rFonts w:hint="default" w:ascii="Times New Roman" w:hAnsi="Times New Roman" w:cs="Times New Roman"/>
          <w:color w:val="auto"/>
          <w:sz w:val="36"/>
          <w:szCs w:val="36"/>
          <w:highlight w:val="none"/>
        </w:rPr>
        <w:sectPr>
          <w:head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bookmarkStart w:id="7" w:name="_Toc21517"/>
      <w:r>
        <w:rPr>
          <w:rFonts w:hint="default" w:ascii="Times New Roman" w:hAnsi="Times New Roman" w:cs="Times New Roman"/>
          <w:color w:val="auto"/>
          <w:sz w:val="36"/>
          <w:szCs w:val="36"/>
          <w:highlight w:val="none"/>
        </w:rPr>
        <w:t>中华人民共和国生态环境部制</w:t>
      </w:r>
      <w:bookmarkEnd w:id="7"/>
    </w:p>
    <w:p w14:paraId="07099A0F">
      <w:pPr>
        <w:adjustRightInd w:val="0"/>
        <w:snapToGrid w:val="0"/>
        <w:spacing w:line="288" w:lineRule="auto"/>
        <w:jc w:val="center"/>
        <w:rPr>
          <w:rFonts w:hint="default" w:ascii="Times New Roman" w:hAnsi="Times New Roman" w:cs="Times New Roman"/>
          <w:b/>
          <w:color w:val="auto"/>
          <w:sz w:val="36"/>
          <w:szCs w:val="36"/>
          <w:highlight w:val="none"/>
        </w:rPr>
      </w:pPr>
    </w:p>
    <w:p w14:paraId="5663B275">
      <w:pPr>
        <w:adjustRightInd w:val="0"/>
        <w:snapToGrid w:val="0"/>
        <w:spacing w:line="288" w:lineRule="auto"/>
        <w:jc w:val="center"/>
        <w:rPr>
          <w:rFonts w:hint="default" w:ascii="Times New Roman" w:hAnsi="Times New Roman" w:cs="Times New Roman"/>
          <w:b/>
          <w:color w:val="auto"/>
          <w:sz w:val="36"/>
          <w:szCs w:val="36"/>
          <w:highlight w:val="none"/>
        </w:rPr>
      </w:pPr>
    </w:p>
    <w:p w14:paraId="73DDD98A">
      <w:pPr>
        <w:adjustRightInd w:val="0"/>
        <w:snapToGrid w:val="0"/>
        <w:spacing w:line="288" w:lineRule="auto"/>
        <w:jc w:val="center"/>
        <w:rPr>
          <w:rFonts w:hint="default" w:ascii="Times New Roman" w:hAnsi="Times New Roman" w:cs="Times New Roman"/>
          <w:b/>
          <w:color w:val="auto"/>
          <w:sz w:val="36"/>
          <w:szCs w:val="36"/>
          <w:highlight w:val="none"/>
        </w:rPr>
        <w:sectPr>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1619DE33">
      <w:pPr>
        <w:adjustRightInd w:val="0"/>
        <w:snapToGrid w:val="0"/>
        <w:spacing w:line="288" w:lineRule="auto"/>
        <w:jc w:val="center"/>
        <w:rPr>
          <w:rFonts w:hint="default" w:ascii="Times New Roman" w:hAnsi="Times New Roman" w:cs="Times New Roman"/>
          <w:b/>
          <w:color w:val="auto"/>
          <w:sz w:val="36"/>
          <w:szCs w:val="36"/>
          <w:highlight w:val="none"/>
        </w:rPr>
      </w:pPr>
      <w:r>
        <w:rPr>
          <w:rFonts w:hint="default" w:ascii="Times New Roman" w:hAnsi="Times New Roman" w:cs="Times New Roman"/>
          <w:b/>
          <w:color w:val="auto"/>
          <w:sz w:val="36"/>
          <w:szCs w:val="36"/>
          <w:highlight w:val="none"/>
        </w:rPr>
        <w:t>现场照片</w:t>
      </w:r>
    </w:p>
    <w:tbl>
      <w:tblPr>
        <w:tblStyle w:val="3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0"/>
        <w:gridCol w:w="4530"/>
      </w:tblGrid>
      <w:tr w14:paraId="34FE9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0078493F">
            <w:pPr>
              <w:rPr>
                <w:rFonts w:hint="eastAsia" w:ascii="Times New Roman" w:hAnsi="Times New Roman" w:eastAsia="宋体" w:cs="Times New Roman"/>
                <w:snapToGrid w:val="0"/>
                <w:color w:val="auto"/>
                <w:sz w:val="24"/>
                <w:szCs w:val="24"/>
                <w:highlight w:val="none"/>
                <w:vertAlign w:val="baseline"/>
                <w:lang w:eastAsia="zh-CN"/>
              </w:rPr>
            </w:pPr>
            <w:r>
              <w:rPr>
                <w:rFonts w:hint="eastAsia" w:ascii="Times New Roman" w:hAnsi="Times New Roman" w:eastAsia="宋体" w:cs="Times New Roman"/>
                <w:snapToGrid w:val="0"/>
                <w:color w:val="auto"/>
                <w:sz w:val="24"/>
                <w:szCs w:val="24"/>
                <w:highlight w:val="none"/>
                <w:vertAlign w:val="baseline"/>
                <w:lang w:eastAsia="zh-CN"/>
              </w:rPr>
              <w:drawing>
                <wp:inline distT="0" distB="0" distL="114300" distR="114300">
                  <wp:extent cx="2705100" cy="2028825"/>
                  <wp:effectExtent l="0" t="0" r="7620" b="13335"/>
                  <wp:docPr id="18" name="图片 18" descr="IMG_20260602_182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0260602_182947"/>
                          <pic:cNvPicPr>
                            <a:picLocks noChangeAspect="1"/>
                          </pic:cNvPicPr>
                        </pic:nvPicPr>
                        <pic:blipFill>
                          <a:blip r:embed="rId13"/>
                          <a:stretch>
                            <a:fillRect/>
                          </a:stretch>
                        </pic:blipFill>
                        <pic:spPr>
                          <a:xfrm>
                            <a:off x="0" y="0"/>
                            <a:ext cx="2705100" cy="2028825"/>
                          </a:xfrm>
                          <a:prstGeom prst="rect">
                            <a:avLst/>
                          </a:prstGeom>
                        </pic:spPr>
                      </pic:pic>
                    </a:graphicData>
                  </a:graphic>
                </wp:inline>
              </w:drawing>
            </w:r>
          </w:p>
        </w:tc>
        <w:tc>
          <w:tcPr>
            <w:tcW w:w="4530" w:type="dxa"/>
          </w:tcPr>
          <w:p w14:paraId="6B186EF2">
            <w:pPr>
              <w:rPr>
                <w:rFonts w:hint="eastAsia" w:ascii="Times New Roman" w:hAnsi="Times New Roman" w:eastAsia="宋体" w:cs="Times New Roman"/>
                <w:snapToGrid w:val="0"/>
                <w:color w:val="auto"/>
                <w:sz w:val="24"/>
                <w:szCs w:val="24"/>
                <w:highlight w:val="none"/>
                <w:vertAlign w:val="baseline"/>
                <w:lang w:eastAsia="zh-CN"/>
              </w:rPr>
            </w:pPr>
            <w:r>
              <w:rPr>
                <w:rFonts w:hint="eastAsia" w:ascii="Times New Roman" w:hAnsi="Times New Roman" w:eastAsia="宋体" w:cs="Times New Roman"/>
                <w:snapToGrid w:val="0"/>
                <w:color w:val="auto"/>
                <w:sz w:val="24"/>
                <w:szCs w:val="24"/>
                <w:highlight w:val="none"/>
                <w:vertAlign w:val="baseline"/>
                <w:lang w:eastAsia="zh-CN"/>
              </w:rPr>
              <w:drawing>
                <wp:inline distT="0" distB="0" distL="114300" distR="114300">
                  <wp:extent cx="2705100" cy="2028825"/>
                  <wp:effectExtent l="0" t="0" r="7620" b="13335"/>
                  <wp:docPr id="25" name="图片 25" descr="IMG_20260602_18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IMG_20260602_183000"/>
                          <pic:cNvPicPr>
                            <a:picLocks noChangeAspect="1"/>
                          </pic:cNvPicPr>
                        </pic:nvPicPr>
                        <pic:blipFill>
                          <a:blip r:embed="rId14"/>
                          <a:stretch>
                            <a:fillRect/>
                          </a:stretch>
                        </pic:blipFill>
                        <pic:spPr>
                          <a:xfrm>
                            <a:off x="0" y="0"/>
                            <a:ext cx="2705100" cy="2028825"/>
                          </a:xfrm>
                          <a:prstGeom prst="rect">
                            <a:avLst/>
                          </a:prstGeom>
                        </pic:spPr>
                      </pic:pic>
                    </a:graphicData>
                  </a:graphic>
                </wp:inline>
              </w:drawing>
            </w:r>
          </w:p>
        </w:tc>
      </w:tr>
      <w:tr w14:paraId="1E8EE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0" w:type="dxa"/>
            <w:gridSpan w:val="2"/>
          </w:tcPr>
          <w:p w14:paraId="7FA795FA">
            <w:pPr>
              <w:jc w:val="center"/>
              <w:rPr>
                <w:rFonts w:hint="default" w:ascii="Times New Roman" w:hAnsi="Times New Roman" w:cs="Times New Roman"/>
                <w:snapToGrid w:val="0"/>
                <w:color w:val="auto"/>
                <w:sz w:val="24"/>
                <w:szCs w:val="24"/>
                <w:highlight w:val="none"/>
                <w:vertAlign w:val="baseline"/>
              </w:rPr>
            </w:pPr>
            <w:r>
              <w:rPr>
                <w:rFonts w:hint="eastAsia" w:cs="Times New Roman"/>
                <w:snapToGrid w:val="0"/>
                <w:color w:val="auto"/>
                <w:sz w:val="24"/>
                <w:szCs w:val="24"/>
                <w:highlight w:val="none"/>
                <w:vertAlign w:val="baseline"/>
                <w:lang w:val="en-US" w:eastAsia="zh-CN"/>
              </w:rPr>
              <w:t>项目场地</w:t>
            </w:r>
          </w:p>
        </w:tc>
      </w:tr>
      <w:tr w14:paraId="7DE70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534D3329">
            <w:pPr>
              <w:rPr>
                <w:rFonts w:hint="eastAsia" w:ascii="Times New Roman" w:hAnsi="Times New Roman" w:eastAsia="宋体" w:cs="Times New Roman"/>
                <w:snapToGrid w:val="0"/>
                <w:color w:val="auto"/>
                <w:sz w:val="24"/>
                <w:szCs w:val="24"/>
                <w:highlight w:val="none"/>
                <w:vertAlign w:val="baseline"/>
                <w:lang w:eastAsia="zh-CN"/>
              </w:rPr>
            </w:pPr>
            <w:r>
              <w:rPr>
                <w:rFonts w:hint="eastAsia" w:ascii="Times New Roman" w:hAnsi="Times New Roman" w:eastAsia="宋体" w:cs="Times New Roman"/>
                <w:snapToGrid w:val="0"/>
                <w:color w:val="auto"/>
                <w:sz w:val="24"/>
                <w:szCs w:val="24"/>
                <w:highlight w:val="none"/>
                <w:vertAlign w:val="baseline"/>
                <w:lang w:eastAsia="zh-CN"/>
              </w:rPr>
              <w:drawing>
                <wp:inline distT="0" distB="0" distL="114300" distR="114300">
                  <wp:extent cx="2705100" cy="2028825"/>
                  <wp:effectExtent l="0" t="0" r="7620" b="13335"/>
                  <wp:docPr id="23" name="图片 23" descr="IMG_20260602_18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20260602_183349"/>
                          <pic:cNvPicPr>
                            <a:picLocks noChangeAspect="1"/>
                          </pic:cNvPicPr>
                        </pic:nvPicPr>
                        <pic:blipFill>
                          <a:blip r:embed="rId15"/>
                          <a:stretch>
                            <a:fillRect/>
                          </a:stretch>
                        </pic:blipFill>
                        <pic:spPr>
                          <a:xfrm>
                            <a:off x="0" y="0"/>
                            <a:ext cx="2705100" cy="2028825"/>
                          </a:xfrm>
                          <a:prstGeom prst="rect">
                            <a:avLst/>
                          </a:prstGeom>
                        </pic:spPr>
                      </pic:pic>
                    </a:graphicData>
                  </a:graphic>
                </wp:inline>
              </w:drawing>
            </w:r>
          </w:p>
        </w:tc>
        <w:tc>
          <w:tcPr>
            <w:tcW w:w="4530" w:type="dxa"/>
          </w:tcPr>
          <w:p w14:paraId="64D432A4">
            <w:pPr>
              <w:rPr>
                <w:rFonts w:hint="eastAsia" w:ascii="Times New Roman" w:hAnsi="Times New Roman" w:eastAsia="宋体" w:cs="Times New Roman"/>
                <w:snapToGrid w:val="0"/>
                <w:color w:val="auto"/>
                <w:sz w:val="24"/>
                <w:szCs w:val="24"/>
                <w:highlight w:val="none"/>
                <w:vertAlign w:val="baseline"/>
                <w:lang w:eastAsia="zh-CN"/>
              </w:rPr>
            </w:pPr>
            <w:r>
              <w:rPr>
                <w:rFonts w:hint="eastAsia" w:ascii="Times New Roman" w:hAnsi="Times New Roman" w:eastAsia="宋体" w:cs="Times New Roman"/>
                <w:snapToGrid w:val="0"/>
                <w:color w:val="auto"/>
                <w:sz w:val="24"/>
                <w:szCs w:val="24"/>
                <w:highlight w:val="none"/>
                <w:vertAlign w:val="baseline"/>
                <w:lang w:eastAsia="zh-CN"/>
              </w:rPr>
              <w:drawing>
                <wp:inline distT="0" distB="0" distL="114300" distR="114300">
                  <wp:extent cx="2705100" cy="2028825"/>
                  <wp:effectExtent l="0" t="0" r="7620" b="13335"/>
                  <wp:docPr id="24" name="图片 24" descr="IMG_20260602_18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20260602_184133"/>
                          <pic:cNvPicPr>
                            <a:picLocks noChangeAspect="1"/>
                          </pic:cNvPicPr>
                        </pic:nvPicPr>
                        <pic:blipFill>
                          <a:blip r:embed="rId16"/>
                          <a:stretch>
                            <a:fillRect/>
                          </a:stretch>
                        </pic:blipFill>
                        <pic:spPr>
                          <a:xfrm>
                            <a:off x="0" y="0"/>
                            <a:ext cx="2705100" cy="2028825"/>
                          </a:xfrm>
                          <a:prstGeom prst="rect">
                            <a:avLst/>
                          </a:prstGeom>
                        </pic:spPr>
                      </pic:pic>
                    </a:graphicData>
                  </a:graphic>
                </wp:inline>
              </w:drawing>
            </w:r>
          </w:p>
        </w:tc>
      </w:tr>
      <w:tr w14:paraId="5E74F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0" w:type="dxa"/>
            <w:gridSpan w:val="2"/>
          </w:tcPr>
          <w:p w14:paraId="7A623F31">
            <w:pPr>
              <w:jc w:val="center"/>
              <w:rPr>
                <w:rFonts w:hint="default" w:ascii="Times New Roman" w:hAnsi="Times New Roman" w:eastAsia="宋体" w:cs="Times New Roman"/>
                <w:snapToGrid w:val="0"/>
                <w:color w:val="auto"/>
                <w:sz w:val="24"/>
                <w:szCs w:val="24"/>
                <w:highlight w:val="none"/>
                <w:vertAlign w:val="baseline"/>
                <w:lang w:val="en-US" w:eastAsia="zh-CN"/>
              </w:rPr>
            </w:pPr>
            <w:r>
              <w:rPr>
                <w:rFonts w:hint="eastAsia" w:cs="Times New Roman"/>
                <w:snapToGrid w:val="0"/>
                <w:color w:val="auto"/>
                <w:sz w:val="24"/>
                <w:szCs w:val="24"/>
                <w:highlight w:val="none"/>
                <w:vertAlign w:val="baseline"/>
                <w:lang w:val="en-US" w:eastAsia="zh-CN"/>
              </w:rPr>
              <w:t>项目现场已有建筑</w:t>
            </w:r>
          </w:p>
        </w:tc>
      </w:tr>
    </w:tbl>
    <w:p w14:paraId="363F2FB8">
      <w:pPr>
        <w:ind w:firstLine="480" w:firstLineChars="200"/>
        <w:rPr>
          <w:rFonts w:hint="default" w:ascii="Times New Roman" w:hAnsi="Times New Roman" w:cs="Times New Roman"/>
          <w:snapToGrid w:val="0"/>
          <w:color w:val="auto"/>
          <w:highlight w:val="none"/>
        </w:rPr>
      </w:pPr>
    </w:p>
    <w:p w14:paraId="17EA61AE">
      <w:pPr>
        <w:ind w:firstLine="480" w:firstLineChars="200"/>
        <w:rPr>
          <w:rFonts w:hint="default" w:ascii="Times New Roman" w:hAnsi="Times New Roman" w:cs="Times New Roman"/>
          <w:snapToGrid w:val="0"/>
          <w:color w:val="auto"/>
          <w:highlight w:val="none"/>
        </w:rPr>
      </w:pPr>
    </w:p>
    <w:p w14:paraId="168F27F4">
      <w:pPr>
        <w:ind w:firstLine="480" w:firstLineChars="200"/>
        <w:rPr>
          <w:rFonts w:hint="default" w:ascii="Times New Roman" w:hAnsi="Times New Roman" w:cs="Times New Roman"/>
          <w:snapToGrid w:val="0"/>
          <w:color w:val="auto"/>
          <w:highlight w:val="none"/>
        </w:rPr>
      </w:pPr>
    </w:p>
    <w:p w14:paraId="0D14015C">
      <w:pPr>
        <w:ind w:firstLine="602"/>
        <w:rPr>
          <w:rFonts w:hint="default" w:ascii="Times New Roman" w:hAnsi="Times New Roman" w:cs="Times New Roman"/>
          <w:b/>
          <w:bCs/>
          <w:snapToGrid w:val="0"/>
          <w:color w:val="auto"/>
          <w:sz w:val="30"/>
          <w:szCs w:val="30"/>
          <w:highlight w:val="none"/>
        </w:rPr>
        <w:sectPr>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sdt>
      <w:sdtPr>
        <w:rPr>
          <w:rFonts w:hint="default" w:ascii="Times New Roman" w:hAnsi="Times New Roman" w:cs="Times New Roman"/>
          <w:b/>
          <w:bCs/>
          <w:color w:val="auto"/>
          <w:sz w:val="36"/>
          <w:szCs w:val="36"/>
          <w:highlight w:val="none"/>
        </w:rPr>
        <w:id w:val="147453733"/>
        <w:docPartObj>
          <w:docPartGallery w:val="Table of Contents"/>
          <w:docPartUnique/>
        </w:docPartObj>
      </w:sdtPr>
      <w:sdtEndPr>
        <w:rPr>
          <w:rFonts w:hint="default" w:ascii="Times New Roman" w:hAnsi="Times New Roman" w:cs="Times New Roman"/>
          <w:b/>
          <w:bCs/>
          <w:snapToGrid w:val="0"/>
          <w:color w:val="auto"/>
          <w:kern w:val="0"/>
          <w:sz w:val="24"/>
          <w:szCs w:val="24"/>
          <w:highlight w:val="none"/>
        </w:rPr>
      </w:sdtEndPr>
      <w:sdtContent>
        <w:p w14:paraId="520B41BE">
          <w:pPr>
            <w:spacing w:line="360" w:lineRule="auto"/>
            <w:jc w:val="center"/>
            <w:rPr>
              <w:rFonts w:hint="default" w:ascii="Times New Roman" w:hAnsi="Times New Roman" w:cs="Times New Roman"/>
              <w:b/>
              <w:bCs/>
              <w:color w:val="auto"/>
              <w:highlight w:val="none"/>
            </w:rPr>
          </w:pPr>
          <w:bookmarkStart w:id="8" w:name="_Toc5462"/>
          <w:r>
            <w:rPr>
              <w:rFonts w:hint="default" w:ascii="Times New Roman" w:hAnsi="Times New Roman" w:cs="Times New Roman"/>
              <w:b/>
              <w:bCs/>
              <w:color w:val="auto"/>
              <w:sz w:val="28"/>
              <w:szCs w:val="36"/>
              <w:highlight w:val="none"/>
            </w:rPr>
            <w:t>目  录</w:t>
          </w:r>
          <w:r>
            <w:rPr>
              <w:rFonts w:hint="default" w:ascii="Times New Roman" w:hAnsi="Times New Roman" w:cs="Times New Roman"/>
              <w:b/>
              <w:bCs/>
              <w:color w:val="auto"/>
              <w:highlight w:val="none"/>
            </w:rPr>
            <w:fldChar w:fldCharType="begin"/>
          </w:r>
          <w:r>
            <w:rPr>
              <w:rFonts w:hint="default" w:ascii="Times New Roman" w:hAnsi="Times New Roman" w:cs="Times New Roman"/>
              <w:b/>
              <w:bCs/>
              <w:color w:val="auto"/>
              <w:highlight w:val="none"/>
            </w:rPr>
            <w:instrText xml:space="preserve">TOC \o "1-1" \h \u </w:instrText>
          </w:r>
          <w:r>
            <w:rPr>
              <w:rFonts w:hint="default" w:ascii="Times New Roman" w:hAnsi="Times New Roman" w:cs="Times New Roman"/>
              <w:b/>
              <w:bCs/>
              <w:color w:val="auto"/>
              <w:highlight w:val="none"/>
            </w:rPr>
            <w:fldChar w:fldCharType="separate"/>
          </w:r>
        </w:p>
        <w:p w14:paraId="27A68B77">
          <w:pPr>
            <w:pStyle w:val="117"/>
            <w:tabs>
              <w:tab w:val="right" w:leader="dot" w:pos="9184"/>
            </w:tabs>
            <w:spacing w:line="360" w:lineRule="auto"/>
            <w:jc w:val="both"/>
            <w:rPr>
              <w:rFonts w:hint="default" w:ascii="Times New Roman" w:hAnsi="Times New Roman" w:cs="Times New Roman"/>
              <w:b/>
              <w:bCs/>
              <w:color w:val="auto"/>
              <w:sz w:val="24"/>
              <w:szCs w:val="24"/>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"_Toc11771"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snapToGrid w:val="0"/>
              <w:color w:val="auto"/>
              <w:sz w:val="24"/>
              <w:szCs w:val="24"/>
              <w:highlight w:val="none"/>
            </w:rPr>
            <w:t>一、建设项目基本情况</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PAGEREF _Toc11771 \h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b/>
              <w:bCs/>
              <w:color w:val="auto"/>
              <w:sz w:val="24"/>
              <w:szCs w:val="24"/>
              <w:highlight w:val="none"/>
            </w:rPr>
            <w:t>1</w:t>
          </w:r>
          <w:r>
            <w:rPr>
              <w:rFonts w:hint="default" w:ascii="Times New Roman" w:hAnsi="Times New Roman" w:cs="Times New Roman"/>
              <w:b/>
              <w:bCs/>
              <w:color w:val="auto"/>
              <w:sz w:val="24"/>
              <w:szCs w:val="24"/>
              <w:highlight w:val="none"/>
            </w:rPr>
            <w:fldChar w:fldCharType="end"/>
          </w:r>
          <w:r>
            <w:rPr>
              <w:rFonts w:hint="default" w:ascii="Times New Roman" w:hAnsi="Times New Roman" w:cs="Times New Roman"/>
              <w:b/>
              <w:bCs/>
              <w:color w:val="auto"/>
              <w:sz w:val="24"/>
              <w:szCs w:val="24"/>
              <w:highlight w:val="none"/>
            </w:rPr>
            <w:fldChar w:fldCharType="end"/>
          </w:r>
        </w:p>
        <w:p w14:paraId="0391CEC4">
          <w:pPr>
            <w:pStyle w:val="117"/>
            <w:tabs>
              <w:tab w:val="right" w:leader="dot" w:pos="9184"/>
            </w:tabs>
            <w:spacing w:line="360" w:lineRule="auto"/>
            <w:jc w:val="both"/>
            <w:rPr>
              <w:rFonts w:hint="default" w:ascii="Times New Roman" w:hAnsi="Times New Roman" w:cs="Times New Roman"/>
              <w:b/>
              <w:bCs/>
              <w:color w:val="auto"/>
              <w:sz w:val="24"/>
              <w:szCs w:val="24"/>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"_Toc3745"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snapToGrid w:val="0"/>
              <w:color w:val="auto"/>
              <w:sz w:val="24"/>
              <w:szCs w:val="24"/>
              <w:highlight w:val="none"/>
            </w:rPr>
            <w:t>二、建设内容</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PAGEREF _Toc3745 \h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b/>
              <w:bCs/>
              <w:color w:val="auto"/>
              <w:sz w:val="24"/>
              <w:szCs w:val="24"/>
              <w:highlight w:val="none"/>
            </w:rPr>
            <w:t>14</w:t>
          </w:r>
          <w:r>
            <w:rPr>
              <w:rFonts w:hint="default" w:ascii="Times New Roman" w:hAnsi="Times New Roman" w:cs="Times New Roman"/>
              <w:b/>
              <w:bCs/>
              <w:color w:val="auto"/>
              <w:sz w:val="24"/>
              <w:szCs w:val="24"/>
              <w:highlight w:val="none"/>
            </w:rPr>
            <w:fldChar w:fldCharType="end"/>
          </w:r>
          <w:r>
            <w:rPr>
              <w:rFonts w:hint="default" w:ascii="Times New Roman" w:hAnsi="Times New Roman" w:cs="Times New Roman"/>
              <w:b/>
              <w:bCs/>
              <w:color w:val="auto"/>
              <w:sz w:val="24"/>
              <w:szCs w:val="24"/>
              <w:highlight w:val="none"/>
            </w:rPr>
            <w:fldChar w:fldCharType="end"/>
          </w:r>
        </w:p>
        <w:p w14:paraId="4A929EB1">
          <w:pPr>
            <w:pStyle w:val="117"/>
            <w:tabs>
              <w:tab w:val="right" w:leader="dot" w:pos="9184"/>
            </w:tabs>
            <w:spacing w:line="360" w:lineRule="auto"/>
            <w:jc w:val="both"/>
            <w:rPr>
              <w:rFonts w:hint="default" w:ascii="Times New Roman" w:hAnsi="Times New Roman" w:cs="Times New Roman"/>
              <w:b/>
              <w:bCs/>
              <w:color w:val="auto"/>
              <w:sz w:val="24"/>
              <w:szCs w:val="24"/>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"_Toc27598"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snapToGrid w:val="0"/>
              <w:color w:val="auto"/>
              <w:sz w:val="24"/>
              <w:szCs w:val="24"/>
              <w:highlight w:val="none"/>
            </w:rPr>
            <w:t>三、生态环境现状、保护目标及评价标准</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PAGEREF _Toc27598 \h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b/>
              <w:bCs/>
              <w:color w:val="auto"/>
              <w:sz w:val="24"/>
              <w:szCs w:val="24"/>
              <w:highlight w:val="none"/>
            </w:rPr>
            <w:t>33</w:t>
          </w:r>
          <w:r>
            <w:rPr>
              <w:rFonts w:hint="default" w:ascii="Times New Roman" w:hAnsi="Times New Roman" w:cs="Times New Roman"/>
              <w:b/>
              <w:bCs/>
              <w:color w:val="auto"/>
              <w:sz w:val="24"/>
              <w:szCs w:val="24"/>
              <w:highlight w:val="none"/>
            </w:rPr>
            <w:fldChar w:fldCharType="end"/>
          </w:r>
          <w:r>
            <w:rPr>
              <w:rFonts w:hint="default" w:ascii="Times New Roman" w:hAnsi="Times New Roman" w:cs="Times New Roman"/>
              <w:b/>
              <w:bCs/>
              <w:color w:val="auto"/>
              <w:sz w:val="24"/>
              <w:szCs w:val="24"/>
              <w:highlight w:val="none"/>
            </w:rPr>
            <w:fldChar w:fldCharType="end"/>
          </w:r>
        </w:p>
        <w:p w14:paraId="3F5ABE25">
          <w:pPr>
            <w:pStyle w:val="117"/>
            <w:tabs>
              <w:tab w:val="right" w:leader="dot" w:pos="9184"/>
            </w:tabs>
            <w:spacing w:line="360" w:lineRule="auto"/>
            <w:jc w:val="both"/>
            <w:rPr>
              <w:rFonts w:hint="default" w:ascii="Times New Roman" w:hAnsi="Times New Roman" w:cs="Times New Roman"/>
              <w:b/>
              <w:bCs/>
              <w:color w:val="auto"/>
              <w:sz w:val="24"/>
              <w:szCs w:val="24"/>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"_Toc14231"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snapToGrid w:val="0"/>
              <w:color w:val="auto"/>
              <w:sz w:val="24"/>
              <w:szCs w:val="24"/>
              <w:highlight w:val="none"/>
            </w:rPr>
            <w:t>四、生态环境影响分析</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PAGEREF _Toc14231 \h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b/>
              <w:bCs/>
              <w:color w:val="auto"/>
              <w:sz w:val="24"/>
              <w:szCs w:val="24"/>
              <w:highlight w:val="none"/>
            </w:rPr>
            <w:t>37</w:t>
          </w:r>
          <w:r>
            <w:rPr>
              <w:rFonts w:hint="default" w:ascii="Times New Roman" w:hAnsi="Times New Roman" w:cs="Times New Roman"/>
              <w:b/>
              <w:bCs/>
              <w:color w:val="auto"/>
              <w:sz w:val="24"/>
              <w:szCs w:val="24"/>
              <w:highlight w:val="none"/>
            </w:rPr>
            <w:fldChar w:fldCharType="end"/>
          </w:r>
          <w:r>
            <w:rPr>
              <w:rFonts w:hint="default" w:ascii="Times New Roman" w:hAnsi="Times New Roman" w:cs="Times New Roman"/>
              <w:b/>
              <w:bCs/>
              <w:color w:val="auto"/>
              <w:sz w:val="24"/>
              <w:szCs w:val="24"/>
              <w:highlight w:val="none"/>
            </w:rPr>
            <w:fldChar w:fldCharType="end"/>
          </w:r>
        </w:p>
        <w:p w14:paraId="280CDF1D">
          <w:pPr>
            <w:pStyle w:val="117"/>
            <w:tabs>
              <w:tab w:val="right" w:leader="dot" w:pos="9184"/>
            </w:tabs>
            <w:spacing w:line="360" w:lineRule="auto"/>
            <w:jc w:val="both"/>
            <w:rPr>
              <w:rFonts w:hint="default" w:ascii="Times New Roman" w:hAnsi="Times New Roman" w:cs="Times New Roman"/>
              <w:b/>
              <w:bCs/>
              <w:color w:val="auto"/>
              <w:sz w:val="24"/>
              <w:szCs w:val="24"/>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"_Toc18496"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snapToGrid w:val="0"/>
              <w:color w:val="auto"/>
              <w:sz w:val="24"/>
              <w:szCs w:val="24"/>
              <w:highlight w:val="none"/>
            </w:rPr>
            <w:t>五、主要生态环境保护措施</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PAGEREF _Toc18496 \h </w:instrText>
          </w:r>
          <w:r>
            <w:rPr>
              <w:rFonts w:hint="default" w:ascii="Times New Roman" w:hAnsi="Times New Roman" w:cs="Times New Roman"/>
              <w:b/>
              <w:bCs/>
              <w:color w:val="auto"/>
              <w:sz w:val="24"/>
              <w:szCs w:val="24"/>
              <w:highlight w:val="none"/>
            </w:rPr>
            <w:fldChar w:fldCharType="separate"/>
          </w:r>
          <w:r>
            <w:rPr>
              <w:b/>
            </w:rPr>
            <w:t>错误！未定义书签。</w:t>
          </w:r>
          <w:r>
            <w:rPr>
              <w:rFonts w:hint="default" w:ascii="Times New Roman" w:hAnsi="Times New Roman" w:cs="Times New Roman"/>
              <w:b/>
              <w:bCs/>
              <w:color w:val="auto"/>
              <w:sz w:val="24"/>
              <w:szCs w:val="24"/>
              <w:highlight w:val="none"/>
            </w:rPr>
            <w:fldChar w:fldCharType="end"/>
          </w:r>
          <w:r>
            <w:rPr>
              <w:rFonts w:hint="default" w:ascii="Times New Roman" w:hAnsi="Times New Roman" w:cs="Times New Roman"/>
              <w:b/>
              <w:bCs/>
              <w:color w:val="auto"/>
              <w:sz w:val="24"/>
              <w:szCs w:val="24"/>
              <w:highlight w:val="none"/>
            </w:rPr>
            <w:fldChar w:fldCharType="end"/>
          </w:r>
        </w:p>
        <w:p w14:paraId="4EF08B54">
          <w:pPr>
            <w:pStyle w:val="117"/>
            <w:tabs>
              <w:tab w:val="right" w:leader="dot" w:pos="9184"/>
            </w:tabs>
            <w:spacing w:line="360" w:lineRule="auto"/>
            <w:jc w:val="both"/>
            <w:rPr>
              <w:rFonts w:hint="default" w:ascii="Times New Roman" w:hAnsi="Times New Roman" w:cs="Times New Roman"/>
              <w:b/>
              <w:bCs/>
              <w:color w:val="auto"/>
              <w:sz w:val="24"/>
              <w:szCs w:val="24"/>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"_Toc151"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snapToGrid w:val="0"/>
              <w:color w:val="auto"/>
              <w:sz w:val="24"/>
              <w:szCs w:val="24"/>
              <w:highlight w:val="none"/>
            </w:rPr>
            <w:t>六、生态环境保护措施监督检查清单</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t>59</w:t>
          </w:r>
          <w:r>
            <w:rPr>
              <w:rFonts w:hint="default" w:ascii="Times New Roman" w:hAnsi="Times New Roman" w:cs="Times New Roman"/>
              <w:b/>
              <w:bCs/>
              <w:color w:val="auto"/>
              <w:sz w:val="24"/>
              <w:szCs w:val="24"/>
              <w:highlight w:val="none"/>
            </w:rPr>
            <w:fldChar w:fldCharType="end"/>
          </w:r>
        </w:p>
        <w:p w14:paraId="2F637E14">
          <w:pPr>
            <w:pStyle w:val="117"/>
            <w:tabs>
              <w:tab w:val="right" w:leader="dot" w:pos="9184"/>
            </w:tabs>
            <w:spacing w:line="360" w:lineRule="auto"/>
            <w:jc w:val="both"/>
            <w:rPr>
              <w:rFonts w:hint="default" w:ascii="Times New Roman" w:hAnsi="Times New Roman" w:cs="Times New Roman"/>
              <w:b/>
              <w:bCs/>
              <w:color w:val="auto"/>
              <w:sz w:val="24"/>
              <w:szCs w:val="24"/>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"_Toc5987"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snapToGrid w:val="0"/>
              <w:color w:val="auto"/>
              <w:sz w:val="24"/>
              <w:szCs w:val="24"/>
              <w:highlight w:val="none"/>
            </w:rPr>
            <w:t>七、结论</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PAGEREF _Toc5987 \h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b/>
              <w:bCs/>
              <w:color w:val="auto"/>
              <w:sz w:val="24"/>
              <w:szCs w:val="24"/>
              <w:highlight w:val="none"/>
            </w:rPr>
            <w:t>65</w:t>
          </w:r>
          <w:r>
            <w:rPr>
              <w:rFonts w:hint="default" w:ascii="Times New Roman" w:hAnsi="Times New Roman" w:cs="Times New Roman"/>
              <w:b/>
              <w:bCs/>
              <w:color w:val="auto"/>
              <w:sz w:val="24"/>
              <w:szCs w:val="24"/>
              <w:highlight w:val="none"/>
            </w:rPr>
            <w:fldChar w:fldCharType="end"/>
          </w:r>
          <w:r>
            <w:rPr>
              <w:rFonts w:hint="default" w:ascii="Times New Roman" w:hAnsi="Times New Roman" w:cs="Times New Roman"/>
              <w:b/>
              <w:bCs/>
              <w:color w:val="auto"/>
              <w:sz w:val="24"/>
              <w:szCs w:val="24"/>
              <w:highlight w:val="none"/>
            </w:rPr>
            <w:fldChar w:fldCharType="end"/>
          </w:r>
        </w:p>
        <w:p w14:paraId="14A9D734">
          <w:pPr>
            <w:tabs>
              <w:tab w:val="left" w:pos="4159"/>
            </w:tabs>
            <w:spacing w:line="360" w:lineRule="auto"/>
            <w:ind w:firstLine="562"/>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fldChar w:fldCharType="end"/>
          </w:r>
          <w:r>
            <w:rPr>
              <w:rFonts w:hint="default" w:ascii="Times New Roman" w:hAnsi="Times New Roman" w:cs="Times New Roman"/>
              <w:b/>
              <w:bCs/>
              <w:color w:val="auto"/>
              <w:highlight w:val="none"/>
            </w:rPr>
            <w:tab/>
          </w:r>
        </w:p>
        <w:p w14:paraId="225A48FC">
          <w:pP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br w:type="page"/>
          </w:r>
        </w:p>
        <w:p w14:paraId="50B7D29D">
          <w:pPr>
            <w:spacing w:line="360" w:lineRule="auto"/>
            <w:ind w:firstLine="482" w:firstLineChars="200"/>
            <w:rPr>
              <w:rFonts w:hint="default" w:ascii="Times New Roman" w:hAnsi="Times New Roman" w:cs="Times New Roman"/>
              <w:b/>
              <w:bCs/>
              <w:snapToGrid w:val="0"/>
              <w:color w:val="auto"/>
              <w:kern w:val="0"/>
              <w:highlight w:val="none"/>
            </w:rPr>
          </w:pPr>
          <w:r>
            <w:rPr>
              <w:rFonts w:hint="default" w:ascii="Times New Roman" w:hAnsi="Times New Roman" w:cs="Times New Roman"/>
              <w:b/>
              <w:bCs/>
              <w:snapToGrid w:val="0"/>
              <w:color w:val="auto"/>
              <w:kern w:val="0"/>
              <w:highlight w:val="none"/>
            </w:rPr>
            <w:t>附件：</w:t>
          </w:r>
        </w:p>
        <w:p w14:paraId="1BCFD059">
          <w:pPr>
            <w:spacing w:line="360" w:lineRule="auto"/>
            <w:ind w:firstLine="480" w:firstLineChars="200"/>
            <w:rPr>
              <w:rFonts w:hint="default" w:ascii="Times New Roman" w:hAnsi="Times New Roman" w:cs="Times New Roman"/>
              <w:bCs/>
              <w:snapToGrid w:val="0"/>
              <w:color w:val="auto"/>
              <w:kern w:val="0"/>
              <w:highlight w:val="none"/>
            </w:rPr>
          </w:pPr>
          <w:r>
            <w:rPr>
              <w:rFonts w:hint="default" w:ascii="Times New Roman" w:hAnsi="Times New Roman" w:cs="Times New Roman"/>
              <w:bCs/>
              <w:snapToGrid w:val="0"/>
              <w:color w:val="auto"/>
              <w:kern w:val="0"/>
              <w:highlight w:val="none"/>
            </w:rPr>
            <w:t>附件1：委托书</w:t>
          </w:r>
        </w:p>
        <w:p w14:paraId="3E0205E0">
          <w:pPr>
            <w:spacing w:line="360" w:lineRule="auto"/>
            <w:ind w:firstLine="480" w:firstLineChars="200"/>
            <w:rPr>
              <w:rFonts w:hint="default" w:ascii="Times New Roman" w:hAnsi="Times New Roman" w:cs="Times New Roman"/>
              <w:bCs/>
              <w:snapToGrid w:val="0"/>
              <w:color w:val="auto"/>
              <w:kern w:val="0"/>
              <w:highlight w:val="none"/>
            </w:rPr>
          </w:pPr>
          <w:r>
            <w:rPr>
              <w:rFonts w:hint="default" w:ascii="Times New Roman" w:hAnsi="Times New Roman" w:cs="Times New Roman"/>
              <w:bCs/>
              <w:snapToGrid w:val="0"/>
              <w:color w:val="auto"/>
              <w:kern w:val="0"/>
              <w:highlight w:val="none"/>
            </w:rPr>
            <w:t>附件2：可行性研究报告的批复</w:t>
          </w:r>
        </w:p>
        <w:p w14:paraId="2D97D16A">
          <w:pPr>
            <w:spacing w:line="360" w:lineRule="auto"/>
            <w:ind w:firstLine="480" w:firstLineChars="200"/>
            <w:rPr>
              <w:rFonts w:hint="default" w:ascii="Times New Roman" w:hAnsi="Times New Roman" w:cs="Times New Roman"/>
              <w:bCs/>
              <w:snapToGrid w:val="0"/>
              <w:color w:val="auto"/>
              <w:kern w:val="0"/>
              <w:highlight w:val="none"/>
            </w:rPr>
          </w:pPr>
          <w:r>
            <w:rPr>
              <w:rFonts w:hint="default" w:ascii="Times New Roman" w:hAnsi="Times New Roman" w:cs="Times New Roman"/>
              <w:bCs/>
              <w:snapToGrid w:val="0"/>
              <w:color w:val="auto"/>
              <w:kern w:val="0"/>
              <w:highlight w:val="none"/>
            </w:rPr>
            <w:t>附件</w:t>
          </w:r>
          <w:r>
            <w:rPr>
              <w:rFonts w:hint="eastAsia" w:cs="Times New Roman"/>
              <w:bCs/>
              <w:snapToGrid w:val="0"/>
              <w:color w:val="auto"/>
              <w:kern w:val="0"/>
              <w:highlight w:val="none"/>
              <w:lang w:val="en-US" w:eastAsia="zh-CN"/>
            </w:rPr>
            <w:t>3</w:t>
          </w:r>
          <w:r>
            <w:rPr>
              <w:rFonts w:hint="default" w:ascii="Times New Roman" w:hAnsi="Times New Roman" w:cs="Times New Roman"/>
              <w:bCs/>
              <w:snapToGrid w:val="0"/>
              <w:color w:val="auto"/>
              <w:kern w:val="0"/>
              <w:highlight w:val="none"/>
            </w:rPr>
            <w:t>：项目用地情况说明</w:t>
          </w:r>
        </w:p>
        <w:p w14:paraId="42BC46D5">
          <w:pPr>
            <w:spacing w:line="360" w:lineRule="auto"/>
            <w:ind w:firstLine="480" w:firstLineChars="200"/>
            <w:rPr>
              <w:rFonts w:hint="default" w:ascii="Times New Roman" w:hAnsi="Times New Roman" w:eastAsia="宋体" w:cs="Times New Roman"/>
              <w:bCs/>
              <w:snapToGrid w:val="0"/>
              <w:color w:val="auto"/>
              <w:kern w:val="0"/>
              <w:highlight w:val="none"/>
              <w:lang w:val="en-US" w:eastAsia="zh-CN"/>
            </w:rPr>
          </w:pPr>
          <w:r>
            <w:rPr>
              <w:rFonts w:hint="eastAsia" w:cs="Times New Roman"/>
              <w:bCs/>
              <w:snapToGrid w:val="0"/>
              <w:color w:val="auto"/>
              <w:kern w:val="0"/>
              <w:highlight w:val="none"/>
              <w:lang w:val="en-US" w:eastAsia="zh-CN"/>
            </w:rPr>
            <w:t>附件4：和田北纬三十八度八农业发展有限公司日处理番茄750吨生产线、预制菜5000吨年（番茄丁块等）建设项目环评批复</w:t>
          </w:r>
        </w:p>
        <w:p w14:paraId="7542F69F">
          <w:pPr>
            <w:spacing w:line="360" w:lineRule="auto"/>
            <w:ind w:firstLine="480" w:firstLineChars="200"/>
            <w:rPr>
              <w:rFonts w:hint="default" w:ascii="Times New Roman" w:hAnsi="Times New Roman" w:cs="Times New Roman"/>
              <w:bCs/>
              <w:snapToGrid w:val="0"/>
              <w:color w:val="auto"/>
              <w:kern w:val="0"/>
              <w:highlight w:val="none"/>
            </w:rPr>
          </w:pPr>
        </w:p>
        <w:p w14:paraId="3BD7451D">
          <w:pPr>
            <w:spacing w:line="360" w:lineRule="auto"/>
            <w:ind w:firstLine="562"/>
            <w:rPr>
              <w:rFonts w:hint="default" w:ascii="Times New Roman" w:hAnsi="Times New Roman" w:cs="Times New Roman"/>
              <w:b/>
              <w:bCs/>
              <w:snapToGrid w:val="0"/>
              <w:color w:val="auto"/>
              <w:kern w:val="0"/>
              <w:highlight w:val="none"/>
            </w:rPr>
          </w:pPr>
          <w:r>
            <w:rPr>
              <w:rFonts w:hint="default" w:ascii="Times New Roman" w:hAnsi="Times New Roman" w:cs="Times New Roman"/>
              <w:b/>
              <w:bCs/>
              <w:snapToGrid w:val="0"/>
              <w:color w:val="auto"/>
              <w:kern w:val="0"/>
              <w:highlight w:val="none"/>
            </w:rPr>
            <w:t>附图：</w:t>
          </w:r>
        </w:p>
        <w:p w14:paraId="0DF1FA6B">
          <w:pPr>
            <w:spacing w:line="360" w:lineRule="auto"/>
            <w:ind w:firstLine="562"/>
            <w:rPr>
              <w:rFonts w:hint="default" w:ascii="Times New Roman" w:hAnsi="Times New Roman" w:cs="Times New Roman"/>
              <w:bCs/>
              <w:snapToGrid w:val="0"/>
              <w:color w:val="auto"/>
              <w:kern w:val="0"/>
              <w:highlight w:val="none"/>
            </w:rPr>
          </w:pPr>
          <w:r>
            <w:rPr>
              <w:rFonts w:hint="default" w:ascii="Times New Roman" w:hAnsi="Times New Roman" w:cs="Times New Roman"/>
              <w:bCs/>
              <w:snapToGrid w:val="0"/>
              <w:color w:val="auto"/>
              <w:kern w:val="0"/>
              <w:highlight w:val="none"/>
            </w:rPr>
            <w:t>附图1：地理位置</w:t>
          </w:r>
          <w:r>
            <w:rPr>
              <w:rFonts w:hint="eastAsia" w:cs="Times New Roman"/>
              <w:bCs/>
              <w:snapToGrid w:val="0"/>
              <w:color w:val="auto"/>
              <w:kern w:val="0"/>
              <w:highlight w:val="none"/>
              <w:lang w:val="en-US" w:eastAsia="zh-CN"/>
            </w:rPr>
            <w:t>示意</w:t>
          </w:r>
          <w:r>
            <w:rPr>
              <w:rFonts w:hint="default" w:ascii="Times New Roman" w:hAnsi="Times New Roman" w:cs="Times New Roman"/>
              <w:bCs/>
              <w:snapToGrid w:val="0"/>
              <w:color w:val="auto"/>
              <w:kern w:val="0"/>
              <w:highlight w:val="none"/>
            </w:rPr>
            <w:t>图</w:t>
          </w:r>
        </w:p>
        <w:p w14:paraId="73B3B1D5">
          <w:pPr>
            <w:spacing w:line="360" w:lineRule="auto"/>
            <w:ind w:firstLine="562"/>
            <w:rPr>
              <w:rFonts w:hint="default" w:ascii="Times New Roman" w:hAnsi="Times New Roman" w:cs="Times New Roman"/>
              <w:bCs/>
              <w:snapToGrid w:val="0"/>
              <w:color w:val="auto"/>
              <w:kern w:val="0"/>
              <w:highlight w:val="none"/>
            </w:rPr>
          </w:pPr>
          <w:r>
            <w:rPr>
              <w:rFonts w:hint="default" w:ascii="Times New Roman" w:hAnsi="Times New Roman" w:cs="Times New Roman"/>
              <w:bCs/>
              <w:snapToGrid w:val="0"/>
              <w:color w:val="auto"/>
              <w:kern w:val="0"/>
              <w:highlight w:val="none"/>
            </w:rPr>
            <w:t>附图2：本项目与生态保护红线位置示意图</w:t>
          </w:r>
        </w:p>
        <w:p w14:paraId="40776F06">
          <w:pPr>
            <w:spacing w:line="360" w:lineRule="auto"/>
            <w:ind w:firstLine="562"/>
            <w:rPr>
              <w:rFonts w:hint="default" w:ascii="Times New Roman" w:hAnsi="Times New Roman" w:cs="Times New Roman"/>
              <w:bCs/>
              <w:snapToGrid w:val="0"/>
              <w:color w:val="auto"/>
              <w:kern w:val="0"/>
              <w:highlight w:val="none"/>
            </w:rPr>
          </w:pPr>
          <w:bookmarkStart w:id="9" w:name="_Hlk165064330"/>
          <w:r>
            <w:rPr>
              <w:rFonts w:hint="default" w:ascii="Times New Roman" w:hAnsi="Times New Roman" w:cs="Times New Roman"/>
              <w:bCs/>
              <w:snapToGrid w:val="0"/>
              <w:color w:val="auto"/>
              <w:kern w:val="0"/>
              <w:highlight w:val="none"/>
            </w:rPr>
            <w:t>附图3：</w:t>
          </w:r>
          <w:bookmarkEnd w:id="9"/>
          <w:r>
            <w:rPr>
              <w:rFonts w:hint="default" w:ascii="Times New Roman" w:hAnsi="Times New Roman" w:cs="Times New Roman"/>
              <w:bCs/>
              <w:snapToGrid w:val="0"/>
              <w:color w:val="auto"/>
              <w:kern w:val="0"/>
              <w:highlight w:val="none"/>
            </w:rPr>
            <w:t>本项目与</w:t>
          </w:r>
          <w:r>
            <w:rPr>
              <w:rFonts w:hint="eastAsia" w:cs="Times New Roman"/>
              <w:bCs/>
              <w:snapToGrid w:val="0"/>
              <w:color w:val="auto"/>
              <w:kern w:val="0"/>
              <w:highlight w:val="none"/>
              <w:lang w:val="en-US" w:eastAsia="zh-CN"/>
            </w:rPr>
            <w:t>民丰县生态环境分区管控单元</w:t>
          </w:r>
          <w:r>
            <w:rPr>
              <w:rFonts w:hint="default" w:ascii="Times New Roman" w:hAnsi="Times New Roman" w:cs="Times New Roman"/>
              <w:bCs/>
              <w:snapToGrid w:val="0"/>
              <w:color w:val="auto"/>
              <w:kern w:val="0"/>
              <w:highlight w:val="none"/>
            </w:rPr>
            <w:t>位置示意图</w:t>
          </w:r>
        </w:p>
        <w:p w14:paraId="2C4343FA">
          <w:pPr>
            <w:spacing w:line="360" w:lineRule="auto"/>
            <w:ind w:firstLine="562"/>
            <w:rPr>
              <w:rFonts w:hint="default" w:ascii="Times New Roman" w:hAnsi="Times New Roman" w:cs="Times New Roman"/>
              <w:bCs/>
              <w:snapToGrid w:val="0"/>
              <w:color w:val="auto"/>
              <w:kern w:val="0"/>
              <w:highlight w:val="none"/>
            </w:rPr>
          </w:pPr>
          <w:r>
            <w:rPr>
              <w:rFonts w:hint="default" w:ascii="Times New Roman" w:hAnsi="Times New Roman" w:cs="Times New Roman"/>
              <w:bCs/>
              <w:snapToGrid w:val="0"/>
              <w:color w:val="auto"/>
              <w:kern w:val="0"/>
              <w:highlight w:val="none"/>
            </w:rPr>
            <w:t>附图4：新疆重点开发区分布图</w:t>
          </w:r>
        </w:p>
        <w:p w14:paraId="162D3207">
          <w:pPr>
            <w:spacing w:line="360" w:lineRule="auto"/>
            <w:ind w:firstLine="562"/>
            <w:rPr>
              <w:rFonts w:hint="default" w:ascii="Times New Roman" w:hAnsi="Times New Roman" w:cs="Times New Roman"/>
              <w:bCs/>
              <w:snapToGrid w:val="0"/>
              <w:color w:val="auto"/>
              <w:kern w:val="0"/>
              <w:highlight w:val="none"/>
            </w:rPr>
          </w:pPr>
          <w:r>
            <w:rPr>
              <w:rFonts w:hint="default" w:ascii="Times New Roman" w:hAnsi="Times New Roman" w:cs="Times New Roman"/>
              <w:bCs/>
              <w:snapToGrid w:val="0"/>
              <w:color w:val="auto"/>
              <w:kern w:val="0"/>
              <w:highlight w:val="none"/>
            </w:rPr>
            <w:t>附图5：新疆禁止开发区分布图</w:t>
          </w:r>
        </w:p>
        <w:p w14:paraId="4EC344BB">
          <w:pPr>
            <w:spacing w:line="360" w:lineRule="auto"/>
            <w:ind w:firstLine="562"/>
            <w:rPr>
              <w:rFonts w:hint="default" w:ascii="Times New Roman" w:hAnsi="Times New Roman" w:cs="Times New Roman"/>
              <w:bCs/>
              <w:snapToGrid w:val="0"/>
              <w:color w:val="auto"/>
              <w:kern w:val="0"/>
              <w:highlight w:val="none"/>
            </w:rPr>
          </w:pPr>
          <w:r>
            <w:rPr>
              <w:rFonts w:hint="default" w:ascii="Times New Roman" w:hAnsi="Times New Roman" w:cs="Times New Roman"/>
              <w:bCs/>
              <w:snapToGrid w:val="0"/>
              <w:color w:val="auto"/>
              <w:kern w:val="0"/>
              <w:highlight w:val="none"/>
            </w:rPr>
            <w:t>附图6：新疆主体功能区划分总图</w:t>
          </w:r>
        </w:p>
        <w:p w14:paraId="0F46CFE8">
          <w:pPr>
            <w:spacing w:line="360" w:lineRule="auto"/>
            <w:ind w:firstLine="562"/>
            <w:rPr>
              <w:rFonts w:hint="default" w:ascii="Times New Roman" w:hAnsi="Times New Roman" w:cs="Times New Roman"/>
              <w:bCs/>
              <w:snapToGrid w:val="0"/>
              <w:color w:val="auto"/>
              <w:kern w:val="0"/>
              <w:highlight w:val="none"/>
            </w:rPr>
          </w:pPr>
          <w:r>
            <w:rPr>
              <w:rFonts w:hint="default" w:ascii="Times New Roman" w:hAnsi="Times New Roman" w:cs="Times New Roman"/>
              <w:bCs/>
              <w:snapToGrid w:val="0"/>
              <w:color w:val="auto"/>
              <w:kern w:val="0"/>
              <w:highlight w:val="none"/>
            </w:rPr>
            <w:t>附图7：项目区平面布置图</w:t>
          </w:r>
        </w:p>
        <w:p w14:paraId="3019F8E8">
          <w:pPr>
            <w:spacing w:line="360" w:lineRule="auto"/>
            <w:ind w:firstLine="562"/>
            <w:rPr>
              <w:rFonts w:hint="default" w:ascii="Times New Roman" w:hAnsi="Times New Roman" w:eastAsia="宋体" w:cs="Times New Roman"/>
              <w:bCs/>
              <w:snapToGrid w:val="0"/>
              <w:color w:val="auto"/>
              <w:kern w:val="0"/>
              <w:highlight w:val="none"/>
              <w:lang w:val="en-US" w:eastAsia="zh-CN"/>
            </w:rPr>
          </w:pPr>
          <w:r>
            <w:rPr>
              <w:rFonts w:hint="eastAsia" w:cs="Times New Roman"/>
              <w:bCs/>
              <w:snapToGrid w:val="0"/>
              <w:color w:val="auto"/>
              <w:kern w:val="0"/>
              <w:highlight w:val="none"/>
              <w:lang w:val="en-US" w:eastAsia="zh-CN"/>
            </w:rPr>
            <w:t>附图8：拟建项目水平衡图（单位：</w:t>
          </w:r>
          <w:r>
            <w:rPr>
              <w:rFonts w:hint="default" w:ascii="Times New Roman" w:hAnsi="Times New Roman" w:cs="Times New Roman"/>
              <w:bCs/>
              <w:snapToGrid w:val="0"/>
              <w:color w:val="auto"/>
              <w:kern w:val="0"/>
              <w:highlight w:val="none"/>
            </w:rPr>
            <w:t>m³/d</w:t>
          </w:r>
          <w:r>
            <w:rPr>
              <w:rFonts w:hint="eastAsia" w:cs="Times New Roman"/>
              <w:bCs/>
              <w:snapToGrid w:val="0"/>
              <w:color w:val="auto"/>
              <w:kern w:val="0"/>
              <w:highlight w:val="none"/>
              <w:lang w:val="en-US" w:eastAsia="zh-CN"/>
            </w:rPr>
            <w:t>）</w:t>
          </w:r>
        </w:p>
        <w:p w14:paraId="4BCECAF0">
          <w:pPr>
            <w:spacing w:line="360" w:lineRule="auto"/>
            <w:ind w:firstLine="562"/>
            <w:rPr>
              <w:rFonts w:hint="default" w:ascii="Times New Roman" w:hAnsi="Times New Roman" w:cs="Times New Roman"/>
              <w:bCs/>
              <w:snapToGrid w:val="0"/>
              <w:color w:val="auto"/>
              <w:kern w:val="0"/>
              <w:highlight w:val="none"/>
            </w:rPr>
          </w:pPr>
          <w:r>
            <w:rPr>
              <w:rFonts w:hint="default" w:ascii="Times New Roman" w:hAnsi="Times New Roman" w:cs="Times New Roman"/>
              <w:bCs/>
              <w:snapToGrid w:val="0"/>
              <w:color w:val="auto"/>
              <w:kern w:val="0"/>
              <w:highlight w:val="none"/>
            </w:rPr>
            <w:t>附图</w:t>
          </w:r>
          <w:r>
            <w:rPr>
              <w:rFonts w:hint="eastAsia" w:cs="Times New Roman"/>
              <w:bCs/>
              <w:snapToGrid w:val="0"/>
              <w:color w:val="auto"/>
              <w:kern w:val="0"/>
              <w:highlight w:val="none"/>
              <w:lang w:val="en-US" w:eastAsia="zh-CN"/>
            </w:rPr>
            <w:t>9</w:t>
          </w:r>
          <w:r>
            <w:rPr>
              <w:rFonts w:hint="default" w:ascii="Times New Roman" w:hAnsi="Times New Roman" w:cs="Times New Roman"/>
              <w:bCs/>
              <w:snapToGrid w:val="0"/>
              <w:color w:val="auto"/>
              <w:kern w:val="0"/>
              <w:highlight w:val="none"/>
            </w:rPr>
            <w:t>：施工期工艺流程及产生节点图</w:t>
          </w:r>
        </w:p>
        <w:p w14:paraId="4ED18EC6">
          <w:pPr>
            <w:spacing w:line="360" w:lineRule="auto"/>
            <w:ind w:firstLine="562"/>
            <w:rPr>
              <w:rFonts w:hint="default" w:ascii="Times New Roman" w:hAnsi="Times New Roman" w:cs="Times New Roman"/>
              <w:bCs/>
              <w:snapToGrid w:val="0"/>
              <w:color w:val="auto"/>
              <w:kern w:val="0"/>
              <w:highlight w:val="none"/>
            </w:rPr>
            <w:sectPr>
              <w:headerReference r:id="rId4" w:type="default"/>
              <w:footerReference r:id="rId5" w:type="default"/>
              <w:pgSz w:w="11906" w:h="16838"/>
              <w:pgMar w:top="1701" w:right="1361" w:bottom="1701" w:left="1361" w:header="1247" w:footer="1361" w:gutter="0"/>
              <w:pgBorders>
                <w:top w:val="none" w:sz="0" w:space="0"/>
                <w:left w:val="none" w:sz="0" w:space="0"/>
                <w:bottom w:val="none" w:sz="0" w:space="0"/>
                <w:right w:val="none" w:sz="0" w:space="0"/>
              </w:pgBorders>
              <w:pgNumType w:fmt="upperRoman" w:start="1"/>
              <w:cols w:space="720" w:num="1"/>
              <w:docGrid w:linePitch="312" w:charSpace="0"/>
            </w:sectPr>
          </w:pPr>
        </w:p>
      </w:sdtContent>
    </w:sdt>
    <w:bookmarkEnd w:id="8"/>
    <w:p w14:paraId="16BBA34E">
      <w:pPr>
        <w:pStyle w:val="26"/>
        <w:numPr>
          <w:ilvl w:val="0"/>
          <w:numId w:val="4"/>
        </w:numPr>
        <w:rPr>
          <w:rFonts w:hint="default" w:ascii="Times New Roman" w:hAnsi="Times New Roman" w:cs="Times New Roman"/>
          <w:b/>
          <w:color w:val="auto"/>
          <w:sz w:val="32"/>
          <w:highlight w:val="none"/>
        </w:rPr>
      </w:pPr>
      <w:bookmarkStart w:id="10" w:name="_Toc26124"/>
      <w:bookmarkStart w:id="11" w:name="_Toc11771"/>
      <w:r>
        <w:rPr>
          <w:rFonts w:hint="default" w:ascii="Times New Roman" w:hAnsi="Times New Roman" w:cs="Times New Roman"/>
          <w:b/>
          <w:color w:val="auto"/>
          <w:sz w:val="32"/>
          <w:highlight w:val="none"/>
        </w:rPr>
        <w:t>建设项目基本情况</w:t>
      </w:r>
      <w:bookmarkEnd w:id="10"/>
      <w:bookmarkEnd w:id="11"/>
    </w:p>
    <w:tbl>
      <w:tblPr>
        <w:tblStyle w:val="30"/>
        <w:tblW w:w="48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039"/>
        <w:gridCol w:w="2125"/>
        <w:gridCol w:w="1749"/>
        <w:gridCol w:w="3091"/>
      </w:tblGrid>
      <w:tr w14:paraId="783F0E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32" w:type="pct"/>
            <w:tcMar>
              <w:top w:w="16" w:type="dxa"/>
              <w:left w:w="16" w:type="dxa"/>
              <w:right w:w="16" w:type="dxa"/>
            </w:tcMar>
            <w:vAlign w:val="center"/>
          </w:tcPr>
          <w:p w14:paraId="1EDD3989">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建设项目名称</w:t>
            </w:r>
          </w:p>
        </w:tc>
        <w:tc>
          <w:tcPr>
            <w:tcW w:w="3867" w:type="pct"/>
            <w:gridSpan w:val="3"/>
            <w:vAlign w:val="center"/>
          </w:tcPr>
          <w:p w14:paraId="3B312DA9">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民丰产业园果品分选线和NFC汁生产线项目</w:t>
            </w:r>
          </w:p>
        </w:tc>
      </w:tr>
      <w:tr w14:paraId="172367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1132" w:type="pct"/>
            <w:tcMar>
              <w:top w:w="16" w:type="dxa"/>
              <w:left w:w="16" w:type="dxa"/>
              <w:right w:w="16" w:type="dxa"/>
            </w:tcMar>
            <w:vAlign w:val="center"/>
          </w:tcPr>
          <w:p w14:paraId="039AA145">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项目代码</w:t>
            </w:r>
          </w:p>
        </w:tc>
        <w:tc>
          <w:tcPr>
            <w:tcW w:w="3867" w:type="pct"/>
            <w:gridSpan w:val="3"/>
            <w:vAlign w:val="center"/>
          </w:tcPr>
          <w:p w14:paraId="5E02BA94">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2601-660700-04-01-543639</w:t>
            </w:r>
          </w:p>
        </w:tc>
      </w:tr>
      <w:tr w14:paraId="4BAD20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132" w:type="pct"/>
            <w:tcMar>
              <w:top w:w="16" w:type="dxa"/>
              <w:left w:w="16" w:type="dxa"/>
              <w:right w:w="16" w:type="dxa"/>
            </w:tcMar>
            <w:vAlign w:val="center"/>
          </w:tcPr>
          <w:p w14:paraId="3E66165A">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建设单位联系人</w:t>
            </w:r>
          </w:p>
        </w:tc>
        <w:tc>
          <w:tcPr>
            <w:tcW w:w="1180" w:type="pct"/>
            <w:vAlign w:val="center"/>
          </w:tcPr>
          <w:p w14:paraId="6D9B0747">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周建安</w:t>
            </w:r>
          </w:p>
        </w:tc>
        <w:tc>
          <w:tcPr>
            <w:tcW w:w="971" w:type="pct"/>
            <w:vAlign w:val="center"/>
          </w:tcPr>
          <w:p w14:paraId="39BE66BE">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联系方式</w:t>
            </w:r>
          </w:p>
        </w:tc>
        <w:tc>
          <w:tcPr>
            <w:tcW w:w="1716" w:type="pct"/>
            <w:vAlign w:val="center"/>
          </w:tcPr>
          <w:p w14:paraId="7DBB8598">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13565728566</w:t>
            </w:r>
          </w:p>
        </w:tc>
      </w:tr>
      <w:tr w14:paraId="04095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1132" w:type="pct"/>
            <w:tcMar>
              <w:top w:w="16" w:type="dxa"/>
              <w:left w:w="16" w:type="dxa"/>
              <w:right w:w="16" w:type="dxa"/>
            </w:tcMar>
            <w:vAlign w:val="center"/>
          </w:tcPr>
          <w:p w14:paraId="4AA01756">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建设地点</w:t>
            </w:r>
          </w:p>
        </w:tc>
        <w:tc>
          <w:tcPr>
            <w:tcW w:w="3867" w:type="pct"/>
            <w:gridSpan w:val="3"/>
            <w:vAlign w:val="center"/>
          </w:tcPr>
          <w:p w14:paraId="65A68D12">
            <w:pPr>
              <w:adjustRightInd w:val="0"/>
              <w:snapToGrid w:val="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民丰产业园</w:t>
            </w:r>
          </w:p>
        </w:tc>
      </w:tr>
      <w:tr w14:paraId="25CAA9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2039" w:type="dxa"/>
            <w:tcMar>
              <w:top w:w="16" w:type="dxa"/>
              <w:left w:w="16" w:type="dxa"/>
              <w:right w:w="16" w:type="dxa"/>
            </w:tcMar>
            <w:vAlign w:val="top"/>
          </w:tcPr>
          <w:p w14:paraId="4E2114CA">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地理坐标</w:t>
            </w:r>
          </w:p>
        </w:tc>
        <w:tc>
          <w:tcPr>
            <w:tcW w:w="6965" w:type="dxa"/>
            <w:gridSpan w:val="3"/>
            <w:vAlign w:val="top"/>
          </w:tcPr>
          <w:p w14:paraId="51925333">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（东经 </w:t>
            </w:r>
            <w:r>
              <w:rPr>
                <w:rFonts w:hint="eastAsia" w:ascii="Times New Roman" w:hAnsi="Times New Roman" w:cs="Times New Roman"/>
                <w:color w:val="auto"/>
                <w:highlight w:val="none"/>
                <w:lang w:val="en-US" w:eastAsia="zh-CN"/>
              </w:rPr>
              <w:t>82</w:t>
            </w:r>
            <w:r>
              <w:rPr>
                <w:rFonts w:hint="default" w:ascii="Times New Roman" w:hAnsi="Times New Roman" w:cs="Times New Roman"/>
                <w:color w:val="auto"/>
                <w:highlight w:val="none"/>
              </w:rPr>
              <w:t>度</w:t>
            </w:r>
            <w:r>
              <w:rPr>
                <w:rFonts w:hint="eastAsia" w:ascii="Times New Roman" w:hAnsi="Times New Roman" w:cs="Times New Roman"/>
                <w:color w:val="auto"/>
                <w:highlight w:val="none"/>
                <w:lang w:val="en-US" w:eastAsia="zh-CN"/>
              </w:rPr>
              <w:t>44</w:t>
            </w:r>
            <w:r>
              <w:rPr>
                <w:rFonts w:hint="default" w:ascii="Times New Roman" w:hAnsi="Times New Roman" w:cs="Times New Roman"/>
                <w:color w:val="auto"/>
                <w:highlight w:val="none"/>
              </w:rPr>
              <w:t>分</w:t>
            </w:r>
            <w:r>
              <w:rPr>
                <w:rFonts w:hint="eastAsia" w:cs="Times New Roman"/>
                <w:color w:val="auto"/>
                <w:highlight w:val="none"/>
                <w:lang w:val="en-US" w:eastAsia="zh-CN"/>
              </w:rPr>
              <w:t>51.9673</w:t>
            </w:r>
            <w:r>
              <w:rPr>
                <w:rFonts w:hint="default" w:ascii="Times New Roman" w:hAnsi="Times New Roman" w:cs="Times New Roman"/>
                <w:color w:val="auto"/>
                <w:highlight w:val="none"/>
              </w:rPr>
              <w:t xml:space="preserve">秒，北纬 </w:t>
            </w:r>
            <w:r>
              <w:rPr>
                <w:rFonts w:hint="eastAsia" w:ascii="Times New Roman" w:hAnsi="Times New Roman" w:cs="Times New Roman"/>
                <w:color w:val="auto"/>
                <w:highlight w:val="none"/>
                <w:lang w:val="en-US" w:eastAsia="zh-CN"/>
              </w:rPr>
              <w:t>37</w:t>
            </w:r>
            <w:r>
              <w:rPr>
                <w:rFonts w:hint="default" w:ascii="Times New Roman" w:hAnsi="Times New Roman" w:cs="Times New Roman"/>
                <w:color w:val="auto"/>
                <w:highlight w:val="none"/>
              </w:rPr>
              <w:t>度</w:t>
            </w:r>
            <w:r>
              <w:rPr>
                <w:rFonts w:hint="eastAsia" w:ascii="Times New Roman" w:hAnsi="Times New Roman" w:cs="Times New Roman"/>
                <w:color w:val="auto"/>
                <w:highlight w:val="none"/>
                <w:lang w:val="en-US" w:eastAsia="zh-CN"/>
              </w:rPr>
              <w:t>00</w:t>
            </w:r>
            <w:r>
              <w:rPr>
                <w:rFonts w:hint="default" w:ascii="Times New Roman" w:hAnsi="Times New Roman" w:cs="Times New Roman"/>
                <w:color w:val="auto"/>
                <w:highlight w:val="none"/>
              </w:rPr>
              <w:t>分58.0980秒）</w:t>
            </w:r>
          </w:p>
        </w:tc>
      </w:tr>
      <w:tr w14:paraId="6FE512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39" w:type="dxa"/>
            <w:tcMar>
              <w:top w:w="16" w:type="dxa"/>
              <w:left w:w="16" w:type="dxa"/>
              <w:right w:w="16" w:type="dxa"/>
            </w:tcMar>
            <w:vAlign w:val="center"/>
          </w:tcPr>
          <w:p w14:paraId="2DB6A3CE">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国民经济行业类别</w:t>
            </w:r>
          </w:p>
        </w:tc>
        <w:tc>
          <w:tcPr>
            <w:tcW w:w="1708" w:type="dxa"/>
            <w:vAlign w:val="center"/>
          </w:tcPr>
          <w:p w14:paraId="65256800">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C 1523  果菜汁及果菜汁饮料制造</w:t>
            </w:r>
          </w:p>
        </w:tc>
        <w:tc>
          <w:tcPr>
            <w:tcW w:w="1862" w:type="dxa"/>
            <w:vAlign w:val="center"/>
          </w:tcPr>
          <w:p w14:paraId="4E494D29">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建设项目行业类别</w:t>
            </w:r>
          </w:p>
        </w:tc>
        <w:tc>
          <w:tcPr>
            <w:tcW w:w="3395" w:type="dxa"/>
            <w:vAlign w:val="center"/>
          </w:tcPr>
          <w:p w14:paraId="3C4276AB">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十二、酒、饮料制造业 15 26 、饮料制造 152</w:t>
            </w:r>
          </w:p>
        </w:tc>
      </w:tr>
      <w:tr w14:paraId="29D7F4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39" w:type="dxa"/>
            <w:tcMar>
              <w:top w:w="16" w:type="dxa"/>
              <w:left w:w="16" w:type="dxa"/>
              <w:right w:w="16" w:type="dxa"/>
            </w:tcMar>
            <w:vAlign w:val="center"/>
          </w:tcPr>
          <w:p w14:paraId="10D78BC9">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建设性质</w:t>
            </w:r>
          </w:p>
        </w:tc>
        <w:tc>
          <w:tcPr>
            <w:tcW w:w="1708" w:type="dxa"/>
            <w:vAlign w:val="center"/>
          </w:tcPr>
          <w:p w14:paraId="75ABA859">
            <w:pPr>
              <w:adjustRightInd w:val="0"/>
              <w:snapToGrid w:val="0"/>
              <w:jc w:val="both"/>
              <w:rPr>
                <w:rFonts w:hint="default" w:ascii="Times New Roman" w:hAnsi="Times New Roman" w:cs="Times New Roman"/>
                <w:color w:val="auto"/>
                <w:highlight w:val="none"/>
              </w:rPr>
            </w:pPr>
            <w:r>
              <w:rPr>
                <w:rFonts w:hint="eastAsia" w:cs="Times New Roman"/>
                <w:color w:val="auto"/>
                <w:highlight w:val="none"/>
                <w:lang w:eastAsia="zh-CN"/>
              </w:rPr>
              <w:t>□</w:t>
            </w:r>
            <w:r>
              <w:rPr>
                <w:rFonts w:hint="default" w:ascii="Times New Roman" w:hAnsi="Times New Roman" w:cs="Times New Roman"/>
                <w:color w:val="auto"/>
                <w:highlight w:val="none"/>
              </w:rPr>
              <w:t>新建（迁建）</w:t>
            </w:r>
          </w:p>
          <w:p w14:paraId="29B7F96B">
            <w:pPr>
              <w:adjustRightInd w:val="0"/>
              <w:snapToGrid w:val="0"/>
              <w:jc w:val="both"/>
              <w:rPr>
                <w:rFonts w:hint="default" w:ascii="Times New Roman" w:hAnsi="Times New Roman" w:cs="Times New Roman"/>
                <w:color w:val="auto"/>
                <w:highlight w:val="none"/>
              </w:rPr>
            </w:pPr>
            <w:r>
              <w:rPr>
                <w:rFonts w:hint="eastAsia" w:cs="Times New Roman"/>
                <w:color w:val="auto"/>
                <w:highlight w:val="none"/>
                <w:lang w:eastAsia="zh-CN"/>
              </w:rPr>
              <w:t>☑</w:t>
            </w:r>
            <w:r>
              <w:rPr>
                <w:rFonts w:hint="default" w:ascii="Times New Roman" w:hAnsi="Times New Roman" w:cs="Times New Roman"/>
                <w:color w:val="auto"/>
                <w:highlight w:val="none"/>
              </w:rPr>
              <w:t>改建</w:t>
            </w:r>
          </w:p>
          <w:p w14:paraId="6DEA33B0">
            <w:pPr>
              <w:adjustRightInd w:val="0"/>
              <w:snapToGrid w:val="0"/>
              <w:jc w:val="both"/>
              <w:rPr>
                <w:rFonts w:hint="default" w:ascii="Times New Roman" w:hAnsi="Times New Roman" w:cs="Times New Roman"/>
                <w:color w:val="auto"/>
                <w:highlight w:val="none"/>
              </w:rPr>
            </w:pPr>
            <w:r>
              <w:rPr>
                <w:rFonts w:hint="eastAsia" w:cs="Times New Roman"/>
                <w:color w:val="auto"/>
                <w:highlight w:val="none"/>
                <w:lang w:eastAsia="zh-CN"/>
              </w:rPr>
              <w:t>☑</w:t>
            </w:r>
            <w:r>
              <w:rPr>
                <w:rFonts w:hint="default" w:ascii="Times New Roman" w:hAnsi="Times New Roman" w:cs="Times New Roman"/>
                <w:color w:val="auto"/>
                <w:highlight w:val="none"/>
              </w:rPr>
              <w:t>扩建</w:t>
            </w:r>
          </w:p>
          <w:p w14:paraId="5285C943">
            <w:pPr>
              <w:adjustRightInd w:val="0"/>
              <w:snapToGrid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技术改造</w:t>
            </w:r>
          </w:p>
        </w:tc>
        <w:tc>
          <w:tcPr>
            <w:tcW w:w="1862" w:type="dxa"/>
            <w:vAlign w:val="center"/>
          </w:tcPr>
          <w:p w14:paraId="545743F1">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建设项目</w:t>
            </w:r>
          </w:p>
          <w:p w14:paraId="38AA2E40">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申报情形</w:t>
            </w:r>
          </w:p>
        </w:tc>
        <w:tc>
          <w:tcPr>
            <w:tcW w:w="3395" w:type="dxa"/>
            <w:vAlign w:val="center"/>
          </w:tcPr>
          <w:p w14:paraId="4B1CE15E">
            <w:pPr>
              <w:adjustRightInd w:val="0"/>
              <w:snapToGrid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☑首次申报项目</w:t>
            </w:r>
          </w:p>
          <w:p w14:paraId="619BEBD7">
            <w:pPr>
              <w:adjustRightInd w:val="0"/>
              <w:snapToGrid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□不予批准后再次申报项目</w:t>
            </w:r>
          </w:p>
          <w:p w14:paraId="6684A4C2">
            <w:pPr>
              <w:adjustRightInd w:val="0"/>
              <w:snapToGrid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□超五年重新审核项目</w:t>
            </w:r>
          </w:p>
          <w:p w14:paraId="152D7DFA">
            <w:pPr>
              <w:adjustRightInd w:val="0"/>
              <w:snapToGrid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□重大变动重新报批项目</w:t>
            </w:r>
          </w:p>
        </w:tc>
      </w:tr>
      <w:tr w14:paraId="36DF92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2039" w:type="dxa"/>
            <w:tcMar>
              <w:top w:w="16" w:type="dxa"/>
              <w:left w:w="16" w:type="dxa"/>
              <w:right w:w="16" w:type="dxa"/>
            </w:tcMar>
            <w:vAlign w:val="center"/>
          </w:tcPr>
          <w:p w14:paraId="22D5E928">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项目审批（核准/</w:t>
            </w:r>
          </w:p>
          <w:p w14:paraId="6BCAD23B">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备案）部门（选</w:t>
            </w:r>
          </w:p>
          <w:p w14:paraId="0A231BE0">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填）</w:t>
            </w:r>
          </w:p>
        </w:tc>
        <w:tc>
          <w:tcPr>
            <w:tcW w:w="1708" w:type="dxa"/>
            <w:vAlign w:val="center"/>
          </w:tcPr>
          <w:p w14:paraId="07F3A88B">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第</w:t>
            </w:r>
            <w:r>
              <w:rPr>
                <w:rFonts w:hint="default" w:ascii="Times New Roman" w:hAnsi="Times New Roman" w:cs="Times New Roman"/>
                <w:color w:val="auto"/>
                <w:highlight w:val="none"/>
                <w:lang w:val="en-US" w:eastAsia="zh-CN"/>
              </w:rPr>
              <w:t>七师胡杨河市</w:t>
            </w:r>
            <w:r>
              <w:rPr>
                <w:rFonts w:hint="default" w:ascii="Times New Roman" w:hAnsi="Times New Roman" w:cs="Times New Roman"/>
                <w:color w:val="auto"/>
                <w:highlight w:val="none"/>
              </w:rPr>
              <w:t>农业农村局</w:t>
            </w:r>
          </w:p>
        </w:tc>
        <w:tc>
          <w:tcPr>
            <w:tcW w:w="1862" w:type="dxa"/>
            <w:vAlign w:val="center"/>
          </w:tcPr>
          <w:p w14:paraId="45BD1DDB">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项目审批（核准/备案）文号（选填）</w:t>
            </w:r>
          </w:p>
        </w:tc>
        <w:tc>
          <w:tcPr>
            <w:tcW w:w="3395" w:type="dxa"/>
            <w:vAlign w:val="center"/>
          </w:tcPr>
          <w:p w14:paraId="0F6A4D5D">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师市农发〔2026〕4号</w:t>
            </w:r>
          </w:p>
        </w:tc>
      </w:tr>
      <w:tr w14:paraId="3563C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39" w:type="dxa"/>
            <w:tcMar>
              <w:top w:w="16" w:type="dxa"/>
              <w:left w:w="16" w:type="dxa"/>
              <w:right w:w="16" w:type="dxa"/>
            </w:tcMar>
            <w:vAlign w:val="center"/>
          </w:tcPr>
          <w:p w14:paraId="2D95EC1A">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总投资（万元）</w:t>
            </w:r>
          </w:p>
        </w:tc>
        <w:tc>
          <w:tcPr>
            <w:tcW w:w="1708" w:type="dxa"/>
            <w:vAlign w:val="center"/>
          </w:tcPr>
          <w:p w14:paraId="443E6C3D">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2164</w:t>
            </w:r>
          </w:p>
        </w:tc>
        <w:tc>
          <w:tcPr>
            <w:tcW w:w="1862" w:type="dxa"/>
            <w:tcMar>
              <w:top w:w="16" w:type="dxa"/>
              <w:left w:w="16" w:type="dxa"/>
              <w:right w:w="16" w:type="dxa"/>
            </w:tcMar>
            <w:vAlign w:val="center"/>
          </w:tcPr>
          <w:p w14:paraId="5D5848A4">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环保投资（万元）</w:t>
            </w:r>
          </w:p>
        </w:tc>
        <w:tc>
          <w:tcPr>
            <w:tcW w:w="3395" w:type="dxa"/>
            <w:vAlign w:val="center"/>
          </w:tcPr>
          <w:p w14:paraId="449AD228">
            <w:pPr>
              <w:adjustRightInd w:val="0"/>
              <w:snapToGrid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45</w:t>
            </w:r>
          </w:p>
        </w:tc>
      </w:tr>
      <w:tr w14:paraId="077BB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2039" w:type="dxa"/>
            <w:tcMar>
              <w:top w:w="16" w:type="dxa"/>
              <w:left w:w="16" w:type="dxa"/>
              <w:right w:w="16" w:type="dxa"/>
            </w:tcMar>
            <w:vAlign w:val="center"/>
          </w:tcPr>
          <w:p w14:paraId="7038D243">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环保投资占比</w:t>
            </w:r>
          </w:p>
          <w:p w14:paraId="1F4D7FDC">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708" w:type="dxa"/>
            <w:vAlign w:val="center"/>
          </w:tcPr>
          <w:p w14:paraId="4EAB476E">
            <w:pPr>
              <w:adjustRightInd w:val="0"/>
              <w:snapToGrid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2.1</w:t>
            </w:r>
          </w:p>
        </w:tc>
        <w:tc>
          <w:tcPr>
            <w:tcW w:w="1862" w:type="dxa"/>
            <w:tcMar>
              <w:top w:w="16" w:type="dxa"/>
              <w:left w:w="16" w:type="dxa"/>
              <w:right w:w="16" w:type="dxa"/>
            </w:tcMar>
            <w:vAlign w:val="center"/>
          </w:tcPr>
          <w:p w14:paraId="1446AC3C">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施工工期</w:t>
            </w:r>
          </w:p>
        </w:tc>
        <w:tc>
          <w:tcPr>
            <w:tcW w:w="3395" w:type="dxa"/>
            <w:vAlign w:val="center"/>
          </w:tcPr>
          <w:p w14:paraId="0AC8A2EC">
            <w:pPr>
              <w:adjustRightInd w:val="0"/>
              <w:snapToGrid w:val="0"/>
              <w:jc w:val="center"/>
              <w:rPr>
                <w:rFonts w:hint="default" w:ascii="Times New Roman" w:hAnsi="Times New Roman" w:cs="Times New Roman"/>
                <w:color w:val="auto"/>
                <w:highlight w:val="none"/>
              </w:rPr>
            </w:pPr>
            <w:r>
              <w:rPr>
                <w:rFonts w:hint="eastAsia" w:cs="Times New Roman"/>
                <w:color w:val="auto"/>
                <w:highlight w:val="none"/>
                <w:lang w:val="en-US" w:eastAsia="zh-CN"/>
              </w:rPr>
              <w:t>4</w:t>
            </w:r>
            <w:r>
              <w:rPr>
                <w:rFonts w:hint="default" w:ascii="Times New Roman" w:hAnsi="Times New Roman" w:cs="Times New Roman"/>
                <w:color w:val="auto"/>
                <w:highlight w:val="none"/>
              </w:rPr>
              <w:t>个月</w:t>
            </w:r>
          </w:p>
        </w:tc>
      </w:tr>
      <w:tr w14:paraId="669F71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39" w:type="dxa"/>
            <w:tcMar>
              <w:top w:w="16" w:type="dxa"/>
              <w:left w:w="16" w:type="dxa"/>
              <w:right w:w="16" w:type="dxa"/>
            </w:tcMar>
            <w:vAlign w:val="center"/>
          </w:tcPr>
          <w:p w14:paraId="54AB5CF4">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是否开工建设</w:t>
            </w:r>
          </w:p>
        </w:tc>
        <w:tc>
          <w:tcPr>
            <w:tcW w:w="1708" w:type="dxa"/>
            <w:vAlign w:val="center"/>
          </w:tcPr>
          <w:p w14:paraId="016E9DC5">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☑否</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是：</w:t>
            </w:r>
          </w:p>
        </w:tc>
        <w:tc>
          <w:tcPr>
            <w:tcW w:w="1862" w:type="dxa"/>
            <w:vAlign w:val="center"/>
          </w:tcPr>
          <w:p w14:paraId="017283BA">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用地（用海）</w:t>
            </w:r>
          </w:p>
          <w:p w14:paraId="00D384D6">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面积（</w:t>
            </w:r>
            <w:r>
              <w:rPr>
                <w:rFonts w:hint="default" w:ascii="Times New Roman" w:hAnsi="Times New Roman" w:cs="Times New Roman"/>
                <w:color w:val="auto"/>
                <w:highlight w:val="none"/>
                <w:lang w:eastAsia="zh-CN"/>
              </w:rPr>
              <w:t>m²</w:t>
            </w:r>
            <w:r>
              <w:rPr>
                <w:rFonts w:hint="default" w:ascii="Times New Roman" w:hAnsi="Times New Roman" w:eastAsia="宋体" w:cs="Times New Roman"/>
                <w:color w:val="auto"/>
                <w:highlight w:val="none"/>
              </w:rPr>
              <w:t>）</w:t>
            </w:r>
          </w:p>
        </w:tc>
        <w:tc>
          <w:tcPr>
            <w:tcW w:w="3395" w:type="dxa"/>
            <w:vAlign w:val="center"/>
          </w:tcPr>
          <w:p w14:paraId="0B6B8723">
            <w:pPr>
              <w:adjustRightInd w:val="0"/>
              <w:snapToGrid w:val="0"/>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4295.86</w:t>
            </w:r>
          </w:p>
        </w:tc>
      </w:tr>
      <w:tr w14:paraId="69F0EE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132" w:type="pct"/>
            <w:vAlign w:val="center"/>
          </w:tcPr>
          <w:p w14:paraId="1353FE87">
            <w:pPr>
              <w:adjustRightInd w:val="0"/>
              <w:snapToGrid w:val="0"/>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专项评价设置情况</w:t>
            </w:r>
          </w:p>
        </w:tc>
        <w:tc>
          <w:tcPr>
            <w:tcW w:w="3867" w:type="pct"/>
            <w:gridSpan w:val="3"/>
            <w:vAlign w:val="center"/>
          </w:tcPr>
          <w:p w14:paraId="2F1DD58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Cs/>
                <w:color w:val="auto"/>
                <w:highlight w:val="none"/>
              </w:rPr>
            </w:pPr>
            <w:r>
              <w:rPr>
                <w:rFonts w:hint="default" w:ascii="Times New Roman" w:hAnsi="Times New Roman" w:eastAsia="黑体" w:cs="Times New Roman"/>
                <w:bCs/>
                <w:color w:val="auto"/>
                <w:highlight w:val="none"/>
              </w:rPr>
              <w:t>表1-1  专项评价设置情况判定表</w:t>
            </w:r>
          </w:p>
          <w:tbl>
            <w:tblPr>
              <w:tblStyle w:val="30"/>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4458"/>
              <w:gridCol w:w="763"/>
              <w:gridCol w:w="578"/>
            </w:tblGrid>
            <w:tr w14:paraId="193A1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19" w:hRule="atLeast"/>
                <w:jc w:val="center"/>
              </w:trPr>
              <w:tc>
                <w:tcPr>
                  <w:tcW w:w="682" w:type="pct"/>
                  <w:vAlign w:val="center"/>
                </w:tcPr>
                <w:p w14:paraId="2613A7E8">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专项评价的类别</w:t>
                  </w:r>
                </w:p>
              </w:tc>
              <w:tc>
                <w:tcPr>
                  <w:tcW w:w="3318" w:type="pct"/>
                  <w:vAlign w:val="center"/>
                </w:tcPr>
                <w:p w14:paraId="7EAC82FB">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涉及项目类别</w:t>
                  </w:r>
                </w:p>
              </w:tc>
              <w:tc>
                <w:tcPr>
                  <w:tcW w:w="568" w:type="pct"/>
                  <w:vAlign w:val="center"/>
                </w:tcPr>
                <w:p w14:paraId="3F0FC291">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本项目情况</w:t>
                  </w:r>
                </w:p>
              </w:tc>
              <w:tc>
                <w:tcPr>
                  <w:tcW w:w="430" w:type="pct"/>
                  <w:vAlign w:val="center"/>
                </w:tcPr>
                <w:p w14:paraId="315D8F4A">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是否设置</w:t>
                  </w:r>
                </w:p>
              </w:tc>
            </w:tr>
            <w:tr w14:paraId="7F3504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6" w:type="dxa"/>
                  <w:vAlign w:val="center"/>
                </w:tcPr>
                <w:p w14:paraId="4FC16DE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大气</w:t>
                  </w:r>
                </w:p>
              </w:tc>
              <w:tc>
                <w:tcPr>
                  <w:tcW w:w="4458" w:type="dxa"/>
                  <w:vAlign w:val="center"/>
                </w:tcPr>
                <w:p w14:paraId="5BA77AE3">
                  <w:pPr>
                    <w:pStyle w:val="29"/>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排放废气含有毒有害污染物</w:t>
                  </w:r>
                  <w:r>
                    <w:rPr>
                      <w:rFonts w:hint="eastAsia" w:ascii="微软雅黑" w:hAnsi="微软雅黑" w:eastAsia="微软雅黑" w:cs="微软雅黑"/>
                      <w:color w:val="auto"/>
                      <w:sz w:val="18"/>
                      <w:szCs w:val="18"/>
                      <w:highlight w:val="none"/>
                      <w:lang w:val="en-US" w:eastAsia="zh-CN"/>
                    </w:rPr>
                    <w:t>¹</w:t>
                  </w:r>
                  <w:r>
                    <w:rPr>
                      <w:rFonts w:hint="default" w:ascii="Times New Roman" w:hAnsi="Times New Roman" w:cs="Times New Roman"/>
                      <w:color w:val="auto"/>
                      <w:sz w:val="18"/>
                      <w:szCs w:val="18"/>
                      <w:highlight w:val="none"/>
                      <w:lang w:val="en-US" w:eastAsia="zh-CN"/>
                    </w:rPr>
                    <w:t>、二噁英、苯并[a]芘、氰化物、氯气且厂界外500米范围内有环境空气保护目标²的建设项目</w:t>
                  </w:r>
                </w:p>
              </w:tc>
              <w:tc>
                <w:tcPr>
                  <w:tcW w:w="568" w:type="pct"/>
                  <w:vAlign w:val="center"/>
                </w:tcPr>
                <w:p w14:paraId="3217D856">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不涉及</w:t>
                  </w:r>
                </w:p>
              </w:tc>
              <w:tc>
                <w:tcPr>
                  <w:tcW w:w="430" w:type="pct"/>
                  <w:vAlign w:val="center"/>
                </w:tcPr>
                <w:p w14:paraId="2F27314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14:paraId="66D36D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6" w:type="dxa"/>
                  <w:vAlign w:val="center"/>
                </w:tcPr>
                <w:p w14:paraId="2250244A">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地表水</w:t>
                  </w:r>
                </w:p>
              </w:tc>
              <w:tc>
                <w:tcPr>
                  <w:tcW w:w="4458" w:type="dxa"/>
                  <w:vAlign w:val="center"/>
                </w:tcPr>
                <w:p w14:paraId="4B114204">
                  <w:pPr>
                    <w:pStyle w:val="29"/>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新增工业废水直排建设项目</w:t>
                  </w:r>
                  <w:r>
                    <w:rPr>
                      <w:rFonts w:hint="eastAsia"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槽罐车外送污水处理厂的除外</w:t>
                  </w:r>
                  <w:r>
                    <w:rPr>
                      <w:rFonts w:hint="eastAsia" w:cs="Times New Roman"/>
                      <w:color w:val="auto"/>
                      <w:sz w:val="18"/>
                      <w:szCs w:val="18"/>
                      <w:highlight w:val="none"/>
                      <w:lang w:val="en-US" w:eastAsia="zh-CN"/>
                    </w:rPr>
                    <w:t>）；</w:t>
                  </w:r>
                </w:p>
                <w:p w14:paraId="5F0EBA10">
                  <w:pPr>
                    <w:pStyle w:val="29"/>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新增废水直排的污水集中处理厂</w:t>
                  </w:r>
                </w:p>
              </w:tc>
              <w:tc>
                <w:tcPr>
                  <w:tcW w:w="568" w:type="pct"/>
                  <w:vAlign w:val="center"/>
                </w:tcPr>
                <w:p w14:paraId="57ABEB5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不涉及</w:t>
                  </w:r>
                </w:p>
              </w:tc>
              <w:tc>
                <w:tcPr>
                  <w:tcW w:w="430" w:type="pct"/>
                  <w:vAlign w:val="center"/>
                </w:tcPr>
                <w:p w14:paraId="519B9147">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14:paraId="528657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26F7FAF9">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环境风险</w:t>
                  </w:r>
                </w:p>
              </w:tc>
              <w:tc>
                <w:tcPr>
                  <w:tcW w:w="4458" w:type="dxa"/>
                  <w:vAlign w:val="center"/>
                </w:tcPr>
                <w:p w14:paraId="46F94554">
                  <w:pPr>
                    <w:pStyle w:val="29"/>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有毒有害和易燃易爆危险物质存储量超过临界量³的建设项目</w:t>
                  </w:r>
                </w:p>
              </w:tc>
              <w:tc>
                <w:tcPr>
                  <w:tcW w:w="568" w:type="pct"/>
                  <w:vAlign w:val="center"/>
                </w:tcPr>
                <w:p w14:paraId="0FB9F9F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不涉及</w:t>
                  </w:r>
                </w:p>
              </w:tc>
              <w:tc>
                <w:tcPr>
                  <w:tcW w:w="430" w:type="pct"/>
                  <w:vAlign w:val="center"/>
                </w:tcPr>
                <w:p w14:paraId="18249C2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14:paraId="3BBCC5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6" w:type="dxa"/>
                  <w:vAlign w:val="center"/>
                </w:tcPr>
                <w:p w14:paraId="68D4686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生态</w:t>
                  </w:r>
                </w:p>
              </w:tc>
              <w:tc>
                <w:tcPr>
                  <w:tcW w:w="4458" w:type="dxa"/>
                  <w:vAlign w:val="center"/>
                </w:tcPr>
                <w:p w14:paraId="56B7C294">
                  <w:pPr>
                    <w:pStyle w:val="29"/>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取水口下游500米范围内有重要水生生物的自然产卵场、索饵场、越冬场和洄游通道的新增河道取水的污染类建设项目</w:t>
                  </w:r>
                </w:p>
              </w:tc>
              <w:tc>
                <w:tcPr>
                  <w:tcW w:w="568" w:type="pct"/>
                  <w:vAlign w:val="center"/>
                </w:tcPr>
                <w:p w14:paraId="0B0C3BF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不涉及</w:t>
                  </w:r>
                </w:p>
              </w:tc>
              <w:tc>
                <w:tcPr>
                  <w:tcW w:w="430" w:type="pct"/>
                  <w:vAlign w:val="center"/>
                </w:tcPr>
                <w:p w14:paraId="5C40568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14:paraId="2316E9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6" w:type="dxa"/>
                  <w:vAlign w:val="center"/>
                </w:tcPr>
                <w:p w14:paraId="305243D8">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海洋</w:t>
                  </w:r>
                </w:p>
              </w:tc>
              <w:tc>
                <w:tcPr>
                  <w:tcW w:w="4458" w:type="dxa"/>
                  <w:vAlign w:val="center"/>
                </w:tcPr>
                <w:p w14:paraId="5D42BCD2">
                  <w:pPr>
                    <w:pStyle w:val="29"/>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直接向海排放污染物的海洋工程建设项目</w:t>
                  </w:r>
                </w:p>
              </w:tc>
              <w:tc>
                <w:tcPr>
                  <w:tcW w:w="568" w:type="pct"/>
                  <w:vAlign w:val="center"/>
                </w:tcPr>
                <w:p w14:paraId="0226AA97">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不涉及</w:t>
                  </w:r>
                </w:p>
              </w:tc>
              <w:tc>
                <w:tcPr>
                  <w:tcW w:w="430" w:type="pct"/>
                  <w:vAlign w:val="center"/>
                </w:tcPr>
                <w:p w14:paraId="61E0A64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14:paraId="5D986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vAlign w:val="center"/>
                </w:tcPr>
                <w:p w14:paraId="73BC061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环境风险</w:t>
                  </w:r>
                </w:p>
              </w:tc>
              <w:tc>
                <w:tcPr>
                  <w:tcW w:w="3318" w:type="pct"/>
                  <w:vAlign w:val="center"/>
                </w:tcPr>
                <w:p w14:paraId="55135016">
                  <w:pPr>
                    <w:pStyle w:val="29"/>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石油和天然气开采：全部；油气、液体化工码头：全部；原油、成品油、天然气管线（不含城镇天然气管线、企业厂区内管线），危险化学品输送管线（不含企业厂区内管线）：全部。</w:t>
                  </w:r>
                </w:p>
              </w:tc>
              <w:tc>
                <w:tcPr>
                  <w:tcW w:w="568" w:type="pct"/>
                  <w:vAlign w:val="center"/>
                </w:tcPr>
                <w:p w14:paraId="034B6743">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不涉及</w:t>
                  </w:r>
                </w:p>
              </w:tc>
              <w:tc>
                <w:tcPr>
                  <w:tcW w:w="430" w:type="pct"/>
                  <w:vAlign w:val="center"/>
                </w:tcPr>
                <w:p w14:paraId="6015DC2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bl>
          <w:p w14:paraId="324EF054">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highlight w:val="none"/>
              </w:rPr>
            </w:pPr>
            <w:r>
              <w:rPr>
                <w:rFonts w:hint="default" w:ascii="Times New Roman" w:hAnsi="Times New Roman" w:eastAsia="黑体" w:cs="Times New Roman"/>
                <w:color w:val="auto"/>
                <w:sz w:val="15"/>
                <w:szCs w:val="15"/>
                <w:highlight w:val="none"/>
              </w:rPr>
              <w:t>注：1.废气中有毒有害污染物指纳入《有毒有害大气污染物名录》的污染物（不包括无排放标准的污染物）。2.环境空气保护目标指自然保护区、风景名胜区、居住区、文化区和农村地区中人群较集中的区域。3.临界量及其计算方法可参考《建设项目环境风险评价技术导则》（HJ 169）附录 B、附录 C。</w:t>
            </w:r>
          </w:p>
        </w:tc>
      </w:tr>
      <w:tr w14:paraId="009329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132" w:type="pct"/>
            <w:vAlign w:val="center"/>
          </w:tcPr>
          <w:p w14:paraId="7BDE7943">
            <w:pPr>
              <w:autoSpaceDE w:val="0"/>
              <w:autoSpaceDN w:val="0"/>
              <w:adjustRightInd w:val="0"/>
              <w:snapToGrid w:val="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规划情况</w:t>
            </w:r>
          </w:p>
        </w:tc>
        <w:tc>
          <w:tcPr>
            <w:tcW w:w="3867" w:type="pct"/>
            <w:gridSpan w:val="3"/>
            <w:vAlign w:val="center"/>
          </w:tcPr>
          <w:p w14:paraId="4C8A82B1">
            <w:pPr>
              <w:autoSpaceDE w:val="0"/>
              <w:autoSpaceDN w:val="0"/>
              <w:adjustRightInd w:val="0"/>
              <w:snapToGrid w:val="0"/>
              <w:spacing w:line="360" w:lineRule="auto"/>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729C03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2" w:type="pct"/>
            <w:vAlign w:val="center"/>
          </w:tcPr>
          <w:p w14:paraId="78C25D93">
            <w:pPr>
              <w:autoSpaceDE w:val="0"/>
              <w:autoSpaceDN w:val="0"/>
              <w:adjustRightInd w:val="0"/>
              <w:snapToGrid w:val="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规划环境影响评价情况</w:t>
            </w:r>
          </w:p>
        </w:tc>
        <w:tc>
          <w:tcPr>
            <w:tcW w:w="3867" w:type="pct"/>
            <w:gridSpan w:val="3"/>
            <w:vAlign w:val="center"/>
          </w:tcPr>
          <w:p w14:paraId="261532F9">
            <w:pPr>
              <w:autoSpaceDE w:val="0"/>
              <w:autoSpaceDN w:val="0"/>
              <w:adjustRightInd w:val="0"/>
              <w:snapToGrid w:val="0"/>
              <w:spacing w:line="360" w:lineRule="auto"/>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4C6337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32" w:type="pct"/>
            <w:vAlign w:val="center"/>
          </w:tcPr>
          <w:p w14:paraId="25CEDE5E">
            <w:pPr>
              <w:autoSpaceDE w:val="0"/>
              <w:autoSpaceDN w:val="0"/>
              <w:adjustRightInd w:val="0"/>
              <w:snapToGrid w:val="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highlight w:val="none"/>
              </w:rPr>
              <w:t>规划及规划环境影响评价符合性分析</w:t>
            </w:r>
          </w:p>
        </w:tc>
        <w:tc>
          <w:tcPr>
            <w:tcW w:w="3867" w:type="pct"/>
            <w:gridSpan w:val="3"/>
            <w:vAlign w:val="center"/>
          </w:tcPr>
          <w:p w14:paraId="4BE37F35">
            <w:pPr>
              <w:autoSpaceDE w:val="0"/>
              <w:autoSpaceDN w:val="0"/>
              <w:adjustRightInd w:val="0"/>
              <w:snapToGrid w:val="0"/>
              <w:spacing w:line="360" w:lineRule="auto"/>
              <w:ind w:firstLine="480" w:firstLineChars="200"/>
              <w:jc w:val="both"/>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与民丰产业园总体规划的符合性分析</w:t>
            </w:r>
          </w:p>
          <w:p w14:paraId="23E72F12">
            <w:pPr>
              <w:autoSpaceDE w:val="0"/>
              <w:autoSpaceDN w:val="0"/>
              <w:adjustRightInd w:val="0"/>
              <w:snapToGrid w:val="0"/>
              <w:spacing w:line="360" w:lineRule="auto"/>
              <w:ind w:firstLine="480" w:firstLineChars="200"/>
              <w:jc w:val="both"/>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民丰产业园</w:t>
            </w:r>
            <w:r>
              <w:rPr>
                <w:rFonts w:hint="eastAsia" w:cs="Times New Roman"/>
                <w:color w:val="auto"/>
                <w:kern w:val="0"/>
                <w:szCs w:val="21"/>
                <w:highlight w:val="none"/>
                <w:lang w:val="en-US" w:eastAsia="zh-CN"/>
              </w:rPr>
              <w:t>包含1区四园，</w:t>
            </w:r>
            <w:r>
              <w:rPr>
                <w:rFonts w:hint="default" w:ascii="Times New Roman" w:hAnsi="Times New Roman" w:eastAsia="宋体" w:cs="Times New Roman"/>
                <w:color w:val="auto"/>
                <w:kern w:val="0"/>
                <w:szCs w:val="21"/>
                <w:highlight w:val="none"/>
                <w:lang w:val="en-US" w:eastAsia="zh-CN"/>
              </w:rPr>
              <w:t>分为7个地块，国土总面积74000.09hm²</w:t>
            </w:r>
            <w:r>
              <w:rPr>
                <w:rFonts w:hint="eastAsia" w:cs="Times New Roman"/>
                <w:color w:val="auto"/>
                <w:kern w:val="0"/>
                <w:szCs w:val="21"/>
                <w:highlight w:val="none"/>
                <w:lang w:val="en-US" w:eastAsia="zh-CN"/>
              </w:rPr>
              <w:t>，</w:t>
            </w:r>
            <w:r>
              <w:rPr>
                <w:rFonts w:hint="default" w:ascii="Times New Roman" w:hAnsi="Times New Roman" w:eastAsia="宋体" w:cs="Times New Roman"/>
                <w:color w:val="auto"/>
                <w:kern w:val="0"/>
                <w:szCs w:val="21"/>
                <w:highlight w:val="none"/>
                <w:lang w:val="en-US" w:eastAsia="zh-CN"/>
              </w:rPr>
              <w:t>位于若克雅乡域内</w:t>
            </w:r>
            <w:r>
              <w:rPr>
                <w:rFonts w:hint="eastAsia" w:ascii="Times New Roman" w:hAnsi="Times New Roman" w:cs="Times New Roman"/>
                <w:color w:val="auto"/>
                <w:kern w:val="0"/>
                <w:szCs w:val="21"/>
                <w:highlight w:val="none"/>
                <w:lang w:val="en-US" w:eastAsia="zh-CN"/>
              </w:rPr>
              <w:t>，</w:t>
            </w:r>
            <w:r>
              <w:rPr>
                <w:rFonts w:hint="default" w:ascii="Times New Roman" w:hAnsi="Times New Roman" w:eastAsia="宋体" w:cs="Times New Roman"/>
                <w:color w:val="auto"/>
                <w:kern w:val="0"/>
                <w:szCs w:val="21"/>
                <w:highlight w:val="none"/>
                <w:lang w:val="en-US" w:eastAsia="zh-CN"/>
              </w:rPr>
              <w:t>处于尼雅镇东南，和若铁路和西和高速之间，</w:t>
            </w:r>
            <w:r>
              <w:rPr>
                <w:rFonts w:hint="eastAsia" w:ascii="Times New Roman" w:hAnsi="Times New Roman" w:cs="Times New Roman"/>
                <w:color w:val="auto"/>
                <w:kern w:val="0"/>
                <w:szCs w:val="21"/>
                <w:highlight w:val="none"/>
                <w:lang w:val="en-US" w:eastAsia="zh-CN"/>
              </w:rPr>
              <w:t>西侧为G315国道，北西侧为民丰火车站，东南侧为2号地</w:t>
            </w:r>
            <w:r>
              <w:rPr>
                <w:rFonts w:hint="eastAsia" w:cs="Times New Roman"/>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南面与1号地相连</w:t>
            </w:r>
            <w:r>
              <w:rPr>
                <w:rFonts w:hint="eastAsia" w:cs="Times New Roman"/>
                <w:color w:val="auto"/>
                <w:kern w:val="0"/>
                <w:szCs w:val="21"/>
                <w:highlight w:val="none"/>
                <w:lang w:val="en-US" w:eastAsia="zh-CN"/>
              </w:rPr>
              <w:t>，</w:t>
            </w:r>
            <w:r>
              <w:rPr>
                <w:rFonts w:hint="default" w:ascii="Times New Roman" w:hAnsi="Times New Roman" w:eastAsia="宋体" w:cs="Times New Roman"/>
                <w:color w:val="auto"/>
                <w:kern w:val="0"/>
                <w:szCs w:val="21"/>
                <w:highlight w:val="none"/>
                <w:lang w:val="en-US" w:eastAsia="zh-CN"/>
              </w:rPr>
              <w:t>面积705.42hm²，距民丰县城直线距离8.3km。</w:t>
            </w:r>
          </w:p>
          <w:p w14:paraId="3828D0A9">
            <w:pPr>
              <w:autoSpaceDE w:val="0"/>
              <w:autoSpaceDN w:val="0"/>
              <w:adjustRightInd w:val="0"/>
              <w:snapToGrid w:val="0"/>
              <w:spacing w:line="360" w:lineRule="auto"/>
              <w:ind w:firstLine="480" w:firstLineChars="200"/>
              <w:jc w:val="both"/>
              <w:rPr>
                <w:rFonts w:hint="eastAsia" w:ascii="Times New Roman" w:hAnsi="Times New Roman" w:cs="Times New Roman"/>
                <w:color w:val="auto"/>
                <w:kern w:val="0"/>
                <w:szCs w:val="21"/>
                <w:highlight w:val="none"/>
                <w:lang w:val="en-US" w:eastAsia="zh-CN"/>
              </w:rPr>
            </w:pPr>
            <w:r>
              <w:rPr>
                <w:rFonts w:hint="eastAsia" w:ascii="Times New Roman" w:hAnsi="Times New Roman" w:cs="Times New Roman"/>
                <w:color w:val="auto"/>
                <w:kern w:val="0"/>
                <w:szCs w:val="21"/>
                <w:highlight w:val="none"/>
                <w:lang w:val="en-US" w:eastAsia="zh-CN"/>
              </w:rPr>
              <w:t>本项目用地位于兵团第七师民丰产业园区内</w:t>
            </w:r>
            <w:r>
              <w:rPr>
                <w:rFonts w:hint="eastAsia" w:cs="Times New Roman"/>
                <w:color w:val="auto"/>
                <w:kern w:val="0"/>
                <w:szCs w:val="21"/>
                <w:highlight w:val="none"/>
                <w:lang w:val="en-US" w:eastAsia="zh-CN"/>
              </w:rPr>
              <w:t>的</w:t>
            </w:r>
            <w:r>
              <w:rPr>
                <w:rFonts w:hint="default" w:ascii="Times New Roman" w:hAnsi="Times New Roman" w:eastAsia="宋体" w:cs="Times New Roman"/>
                <w:color w:val="auto"/>
                <w:kern w:val="0"/>
                <w:szCs w:val="21"/>
                <w:highlight w:val="none"/>
                <w:lang w:val="en-US" w:eastAsia="zh-CN"/>
              </w:rPr>
              <w:t>4号地农副产品加工基地，</w:t>
            </w:r>
            <w:r>
              <w:rPr>
                <w:rFonts w:hint="eastAsia" w:ascii="Times New Roman" w:hAnsi="Times New Roman" w:cs="Times New Roman"/>
                <w:color w:val="auto"/>
                <w:kern w:val="0"/>
                <w:szCs w:val="21"/>
                <w:highlight w:val="none"/>
                <w:lang w:val="en-US" w:eastAsia="zh-CN"/>
              </w:rPr>
              <w:t>东侧为经二路，北侧为工业用地，西侧为待建冻库项目，南侧为已建羊肚菌烘干厂，交通便利。目前本项目已完成一期基础设施建设</w:t>
            </w:r>
            <w:r>
              <w:rPr>
                <w:rFonts w:hint="eastAsia" w:cs="Times New Roman"/>
                <w:color w:val="auto"/>
                <w:kern w:val="0"/>
                <w:szCs w:val="21"/>
                <w:highlight w:val="none"/>
                <w:lang w:val="en-US" w:eastAsia="zh-CN"/>
              </w:rPr>
              <w:t>，暂未</w:t>
            </w:r>
            <w:r>
              <w:rPr>
                <w:rFonts w:hint="eastAsia" w:ascii="Times New Roman" w:hAnsi="Times New Roman" w:cs="Times New Roman"/>
                <w:color w:val="auto"/>
                <w:kern w:val="0"/>
                <w:szCs w:val="21"/>
                <w:highlight w:val="none"/>
                <w:lang w:val="en-US" w:eastAsia="zh-CN"/>
              </w:rPr>
              <w:t>投</w:t>
            </w:r>
            <w:r>
              <w:rPr>
                <w:rFonts w:hint="eastAsia" w:cs="Times New Roman"/>
                <w:color w:val="auto"/>
                <w:kern w:val="0"/>
                <w:szCs w:val="21"/>
                <w:highlight w:val="none"/>
                <w:lang w:val="en-US" w:eastAsia="zh-CN"/>
              </w:rPr>
              <w:t>产</w:t>
            </w:r>
            <w:r>
              <w:rPr>
                <w:rFonts w:hint="eastAsia" w:ascii="Times New Roman" w:hAnsi="Times New Roman" w:cs="Times New Roman"/>
                <w:color w:val="auto"/>
                <w:kern w:val="0"/>
                <w:szCs w:val="21"/>
                <w:highlight w:val="none"/>
                <w:lang w:val="en-US" w:eastAsia="zh-CN"/>
              </w:rPr>
              <w:t>，包含1栋保鲜库、1栋烘干厂房、1栋配套门卫室、1栋配套配电房及厂区消防管网。</w:t>
            </w:r>
          </w:p>
          <w:p w14:paraId="5B36AD31">
            <w:pPr>
              <w:autoSpaceDE w:val="0"/>
              <w:autoSpaceDN w:val="0"/>
              <w:adjustRightInd w:val="0"/>
              <w:snapToGrid w:val="0"/>
              <w:spacing w:line="360" w:lineRule="auto"/>
              <w:ind w:firstLine="480" w:firstLineChars="200"/>
              <w:jc w:val="both"/>
              <w:rPr>
                <w:rFonts w:hint="default" w:ascii="Times New Roman" w:hAnsi="Times New Roman" w:cs="Times New Roman"/>
                <w:color w:val="auto"/>
                <w:kern w:val="0"/>
                <w:szCs w:val="21"/>
                <w:highlight w:val="none"/>
                <w:lang w:val="en-US" w:eastAsia="zh-CN"/>
              </w:rPr>
            </w:pPr>
            <w:r>
              <w:rPr>
                <w:rFonts w:hint="eastAsia" w:cs="Times New Roman"/>
                <w:color w:val="auto"/>
                <w:kern w:val="0"/>
                <w:szCs w:val="21"/>
                <w:highlight w:val="none"/>
                <w:lang w:val="en-US" w:eastAsia="zh-CN"/>
              </w:rPr>
              <w:t>本项目为二期工程，新建NFC果汁生产车间、和智能果品分选线，</w:t>
            </w:r>
            <w:r>
              <w:rPr>
                <w:rFonts w:hint="eastAsia" w:ascii="Times New Roman" w:hAnsi="Times New Roman" w:cs="Times New Roman"/>
                <w:color w:val="auto"/>
                <w:kern w:val="0"/>
                <w:szCs w:val="21"/>
                <w:highlight w:val="none"/>
                <w:lang w:val="en-US" w:eastAsia="zh-CN"/>
              </w:rPr>
              <w:t>主要产污为生产废水，</w:t>
            </w:r>
            <w:r>
              <w:rPr>
                <w:rFonts w:hint="eastAsia" w:cs="Times New Roman"/>
                <w:color w:val="auto"/>
                <w:kern w:val="0"/>
                <w:szCs w:val="21"/>
                <w:highlight w:val="none"/>
                <w:lang w:val="en-US" w:eastAsia="zh-CN"/>
              </w:rPr>
              <w:t>经项目区东南角的沉砂池沉淀后，送往西南方向的番茄酱厂污水处理站处理满足</w:t>
            </w:r>
            <w:r>
              <w:rPr>
                <w:rFonts w:hint="eastAsia" w:cs="Times New Roman"/>
                <w:color w:val="auto"/>
                <w:highlight w:val="none"/>
                <w:lang w:val="en-US" w:eastAsia="zh-CN"/>
              </w:rPr>
              <w:t>《污水综合排放标准》（GB8978-1996）及修改单</w:t>
            </w:r>
            <w:r>
              <w:rPr>
                <w:rFonts w:hint="default" w:ascii="Times New Roman" w:hAnsi="Times New Roman" w:cs="Times New Roman"/>
                <w:color w:val="auto"/>
                <w:highlight w:val="none"/>
                <w:lang w:val="en-US" w:eastAsia="zh-CN"/>
              </w:rPr>
              <w:t>三级标准及</w:t>
            </w:r>
            <w:r>
              <w:rPr>
                <w:rFonts w:hint="eastAsia" w:cs="Times New Roman"/>
                <w:color w:val="auto"/>
                <w:highlight w:val="none"/>
                <w:lang w:val="en-US" w:eastAsia="zh-CN"/>
              </w:rPr>
              <w:t>园区废水处理厂</w:t>
            </w:r>
            <w:r>
              <w:rPr>
                <w:rFonts w:hint="default" w:ascii="Times New Roman" w:hAnsi="Times New Roman" w:cs="Times New Roman"/>
                <w:color w:val="auto"/>
                <w:highlight w:val="none"/>
                <w:lang w:val="en-US" w:eastAsia="zh-CN"/>
              </w:rPr>
              <w:t>进水水质要求</w:t>
            </w:r>
            <w:r>
              <w:rPr>
                <w:rFonts w:hint="eastAsia" w:cs="Times New Roman"/>
                <w:color w:val="auto"/>
                <w:kern w:val="0"/>
                <w:szCs w:val="21"/>
                <w:highlight w:val="none"/>
                <w:lang w:val="en-US" w:eastAsia="zh-CN"/>
              </w:rPr>
              <w:t>后，通过园区</w:t>
            </w:r>
            <w:r>
              <w:rPr>
                <w:rFonts w:hint="eastAsia" w:ascii="Times New Roman" w:hAnsi="Times New Roman" w:cs="Times New Roman"/>
                <w:color w:val="auto"/>
                <w:kern w:val="0"/>
                <w:szCs w:val="21"/>
                <w:highlight w:val="none"/>
                <w:lang w:val="en-US" w:eastAsia="zh-CN"/>
              </w:rPr>
              <w:t>污水收集管网</w:t>
            </w:r>
            <w:r>
              <w:rPr>
                <w:rFonts w:hint="eastAsia" w:cs="Times New Roman"/>
                <w:color w:val="auto"/>
                <w:kern w:val="0"/>
                <w:szCs w:val="21"/>
                <w:highlight w:val="none"/>
                <w:lang w:val="en-US" w:eastAsia="zh-CN"/>
              </w:rPr>
              <w:t>，送往</w:t>
            </w:r>
            <w:r>
              <w:rPr>
                <w:rFonts w:hint="eastAsia" w:ascii="Times New Roman" w:hAnsi="Times New Roman" w:cs="Times New Roman"/>
                <w:color w:val="auto"/>
                <w:kern w:val="0"/>
                <w:szCs w:val="21"/>
                <w:highlight w:val="none"/>
                <w:lang w:val="en-US" w:eastAsia="zh-CN"/>
              </w:rPr>
              <w:t>农副产品加工基地污水处理厂</w:t>
            </w:r>
            <w:r>
              <w:rPr>
                <w:rFonts w:hint="eastAsia" w:cs="Times New Roman"/>
                <w:color w:val="auto"/>
                <w:kern w:val="0"/>
                <w:szCs w:val="21"/>
                <w:highlight w:val="none"/>
                <w:lang w:val="en-US" w:eastAsia="zh-CN"/>
              </w:rPr>
              <w:t>，处理水质达到《城市污水再生利用 农田灌溉用水水质》（GB20922-2007）后，用于水果园浇灌</w:t>
            </w:r>
            <w:r>
              <w:rPr>
                <w:rFonts w:hint="eastAsia" w:ascii="Times New Roman" w:hAnsi="Times New Roman" w:cs="Times New Roman"/>
                <w:color w:val="auto"/>
                <w:kern w:val="0"/>
                <w:szCs w:val="21"/>
                <w:highlight w:val="none"/>
                <w:lang w:val="en-US" w:eastAsia="zh-CN"/>
              </w:rPr>
              <w:t>。农副产品加工基地污水处理厂已于2026年1月26日取得十四师昆玉市生态环境局出具的环评批复，文号：师环发</w:t>
            </w:r>
            <w:r>
              <w:rPr>
                <w:rFonts w:hint="eastAsia" w:ascii="宋体" w:hAnsi="宋体" w:eastAsia="宋体" w:cs="宋体"/>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2026</w:t>
            </w:r>
            <w:r>
              <w:rPr>
                <w:rFonts w:hint="eastAsia" w:ascii="宋体" w:hAnsi="宋体" w:eastAsia="宋体" w:cs="宋体"/>
                <w:color w:val="auto"/>
                <w:kern w:val="0"/>
                <w:szCs w:val="21"/>
                <w:highlight w:val="none"/>
                <w:lang w:val="en-US" w:eastAsia="zh-CN"/>
              </w:rPr>
              <w:t>〕</w:t>
            </w:r>
            <w:r>
              <w:rPr>
                <w:rFonts w:hint="eastAsia" w:ascii="Times New Roman" w:hAnsi="Times New Roman" w:cs="Times New Roman"/>
                <w:color w:val="auto"/>
                <w:kern w:val="0"/>
                <w:szCs w:val="21"/>
                <w:highlight w:val="none"/>
                <w:lang w:val="en-US" w:eastAsia="zh-CN"/>
              </w:rPr>
              <w:t>2号。</w:t>
            </w:r>
          </w:p>
          <w:p w14:paraId="5F219A5C">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目前，项目已办理用地预审与选址意见书</w:t>
            </w:r>
            <w:r>
              <w:rPr>
                <w:rFonts w:hint="eastAsia" w:cs="Times New Roman"/>
                <w:color w:val="auto"/>
                <w:kern w:val="0"/>
                <w:szCs w:val="21"/>
                <w:highlight w:val="none"/>
                <w:lang w:val="en-US" w:eastAsia="zh-CN"/>
              </w:rPr>
              <w:t>（详见附件3）</w:t>
            </w:r>
            <w:r>
              <w:rPr>
                <w:rFonts w:hint="default" w:ascii="Times New Roman" w:hAnsi="Times New Roman" w:eastAsia="宋体" w:cs="Times New Roman"/>
                <w:color w:val="auto"/>
                <w:kern w:val="0"/>
                <w:szCs w:val="21"/>
                <w:highlight w:val="none"/>
                <w:lang w:val="en-US" w:eastAsia="zh-CN"/>
              </w:rPr>
              <w:t>。项目建设符合民丰产业园总体规划。</w:t>
            </w:r>
          </w:p>
        </w:tc>
      </w:tr>
      <w:tr w14:paraId="4FE1CF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32" w:type="pct"/>
            <w:vAlign w:val="center"/>
          </w:tcPr>
          <w:p w14:paraId="0EE83F2A">
            <w:pPr>
              <w:autoSpaceDE w:val="0"/>
              <w:autoSpaceDN w:val="0"/>
              <w:adjustRightInd w:val="0"/>
              <w:snapToGrid w:val="0"/>
              <w:rPr>
                <w:rFonts w:hint="default" w:ascii="Times New Roman" w:hAnsi="Times New Roman" w:cs="Times New Roman"/>
                <w:color w:val="auto"/>
                <w:spacing w:val="-17"/>
                <w:kern w:val="0"/>
                <w:highlight w:val="none"/>
              </w:rPr>
            </w:pPr>
            <w:r>
              <w:rPr>
                <w:rFonts w:hint="default" w:ascii="Times New Roman" w:hAnsi="Times New Roman" w:cs="Times New Roman"/>
                <w:color w:val="auto"/>
                <w:spacing w:val="-17"/>
                <w:kern w:val="0"/>
                <w:highlight w:val="none"/>
              </w:rPr>
              <w:t>其他符合性分析</w:t>
            </w:r>
          </w:p>
        </w:tc>
        <w:tc>
          <w:tcPr>
            <w:tcW w:w="3867" w:type="pct"/>
            <w:gridSpan w:val="3"/>
            <w:vAlign w:val="center"/>
          </w:tcPr>
          <w:p w14:paraId="374D7D95">
            <w:pPr>
              <w:numPr>
                <w:ilvl w:val="0"/>
                <w:numId w:val="0"/>
              </w:numPr>
              <w:autoSpaceDE w:val="0"/>
              <w:autoSpaceDN w:val="0"/>
              <w:adjustRightInd w:val="0"/>
              <w:snapToGrid w:val="0"/>
              <w:spacing w:before="120" w:beforeLines="50" w:line="360" w:lineRule="auto"/>
              <w:ind w:firstLine="482" w:firstLineChars="0"/>
              <w:rPr>
                <w:rFonts w:hint="default" w:ascii="Times New Roman" w:hAnsi="Times New Roman" w:cs="Times New Roman"/>
                <w:b/>
                <w:bCs/>
                <w:color w:val="auto"/>
                <w:highlight w:val="none"/>
              </w:rPr>
            </w:pPr>
            <w:bookmarkStart w:id="12" w:name="_Hlk198135457"/>
            <w:r>
              <w:rPr>
                <w:rFonts w:hint="default" w:ascii="Times New Roman" w:hAnsi="Times New Roman" w:eastAsia="宋体" w:cs="Times New Roman"/>
                <w:b/>
                <w:bCs/>
                <w:color w:val="auto"/>
                <w:kern w:val="2"/>
                <w:sz w:val="24"/>
                <w:szCs w:val="24"/>
                <w:highlight w:val="none"/>
                <w:lang w:val="en-US" w:eastAsia="zh-CN" w:bidi="ar-SA"/>
              </w:rPr>
              <w:t>1、</w:t>
            </w:r>
            <w:r>
              <w:rPr>
                <w:rFonts w:hint="default" w:ascii="Times New Roman" w:hAnsi="Times New Roman" w:cs="Times New Roman"/>
                <w:b/>
                <w:bCs/>
                <w:color w:val="auto"/>
                <w:highlight w:val="none"/>
              </w:rPr>
              <w:t>产业政策符合性分析</w:t>
            </w:r>
          </w:p>
          <w:p w14:paraId="726AD9AC">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国民经济行业分类（2019修订版）》（GB/T4754-2017），项目属于“C1523果菜汁及果菜汁饮料制造”；属于《建设项目环境影响评价分类管理名录（2021版）》（部令第16号）中“十二、酒、饮料制造业15”中“26、饮料制造152—有发酵工艺、原汁生产的）”；不属于《产业结构调整指导目录（2024年本）》中鼓励类、限制类和淘汰类，为允许类。</w:t>
            </w:r>
          </w:p>
          <w:p w14:paraId="1139D45D">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项目不属于工业和信息化部《产业发展与转移指导目录（2018年本）》中优先承接发展产业，也不属于引导优化调整产业。</w:t>
            </w:r>
          </w:p>
          <w:p w14:paraId="7A78B80F">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根据国家发展改革委商务部关于印发《市场准入负面清单（2022年版）》的通知（发改体改规〔2022〕397号），项目不属于禁止准入类和许可准入类。项目已</w:t>
            </w:r>
            <w:r>
              <w:rPr>
                <w:rFonts w:hint="eastAsia" w:cs="Times New Roman"/>
                <w:color w:val="auto"/>
                <w:highlight w:val="none"/>
                <w:lang w:val="en-US" w:eastAsia="zh-CN"/>
              </w:rPr>
              <w:t>于2026年6月2日取得新疆生产建设兵团第七师胡杨河市农业农村局出具的初步设计批复，文号：师市农发〔2026〕27号</w:t>
            </w:r>
            <w:r>
              <w:rPr>
                <w:rFonts w:hint="default" w:ascii="Times New Roman" w:hAnsi="Times New Roman" w:cs="Times New Roman"/>
                <w:color w:val="auto"/>
                <w:highlight w:val="none"/>
              </w:rPr>
              <w:t>。项目符合国家产业政策。</w:t>
            </w:r>
          </w:p>
          <w:p w14:paraId="50F7DCB0">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根据《自然资源要素支撑产业高质量发展指导目录（2024年本）》（自然资发〔2024〕273号），本项目的建设不属于限制类和禁止类用地范围。</w:t>
            </w:r>
          </w:p>
          <w:p w14:paraId="7A8FAD95">
            <w:pPr>
              <w:autoSpaceDE w:val="0"/>
              <w:autoSpaceDN w:val="0"/>
              <w:adjustRightInd w:val="0"/>
              <w:snapToGrid w:val="0"/>
              <w:spacing w:line="360" w:lineRule="auto"/>
              <w:ind w:firstLine="482" w:firstLineChars="20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2.环发〔2012〕77号文及环发〔2012〕98号文符合性分析</w:t>
            </w:r>
          </w:p>
          <w:p w14:paraId="08EE8832">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关于进一步加强环境影响评价管理防范环境风险的通知》（环发〔2012〕77号文）中要求：新、改、扩建相关建设项目环境影响评价应按照相应技术导则要求，科学预测评价突发性事件或事故可能引发的环境风险，提出环境风险防范和应急措施；从环境风险源、扩散途径、保护目标三方面识别环境风险，科学开展环境风险预测，并提出合理有效的环境风险防范和应急措施。《关于切实加强风险防范严格环境影响评价管理的通知》（环发〔2012〕98号文）中要求：环境影响评价文件里设置环境风险评价相关内容，环境风险防范设施和应急措施完善。</w:t>
            </w:r>
          </w:p>
          <w:p w14:paraId="27C70508">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本项目为建设NFC</w:t>
            </w:r>
            <w:r>
              <w:rPr>
                <w:rFonts w:hint="eastAsia" w:cs="Times New Roman"/>
                <w:color w:val="auto"/>
                <w:highlight w:val="none"/>
                <w:lang w:val="en-US" w:eastAsia="zh-CN"/>
              </w:rPr>
              <w:t>果</w:t>
            </w:r>
            <w:r>
              <w:rPr>
                <w:rFonts w:hint="default" w:ascii="Times New Roman" w:hAnsi="Times New Roman" w:cs="Times New Roman"/>
                <w:color w:val="auto"/>
                <w:highlight w:val="none"/>
              </w:rPr>
              <w:t>汁生产车间</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3</w:t>
            </w:r>
            <w:r>
              <w:rPr>
                <w:rFonts w:hint="eastAsia" w:cs="Times New Roman"/>
                <w:color w:val="auto"/>
                <w:highlight w:val="none"/>
                <w:lang w:eastAsia="zh-CN"/>
              </w:rPr>
              <w:t>t/h</w:t>
            </w:r>
            <w:r>
              <w:rPr>
                <w:rFonts w:hint="default" w:ascii="Times New Roman" w:hAnsi="Times New Roman" w:cs="Times New Roman"/>
                <w:color w:val="auto"/>
                <w:highlight w:val="none"/>
              </w:rPr>
              <w:t>NF果汁生产线一条</w:t>
            </w:r>
            <w:r>
              <w:rPr>
                <w:rFonts w:hint="eastAsia" w:cs="Times New Roman"/>
                <w:color w:val="auto"/>
                <w:highlight w:val="none"/>
                <w:lang w:eastAsia="zh-CN"/>
              </w:rPr>
              <w:t>，</w:t>
            </w:r>
            <w:r>
              <w:rPr>
                <w:rFonts w:hint="default" w:ascii="Times New Roman" w:hAnsi="Times New Roman" w:cs="Times New Roman"/>
                <w:color w:val="auto"/>
                <w:highlight w:val="none"/>
              </w:rPr>
              <w:t>配套建设150</w:t>
            </w:r>
            <w:r>
              <w:rPr>
                <w:rFonts w:hint="default" w:ascii="Times New Roman" w:hAnsi="Times New Roman" w:cs="Times New Roman"/>
                <w:color w:val="auto"/>
                <w:highlight w:val="none"/>
                <w:lang w:eastAsia="zh-CN"/>
              </w:rPr>
              <w:t>m²</w:t>
            </w:r>
            <w:r>
              <w:rPr>
                <w:rFonts w:hint="default" w:ascii="Times New Roman" w:hAnsi="Times New Roman" w:cs="Times New Roman"/>
                <w:color w:val="auto"/>
                <w:highlight w:val="none"/>
              </w:rPr>
              <w:t>速冻库和450</w:t>
            </w:r>
            <w:r>
              <w:rPr>
                <w:rFonts w:hint="default" w:ascii="Times New Roman" w:hAnsi="Times New Roman" w:cs="Times New Roman"/>
                <w:color w:val="auto"/>
                <w:highlight w:val="none"/>
                <w:lang w:eastAsia="zh-CN"/>
              </w:rPr>
              <w:t>m²</w:t>
            </w:r>
            <w:r>
              <w:rPr>
                <w:rFonts w:hint="default" w:ascii="Times New Roman" w:hAnsi="Times New Roman" w:cs="Times New Roman"/>
                <w:color w:val="auto"/>
                <w:highlight w:val="none"/>
              </w:rPr>
              <w:t>冻库</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大罐灌装和小包装盒灌装线</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和</w:t>
            </w:r>
            <w:r>
              <w:rPr>
                <w:rFonts w:hint="default" w:ascii="Times New Roman" w:hAnsi="Times New Roman" w:cs="Times New Roman"/>
                <w:color w:val="auto"/>
                <w:highlight w:val="none"/>
              </w:rPr>
              <w:t>智能果品分选线</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6</w:t>
            </w:r>
            <w:r>
              <w:rPr>
                <w:rFonts w:hint="eastAsia" w:cs="Times New Roman"/>
                <w:color w:val="auto"/>
                <w:highlight w:val="none"/>
                <w:lang w:eastAsia="zh-CN"/>
              </w:rPr>
              <w:t>t/h</w:t>
            </w:r>
            <w:r>
              <w:rPr>
                <w:rFonts w:hint="default" w:ascii="Times New Roman" w:hAnsi="Times New Roman" w:cs="Times New Roman"/>
                <w:color w:val="auto"/>
                <w:highlight w:val="none"/>
              </w:rPr>
              <w:t>果品分选线</w:t>
            </w:r>
            <w:r>
              <w:rPr>
                <w:rFonts w:hint="eastAsia" w:cs="Times New Roman"/>
                <w:color w:val="auto"/>
                <w:highlight w:val="none"/>
                <w:lang w:val="en-US" w:eastAsia="zh-CN"/>
              </w:rPr>
              <w:t>一条</w:t>
            </w:r>
            <w:r>
              <w:rPr>
                <w:rFonts w:hint="eastAsia" w:cs="Times New Roman"/>
                <w:color w:val="auto"/>
                <w:highlight w:val="none"/>
                <w:lang w:eastAsia="zh-CN"/>
              </w:rPr>
              <w:t>，</w:t>
            </w:r>
            <w:r>
              <w:rPr>
                <w:rFonts w:hint="default" w:ascii="Times New Roman" w:hAnsi="Times New Roman" w:cs="Times New Roman"/>
                <w:color w:val="auto"/>
                <w:highlight w:val="none"/>
              </w:rPr>
              <w:t>改造原烘干厂房为果品分选车间</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的项目，本次环评对项目环境风险进行评价，建设单位按照规定设计完善的防范措施和应急措施，具体内容见本报告相关内容，因此，本项目建设符合上述环保政策要求。</w:t>
            </w:r>
          </w:p>
          <w:bookmarkEnd w:id="12"/>
          <w:p w14:paraId="27C45573">
            <w:pPr>
              <w:numPr>
                <w:ilvl w:val="0"/>
                <w:numId w:val="0"/>
              </w:numPr>
              <w:autoSpaceDE w:val="0"/>
              <w:autoSpaceDN w:val="0"/>
              <w:adjustRightInd w:val="0"/>
              <w:snapToGrid w:val="0"/>
              <w:spacing w:before="120" w:beforeLines="50" w:line="360" w:lineRule="auto"/>
              <w:ind w:firstLine="482" w:firstLineChars="0"/>
              <w:rPr>
                <w:rFonts w:hint="default" w:ascii="Times New Roman" w:hAnsi="Times New Roman" w:cs="Times New Roman"/>
                <w:b/>
                <w:bCs/>
                <w:color w:val="auto"/>
                <w:highlight w:val="none"/>
              </w:rPr>
            </w:pPr>
            <w:bookmarkStart w:id="13" w:name="_Hlk165483047"/>
            <w:r>
              <w:rPr>
                <w:rFonts w:hint="default" w:ascii="Times New Roman" w:hAnsi="Times New Roman" w:eastAsia="宋体" w:cs="Times New Roman"/>
                <w:b/>
                <w:bCs/>
                <w:color w:val="auto"/>
                <w:kern w:val="2"/>
                <w:sz w:val="24"/>
                <w:szCs w:val="24"/>
                <w:highlight w:val="none"/>
                <w:lang w:val="en-US" w:eastAsia="zh-CN" w:bidi="ar-SA"/>
              </w:rPr>
              <w:t>2、</w:t>
            </w:r>
            <w:r>
              <w:rPr>
                <w:rFonts w:hint="default" w:ascii="Times New Roman" w:hAnsi="Times New Roman" w:cs="Times New Roman"/>
                <w:b/>
                <w:bCs/>
                <w:color w:val="auto"/>
                <w:highlight w:val="none"/>
              </w:rPr>
              <w:t>与</w:t>
            </w:r>
            <w:r>
              <w:rPr>
                <w:rFonts w:hint="eastAsia" w:cs="Times New Roman"/>
                <w:b/>
                <w:bCs/>
                <w:color w:val="auto"/>
                <w:highlight w:val="none"/>
                <w:lang w:val="en-US" w:eastAsia="zh-CN"/>
              </w:rPr>
              <w:t>生态环境分区管控</w:t>
            </w:r>
            <w:r>
              <w:rPr>
                <w:rFonts w:hint="default" w:ascii="Times New Roman" w:hAnsi="Times New Roman" w:cs="Times New Roman"/>
                <w:b/>
                <w:bCs/>
                <w:color w:val="auto"/>
                <w:highlight w:val="none"/>
              </w:rPr>
              <w:t>的符合性分析</w:t>
            </w:r>
            <w:bookmarkEnd w:id="13"/>
          </w:p>
          <w:p w14:paraId="16CB0BED">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本项目所在区域位于</w:t>
            </w:r>
            <w:r>
              <w:rPr>
                <w:rFonts w:hint="default" w:ascii="Times New Roman" w:hAnsi="Times New Roman" w:cs="Times New Roman"/>
                <w:color w:val="auto"/>
                <w:spacing w:val="-3"/>
                <w:sz w:val="24"/>
                <w:szCs w:val="24"/>
                <w:highlight w:val="none"/>
              </w:rPr>
              <w:t>新疆维吾尔自治区和田地区民丰县民丰产业园内</w:t>
            </w:r>
            <w:r>
              <w:rPr>
                <w:rFonts w:hint="default" w:ascii="Times New Roman" w:hAnsi="Times New Roman" w:cs="Times New Roman"/>
                <w:color w:val="auto"/>
                <w:highlight w:val="none"/>
              </w:rPr>
              <w:t>，行政区划隶属于</w:t>
            </w:r>
            <w:r>
              <w:rPr>
                <w:rFonts w:hint="default" w:ascii="Times New Roman" w:hAnsi="Times New Roman" w:cs="Times New Roman"/>
                <w:color w:val="auto"/>
                <w:spacing w:val="-3"/>
                <w:sz w:val="24"/>
                <w:szCs w:val="24"/>
                <w:highlight w:val="none"/>
              </w:rPr>
              <w:t>民丰</w:t>
            </w:r>
            <w:r>
              <w:rPr>
                <w:rFonts w:hint="default" w:ascii="Times New Roman" w:hAnsi="Times New Roman" w:cs="Times New Roman"/>
                <w:color w:val="auto"/>
                <w:highlight w:val="none"/>
              </w:rPr>
              <w:t>县。本次按新疆维吾尔自治区、</w:t>
            </w:r>
            <w:r>
              <w:rPr>
                <w:rFonts w:hint="eastAsia" w:cs="Times New Roman"/>
                <w:color w:val="auto"/>
                <w:highlight w:val="none"/>
                <w:lang w:val="en-US" w:eastAsia="zh-CN"/>
              </w:rPr>
              <w:t>七大片区、</w:t>
            </w:r>
            <w:r>
              <w:rPr>
                <w:rFonts w:hint="eastAsia" w:ascii="Times New Roman" w:hAnsi="Times New Roman" w:cs="Times New Roman"/>
                <w:color w:val="auto"/>
                <w:highlight w:val="none"/>
                <w:lang w:val="en-US" w:eastAsia="zh-CN"/>
              </w:rPr>
              <w:t>和田</w:t>
            </w:r>
            <w:r>
              <w:rPr>
                <w:rFonts w:hint="default" w:ascii="Times New Roman" w:hAnsi="Times New Roman" w:cs="Times New Roman"/>
                <w:color w:val="auto"/>
                <w:highlight w:val="none"/>
              </w:rPr>
              <w:t>地区</w:t>
            </w:r>
            <w:r>
              <w:rPr>
                <w:rFonts w:hint="eastAsia" w:ascii="Times New Roman" w:hAnsi="Times New Roman" w:cs="Times New Roman"/>
                <w:color w:val="auto"/>
                <w:highlight w:val="none"/>
                <w:lang w:val="en-US" w:eastAsia="zh-CN"/>
              </w:rPr>
              <w:t>民丰</w:t>
            </w:r>
            <w:r>
              <w:rPr>
                <w:rFonts w:hint="default" w:ascii="Times New Roman" w:hAnsi="Times New Roman" w:cs="Times New Roman"/>
                <w:color w:val="auto"/>
                <w:highlight w:val="none"/>
              </w:rPr>
              <w:t>县生态环境分区管控</w:t>
            </w:r>
            <w:r>
              <w:rPr>
                <w:rFonts w:hint="eastAsia" w:cs="Times New Roman"/>
                <w:color w:val="auto"/>
                <w:highlight w:val="none"/>
                <w:lang w:val="en-US" w:eastAsia="zh-CN"/>
              </w:rPr>
              <w:t>成果</w:t>
            </w:r>
            <w:r>
              <w:rPr>
                <w:rFonts w:hint="default" w:ascii="Times New Roman" w:hAnsi="Times New Roman" w:cs="Times New Roman"/>
                <w:color w:val="auto"/>
                <w:highlight w:val="none"/>
              </w:rPr>
              <w:t>进行符合性分析。</w:t>
            </w:r>
          </w:p>
          <w:p w14:paraId="1A5D2619">
            <w:pPr>
              <w:autoSpaceDE w:val="0"/>
              <w:autoSpaceDN w:val="0"/>
              <w:adjustRightInd w:val="0"/>
              <w:snapToGrid w:val="0"/>
              <w:spacing w:line="360" w:lineRule="auto"/>
              <w:ind w:firstLine="482" w:firstLineChars="200"/>
              <w:rPr>
                <w:rFonts w:hint="default" w:ascii="Times New Roman" w:hAnsi="Times New Roman" w:cs="Times New Roman"/>
                <w:b/>
                <w:bCs/>
                <w:color w:val="auto"/>
                <w:highlight w:val="none"/>
              </w:rPr>
            </w:pPr>
            <w:r>
              <w:rPr>
                <w:rFonts w:hint="eastAsia" w:ascii="Times New Roman" w:hAnsi="Times New Roman" w:cs="Times New Roman"/>
                <w:b/>
                <w:bCs/>
                <w:color w:val="auto"/>
                <w:highlight w:val="none"/>
                <w:lang w:val="en-US" w:eastAsia="zh-CN"/>
              </w:rPr>
              <w:t>2.1</w:t>
            </w:r>
            <w:r>
              <w:rPr>
                <w:rFonts w:hint="default" w:ascii="Times New Roman" w:hAnsi="Times New Roman" w:cs="Times New Roman"/>
                <w:b/>
                <w:bCs/>
                <w:color w:val="auto"/>
                <w:highlight w:val="none"/>
              </w:rPr>
              <w:t>与《新疆维吾尔自治区生态环境分区管控动态更新成果》的通知（新政发〔2024〕157号）符合性分析</w:t>
            </w:r>
          </w:p>
          <w:p w14:paraId="7F7AF611">
            <w:pPr>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2024年11月新疆维吾尔自治区生态环境厅下发了《关于印发</w:t>
            </w:r>
            <w:r>
              <w:rPr>
                <w:rFonts w:hint="eastAsia" w:cs="Times New Roman"/>
                <w:color w:val="auto"/>
                <w:highlight w:val="none"/>
                <w:lang w:eastAsia="zh-CN"/>
              </w:rPr>
              <w:t>〈</w:t>
            </w:r>
            <w:r>
              <w:rPr>
                <w:rFonts w:hint="default" w:ascii="Times New Roman" w:hAnsi="Times New Roman" w:cs="Times New Roman"/>
                <w:color w:val="auto"/>
                <w:highlight w:val="none"/>
              </w:rPr>
              <w:t>新疆维吾尔自治区生态环境分区管控动态更新成果</w:t>
            </w:r>
            <w:r>
              <w:rPr>
                <w:rFonts w:hint="eastAsia" w:cs="Times New Roman"/>
                <w:color w:val="auto"/>
                <w:highlight w:val="none"/>
                <w:lang w:eastAsia="zh-CN"/>
              </w:rPr>
              <w:t>〉的通知》</w:t>
            </w:r>
            <w:r>
              <w:rPr>
                <w:rFonts w:hint="default" w:ascii="Times New Roman" w:hAnsi="Times New Roman" w:cs="Times New Roman"/>
                <w:color w:val="auto"/>
                <w:highlight w:val="none"/>
              </w:rPr>
              <w:t>（新环环评发〔2024〕157号），新疆维吾尔自治区生态环境分区管控方案相关内容摘录：</w:t>
            </w:r>
          </w:p>
          <w:p w14:paraId="3E06A827">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自治区共划定1777个环境管控单元，分为优先保护单元、重点管控单元和一般管控单元三类，实施分类管控，其中，优先保护单元925个、重点管控单元713个、一般管控单元139个。</w:t>
            </w:r>
          </w:p>
          <w:p w14:paraId="3F30F1E6">
            <w:pPr>
              <w:autoSpaceDE w:val="0"/>
              <w:autoSpaceDN w:val="0"/>
              <w:adjustRightInd w:val="0"/>
              <w:snapToGrid w:val="0"/>
              <w:spacing w:line="360" w:lineRule="auto"/>
              <w:ind w:firstLine="480" w:firstLineChars="20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（1）生态保护红线符合性分析</w:t>
            </w:r>
          </w:p>
          <w:p w14:paraId="648E5129">
            <w:pPr>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调查，本项目位于民丰产业园，根据已发布的新疆维吾尔自治区生态环境分区管控方案，经核实，拟建项目不占用自然保护区、世界文化和自然遗产地等特殊生态敏感区，亦无风景名胜区、森林公园、地质公园、重要湿地、原始天然林、珍稀濒危野生动植物天然集中分布区、重要水生生物的自然产卵场及索饵场、越冬场和洄游通道、天然渔场等重要生态敏感区，不属于生态保护红线范围，项目实施不会导致辖区内生态服务功能下降。</w:t>
            </w:r>
          </w:p>
          <w:p w14:paraId="59B6578E">
            <w:pPr>
              <w:autoSpaceDE w:val="0"/>
              <w:autoSpaceDN w:val="0"/>
              <w:adjustRightInd w:val="0"/>
              <w:snapToGrid w:val="0"/>
              <w:spacing w:line="360" w:lineRule="auto"/>
              <w:ind w:firstLine="480" w:firstLineChars="20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（2）环境质量底线符合性分析</w:t>
            </w:r>
          </w:p>
          <w:p w14:paraId="1563642A">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由环境现状调查可知，距离项目区最近的</w:t>
            </w:r>
            <w:r>
              <w:rPr>
                <w:rFonts w:hint="default" w:ascii="Times New Roman" w:hAnsi="Times New Roman" w:cs="Times New Roman"/>
                <w:color w:val="auto"/>
                <w:highlight w:val="none"/>
                <w:lang w:val="en-US" w:eastAsia="zh-CN"/>
              </w:rPr>
              <w:t>和田地区环保局</w:t>
            </w:r>
            <w:r>
              <w:rPr>
                <w:rFonts w:hint="default" w:ascii="Times New Roman" w:hAnsi="Times New Roman" w:cs="Times New Roman"/>
                <w:color w:val="auto"/>
                <w:highlight w:val="none"/>
              </w:rPr>
              <w:t>监测站2024年的六项基本污染物</w:t>
            </w:r>
            <w:r>
              <w:rPr>
                <w:rFonts w:hint="default" w:ascii="Times New Roman" w:hAnsi="Times New Roman" w:cs="Times New Roman"/>
                <w:color w:val="auto"/>
                <w:highlight w:val="none"/>
                <w:lang w:val="en-US" w:eastAsia="zh-CN"/>
              </w:rPr>
              <w:t>不</w:t>
            </w:r>
            <w:r>
              <w:rPr>
                <w:rFonts w:hint="default" w:ascii="Times New Roman" w:hAnsi="Times New Roman" w:cs="Times New Roman"/>
                <w:color w:val="auto"/>
                <w:highlight w:val="none"/>
              </w:rPr>
              <w:t>满足《环境空气质量标准》（GB3095-2026）过渡阶段的二级标准要求，项目所在区域属于环境空气质量</w:t>
            </w:r>
            <w:r>
              <w:rPr>
                <w:rFonts w:hint="default" w:ascii="Times New Roman" w:hAnsi="Times New Roman" w:cs="Times New Roman"/>
                <w:color w:val="auto"/>
                <w:highlight w:val="none"/>
                <w:lang w:val="en-US" w:eastAsia="zh-CN"/>
              </w:rPr>
              <w:t>不</w:t>
            </w:r>
            <w:r>
              <w:rPr>
                <w:rFonts w:hint="default" w:ascii="Times New Roman" w:hAnsi="Times New Roman" w:cs="Times New Roman"/>
                <w:color w:val="auto"/>
                <w:highlight w:val="none"/>
              </w:rPr>
              <w:t>达标区。本项目为饮料制造</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原汁生产的</w:t>
            </w:r>
            <w:r>
              <w:rPr>
                <w:rFonts w:hint="eastAsia" w:ascii="Times New Roman" w:hAnsi="Times New Roman" w:cs="Times New Roman"/>
                <w:color w:val="auto"/>
                <w:highlight w:val="none"/>
                <w:lang w:val="en-US" w:eastAsia="zh-CN"/>
              </w:rPr>
              <w:t>项目</w:t>
            </w:r>
            <w:r>
              <w:rPr>
                <w:rFonts w:hint="default" w:ascii="Times New Roman" w:hAnsi="Times New Roman" w:cs="Times New Roman"/>
                <w:color w:val="auto"/>
                <w:highlight w:val="none"/>
              </w:rPr>
              <w:t>，施工期采取有效措施减缓废气、废水、噪声、固体废物等对周围环境的影响。采取围挡作业、物料覆盖及运输车辆冲洗等措施降低废气影响；选用低噪声设备、合理安排高噪声作业时段并设置临时隔声屏障以控制施工噪声。</w:t>
            </w:r>
            <w:r>
              <w:rPr>
                <w:rFonts w:hint="eastAsia" w:ascii="Times New Roman" w:hAnsi="Times New Roman" w:cs="Times New Roman"/>
                <w:color w:val="auto"/>
                <w:highlight w:val="none"/>
                <w:lang w:val="en-US" w:eastAsia="zh-CN"/>
              </w:rPr>
              <w:t>厂房</w:t>
            </w:r>
            <w:r>
              <w:rPr>
                <w:rFonts w:hint="default" w:ascii="Times New Roman" w:hAnsi="Times New Roman" w:cs="Times New Roman"/>
                <w:color w:val="auto"/>
                <w:highlight w:val="none"/>
              </w:rPr>
              <w:t>基础养护时先用吸水材料覆盖混凝土，在吸水材料上洒水，养护水被混凝土吸收或自然蒸发，不外排。施工人员生活排污</w:t>
            </w:r>
            <w:r>
              <w:rPr>
                <w:rFonts w:hint="eastAsia" w:ascii="Times New Roman" w:hAnsi="Times New Roman" w:cs="Times New Roman"/>
                <w:color w:val="auto"/>
                <w:highlight w:val="none"/>
                <w:lang w:val="en-US" w:eastAsia="zh-CN"/>
              </w:rPr>
              <w:t>依托现有工程（一期建设的烘干厂房配套有卫生间）</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生活污水</w:t>
            </w:r>
            <w:r>
              <w:rPr>
                <w:rFonts w:hint="eastAsia" w:cs="Times New Roman"/>
                <w:color w:val="auto"/>
                <w:highlight w:val="none"/>
                <w:lang w:val="en-US" w:eastAsia="zh-CN"/>
              </w:rPr>
              <w:t>经化粪池处理后</w:t>
            </w:r>
            <w:r>
              <w:rPr>
                <w:rFonts w:hint="eastAsia" w:ascii="Times New Roman" w:hAnsi="Times New Roman" w:cs="Times New Roman"/>
                <w:color w:val="auto"/>
                <w:highlight w:val="none"/>
                <w:lang w:val="en-US" w:eastAsia="zh-CN"/>
              </w:rPr>
              <w:t>排</w:t>
            </w:r>
            <w:r>
              <w:rPr>
                <w:rFonts w:hint="eastAsia" w:cs="Times New Roman"/>
                <w:color w:val="auto"/>
                <w:highlight w:val="none"/>
                <w:lang w:val="en-US" w:eastAsia="zh-CN"/>
              </w:rPr>
              <w:t>入市政污水管网</w:t>
            </w:r>
            <w:r>
              <w:rPr>
                <w:rFonts w:hint="default" w:ascii="Times New Roman" w:hAnsi="Times New Roman" w:cs="Times New Roman"/>
                <w:color w:val="auto"/>
                <w:highlight w:val="none"/>
              </w:rPr>
              <w:t>。施工期项目产生的废气、废水、噪声、固体废物随施工期结束而消失，为暂时性影响。本项目运营后对周边环境产生的污染主要为</w:t>
            </w:r>
            <w:r>
              <w:rPr>
                <w:rFonts w:hint="eastAsia" w:ascii="Times New Roman" w:hAnsi="Times New Roman" w:cs="Times New Roman"/>
                <w:color w:val="auto"/>
                <w:highlight w:val="none"/>
                <w:lang w:val="en-US" w:eastAsia="zh-CN"/>
              </w:rPr>
              <w:t>废水、废气</w:t>
            </w:r>
            <w:r>
              <w:rPr>
                <w:rFonts w:hint="default" w:ascii="Times New Roman" w:hAnsi="Times New Roman" w:cs="Times New Roman"/>
                <w:color w:val="auto"/>
                <w:highlight w:val="none"/>
              </w:rPr>
              <w:t>、噪声</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固体废物</w:t>
            </w:r>
            <w:r>
              <w:rPr>
                <w:rFonts w:hint="default" w:ascii="Times New Roman" w:hAnsi="Times New Roman" w:cs="Times New Roman"/>
                <w:color w:val="auto"/>
                <w:highlight w:val="none"/>
              </w:rPr>
              <w:t>等，</w:t>
            </w:r>
            <w:r>
              <w:rPr>
                <w:rFonts w:hint="eastAsia" w:ascii="Times New Roman" w:hAnsi="Times New Roman" w:cs="Times New Roman"/>
                <w:color w:val="auto"/>
                <w:highlight w:val="none"/>
                <w:lang w:val="en-US" w:eastAsia="zh-CN"/>
              </w:rPr>
              <w:t>生活污水</w:t>
            </w:r>
            <w:r>
              <w:rPr>
                <w:rFonts w:hint="eastAsia" w:cs="Times New Roman"/>
                <w:color w:val="auto"/>
                <w:highlight w:val="none"/>
                <w:lang w:val="en-US" w:eastAsia="zh-CN"/>
              </w:rPr>
              <w:t>经化粪池处理后</w:t>
            </w:r>
            <w:r>
              <w:rPr>
                <w:rFonts w:hint="eastAsia" w:ascii="Times New Roman" w:hAnsi="Times New Roman" w:cs="Times New Roman"/>
                <w:color w:val="auto"/>
                <w:highlight w:val="none"/>
                <w:lang w:val="en-US" w:eastAsia="zh-CN"/>
              </w:rPr>
              <w:t>排</w:t>
            </w:r>
            <w:r>
              <w:rPr>
                <w:rFonts w:hint="eastAsia" w:cs="Times New Roman"/>
                <w:color w:val="auto"/>
                <w:highlight w:val="none"/>
                <w:lang w:val="en-US" w:eastAsia="zh-CN"/>
              </w:rPr>
              <w:t>入市政污水管网，生产废水</w:t>
            </w:r>
            <w:r>
              <w:rPr>
                <w:rFonts w:hint="eastAsia" w:cs="Times New Roman"/>
                <w:color w:val="auto"/>
                <w:kern w:val="0"/>
                <w:szCs w:val="21"/>
                <w:highlight w:val="none"/>
                <w:lang w:val="en-US" w:eastAsia="zh-CN"/>
              </w:rPr>
              <w:t>经项目区东南角的沉砂池沉淀后，送往西南方向的番茄酱厂污水处理站处理满足</w:t>
            </w:r>
            <w:r>
              <w:rPr>
                <w:rFonts w:hint="eastAsia" w:cs="Times New Roman"/>
                <w:color w:val="auto"/>
                <w:highlight w:val="none"/>
                <w:lang w:val="en-US" w:eastAsia="zh-CN"/>
              </w:rPr>
              <w:t>《污水综合排放标准》（GB8978-1996）及修改单</w:t>
            </w:r>
            <w:r>
              <w:rPr>
                <w:rFonts w:hint="default" w:ascii="Times New Roman" w:hAnsi="Times New Roman" w:cs="Times New Roman"/>
                <w:color w:val="auto"/>
                <w:highlight w:val="none"/>
                <w:lang w:val="en-US" w:eastAsia="zh-CN"/>
              </w:rPr>
              <w:t>三级标准及</w:t>
            </w:r>
            <w:r>
              <w:rPr>
                <w:rFonts w:hint="eastAsia" w:cs="Times New Roman"/>
                <w:color w:val="auto"/>
                <w:highlight w:val="none"/>
                <w:lang w:val="en-US" w:eastAsia="zh-CN"/>
              </w:rPr>
              <w:t>园区废水处理厂</w:t>
            </w:r>
            <w:r>
              <w:rPr>
                <w:rFonts w:hint="default" w:ascii="Times New Roman" w:hAnsi="Times New Roman" w:cs="Times New Roman"/>
                <w:color w:val="auto"/>
                <w:highlight w:val="none"/>
                <w:lang w:val="en-US" w:eastAsia="zh-CN"/>
              </w:rPr>
              <w:t>进水水质要求</w:t>
            </w:r>
            <w:r>
              <w:rPr>
                <w:rFonts w:hint="eastAsia" w:cs="Times New Roman"/>
                <w:color w:val="auto"/>
                <w:kern w:val="0"/>
                <w:szCs w:val="21"/>
                <w:highlight w:val="none"/>
                <w:lang w:val="en-US" w:eastAsia="zh-CN"/>
              </w:rPr>
              <w:t>后，通过园区</w:t>
            </w:r>
            <w:r>
              <w:rPr>
                <w:rFonts w:hint="eastAsia" w:ascii="Times New Roman" w:hAnsi="Times New Roman" w:cs="Times New Roman"/>
                <w:color w:val="auto"/>
                <w:kern w:val="0"/>
                <w:szCs w:val="21"/>
                <w:highlight w:val="none"/>
                <w:lang w:val="en-US" w:eastAsia="zh-CN"/>
              </w:rPr>
              <w:t>污水收集管网</w:t>
            </w:r>
            <w:r>
              <w:rPr>
                <w:rFonts w:hint="eastAsia" w:cs="Times New Roman"/>
                <w:color w:val="auto"/>
                <w:kern w:val="0"/>
                <w:szCs w:val="21"/>
                <w:highlight w:val="none"/>
                <w:lang w:val="en-US" w:eastAsia="zh-CN"/>
              </w:rPr>
              <w:t>，送往</w:t>
            </w:r>
            <w:r>
              <w:rPr>
                <w:rFonts w:hint="eastAsia" w:ascii="Times New Roman" w:hAnsi="Times New Roman" w:cs="Times New Roman"/>
                <w:color w:val="auto"/>
                <w:kern w:val="0"/>
                <w:szCs w:val="21"/>
                <w:highlight w:val="none"/>
                <w:lang w:val="en-US" w:eastAsia="zh-CN"/>
              </w:rPr>
              <w:t>农副产品加工基地污水处理厂</w:t>
            </w:r>
            <w:r>
              <w:rPr>
                <w:rFonts w:hint="eastAsia" w:cs="Times New Roman"/>
                <w:color w:val="auto"/>
                <w:kern w:val="0"/>
                <w:szCs w:val="21"/>
                <w:highlight w:val="none"/>
                <w:lang w:val="en-US" w:eastAsia="zh-CN"/>
              </w:rPr>
              <w:t>，处理水质达到《城市污水再生利用 农田灌溉用水水质》（GB20922-2007）后，用于水果园浇灌。</w:t>
            </w:r>
            <w:r>
              <w:rPr>
                <w:rFonts w:hint="default" w:ascii="Times New Roman" w:hAnsi="Times New Roman" w:cs="Times New Roman"/>
                <w:color w:val="auto"/>
                <w:highlight w:val="none"/>
              </w:rPr>
              <w:t>在采取合理环保措施的前提下，对周边环境影响</w:t>
            </w:r>
            <w:r>
              <w:rPr>
                <w:rFonts w:hint="eastAsia" w:ascii="Times New Roman" w:hAnsi="Times New Roman" w:cs="Times New Roman"/>
                <w:color w:val="auto"/>
                <w:highlight w:val="none"/>
                <w:lang w:val="en-US" w:eastAsia="zh-CN"/>
              </w:rPr>
              <w:t>较小</w:t>
            </w:r>
            <w:r>
              <w:rPr>
                <w:rFonts w:hint="default" w:ascii="Times New Roman" w:hAnsi="Times New Roman" w:cs="Times New Roman"/>
                <w:color w:val="auto"/>
                <w:highlight w:val="none"/>
              </w:rPr>
              <w:t>。</w:t>
            </w:r>
          </w:p>
          <w:p w14:paraId="3EA0E6FC">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本项目投运后不会降低区域空气、地表水、地下水环境质量，也不会对区域土壤环境造成影响。项目施工期会对区域环境造成短暂的不利影响，在采取严格的污染防治措施后不会突破区域环境质量底线。</w:t>
            </w:r>
          </w:p>
          <w:p w14:paraId="305B989D">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（3）资源利用上线符合性分析</w:t>
            </w:r>
          </w:p>
          <w:p w14:paraId="0D5BD2B3">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为饮料制造——原汁生产的项目，运营期主要为水资源消耗，不消耗化石能源，不涉及煤炭、石油、天然气等资源消耗。项目运营期不会突破区域资源利用上线。饮料制造——原汁生产用地不占用耕地、园地等，不涉及基本农田、国家及地方公益林地，无珍稀濒危物种。建设项目占用工业用地2749.42m²，其中NFC果汁生产车间2148.23m²（速冻库150m²、冻库450m²）、改造原烘干厂房为果品分选车间601.19m²。项目区基本无植被覆盖，项目占地符合资源利用上限要求。另外本项目不涉及规划矿产区，沿线无压覆矿产资源。本项目建设主要原辅材料为钢材、砂浆、水泥、混凝土等，均属于较易获得的材料。项目运营期</w:t>
            </w:r>
            <w:r>
              <w:rPr>
                <w:rFonts w:hint="eastAsia" w:cs="Times New Roman"/>
                <w:color w:val="auto"/>
                <w:highlight w:val="none"/>
                <w:lang w:val="en-US" w:eastAsia="zh-CN"/>
              </w:rPr>
              <w:t>消耗少量的新鲜水、蒸汽等二次能</w:t>
            </w:r>
            <w:r>
              <w:rPr>
                <w:rFonts w:hint="default" w:ascii="Times New Roman" w:hAnsi="Times New Roman" w:cs="Times New Roman"/>
                <w:color w:val="auto"/>
                <w:highlight w:val="none"/>
              </w:rPr>
              <w:t>源，不会超过</w:t>
            </w:r>
            <w:r>
              <w:rPr>
                <w:rFonts w:hint="eastAsia" w:cs="Times New Roman"/>
                <w:color w:val="auto"/>
                <w:highlight w:val="none"/>
                <w:lang w:val="en-US" w:eastAsia="zh-CN"/>
              </w:rPr>
              <w:t>区域</w:t>
            </w:r>
            <w:r>
              <w:rPr>
                <w:rFonts w:hint="default" w:ascii="Times New Roman" w:hAnsi="Times New Roman" w:cs="Times New Roman"/>
                <w:color w:val="auto"/>
                <w:highlight w:val="none"/>
              </w:rPr>
              <w:t>划定的资源利用上限，不会超过划定的资源利用上限，因此，本项目建设可以满足资源利用上限要求。</w:t>
            </w:r>
          </w:p>
          <w:p w14:paraId="2F4CB4EF">
            <w:pPr>
              <w:autoSpaceDE w:val="0"/>
              <w:autoSpaceDN w:val="0"/>
              <w:adjustRightInd w:val="0"/>
              <w:snapToGrid w:val="0"/>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4</w:t>
            </w:r>
            <w:r>
              <w:rPr>
                <w:rFonts w:hint="eastAsia" w:ascii="Times New Roman" w:hAnsi="Times New Roman" w:cs="Times New Roman"/>
                <w:color w:val="auto"/>
                <w:highlight w:val="none"/>
                <w:lang w:eastAsia="zh-CN"/>
              </w:rPr>
              <w:t>）与环境准入清单符合性分析</w:t>
            </w:r>
          </w:p>
          <w:p w14:paraId="3E2B64A9">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本项目位于民丰县一般生态空间优先</w:t>
            </w:r>
            <w:r>
              <w:rPr>
                <w:rFonts w:hint="eastAsia" w:cs="Times New Roman"/>
                <w:color w:val="auto"/>
                <w:highlight w:val="none"/>
                <w:lang w:val="en-US" w:eastAsia="zh-CN"/>
              </w:rPr>
              <w:t>保护</w:t>
            </w:r>
            <w:r>
              <w:rPr>
                <w:rFonts w:hint="default" w:ascii="Times New Roman" w:hAnsi="Times New Roman" w:cs="Times New Roman"/>
                <w:color w:val="auto"/>
                <w:highlight w:val="none"/>
              </w:rPr>
              <w:t>单元（环境管控单元编码：ZH65322710009）和民丰县一般管控区一般管控单元（环境管控单元编码：ZH65322730001），工程建设与《新疆维吾尔自治区生态环境分区管控方案》相关要求不冲突。</w:t>
            </w:r>
          </w:p>
          <w:p w14:paraId="5EA32532">
            <w:pPr>
              <w:autoSpaceDE w:val="0"/>
              <w:autoSpaceDN w:val="0"/>
              <w:adjustRightInd w:val="0"/>
              <w:snapToGrid w:val="0"/>
              <w:spacing w:line="360" w:lineRule="auto"/>
              <w:ind w:firstLine="482" w:firstLineChars="200"/>
              <w:rPr>
                <w:rFonts w:hint="eastAsia"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2.2、与</w:t>
            </w:r>
            <w:r>
              <w:rPr>
                <w:rFonts w:hint="default" w:ascii="Times New Roman" w:hAnsi="Times New Roman" w:cs="Times New Roman"/>
                <w:b/>
                <w:bCs/>
                <w:snapToGrid w:val="0"/>
                <w:color w:val="auto"/>
                <w:highlight w:val="none"/>
              </w:rPr>
              <w:t>《新疆维吾尔自治区七大片区“三线一单”生态环境分区管控要求》（新环环评发〔2021〕162号）</w:t>
            </w:r>
            <w:r>
              <w:rPr>
                <w:rFonts w:hint="eastAsia" w:cs="Times New Roman"/>
                <w:b/>
                <w:bCs/>
                <w:snapToGrid w:val="0"/>
                <w:color w:val="auto"/>
                <w:highlight w:val="none"/>
                <w:lang w:val="en-US" w:eastAsia="zh-CN"/>
              </w:rPr>
              <w:t>符合性分析</w:t>
            </w:r>
          </w:p>
          <w:p w14:paraId="3A35663C">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自治区生态环境分区管控方案将全区划分为七大片区，并下发了</w:t>
            </w:r>
            <w:r>
              <w:rPr>
                <w:rFonts w:hint="default" w:ascii="Times New Roman" w:hAnsi="Times New Roman" w:cs="Times New Roman"/>
                <w:snapToGrid w:val="0"/>
                <w:color w:val="auto"/>
                <w:highlight w:val="none"/>
              </w:rPr>
              <w:t>《新疆维吾尔自治区七大片区“三线一单”生态环境分区管控要求》（新环环评发〔2021〕162号），七大片区</w:t>
            </w:r>
            <w:r>
              <w:rPr>
                <w:rFonts w:hint="default" w:ascii="Times New Roman" w:hAnsi="Times New Roman" w:cs="Times New Roman"/>
                <w:color w:val="auto"/>
                <w:highlight w:val="none"/>
              </w:rPr>
              <w:t>包括北疆北部（塔城地区、阿勒泰地区）、伊犁河谷、克奎乌-博州、乌昌石、吐哈、天山南坡（巴州、阿克苏地区）和南疆三地州片区。本工程与南疆三地州片区管控要求相符性分析见表1-</w:t>
            </w:r>
            <w:r>
              <w:rPr>
                <w:rFonts w:hint="eastAsia" w:cs="Times New Roman"/>
                <w:color w:val="auto"/>
                <w:highlight w:val="none"/>
                <w:lang w:val="en-US" w:eastAsia="zh-CN"/>
              </w:rPr>
              <w:t>2</w:t>
            </w:r>
            <w:r>
              <w:rPr>
                <w:rFonts w:hint="default" w:ascii="Times New Roman" w:hAnsi="Times New Roman" w:cs="Times New Roman"/>
                <w:color w:val="auto"/>
                <w:highlight w:val="none"/>
              </w:rPr>
              <w:t>。</w:t>
            </w:r>
          </w:p>
          <w:p w14:paraId="4033FE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Cs/>
                <w:color w:val="auto"/>
                <w:highlight w:val="none"/>
              </w:rPr>
            </w:pPr>
            <w:r>
              <w:rPr>
                <w:rFonts w:hint="default" w:ascii="Times New Roman" w:hAnsi="Times New Roman" w:eastAsia="黑体" w:cs="Times New Roman"/>
                <w:bCs/>
                <w:color w:val="auto"/>
                <w:highlight w:val="none"/>
              </w:rPr>
              <w:t>表1-</w:t>
            </w:r>
            <w:r>
              <w:rPr>
                <w:rFonts w:hint="eastAsia" w:eastAsia="黑体" w:cs="Times New Roman"/>
                <w:bCs/>
                <w:color w:val="auto"/>
                <w:highlight w:val="none"/>
                <w:lang w:val="en-US" w:eastAsia="zh-CN"/>
              </w:rPr>
              <w:t>2</w:t>
            </w:r>
            <w:r>
              <w:rPr>
                <w:rFonts w:hint="default" w:ascii="Times New Roman" w:hAnsi="Times New Roman" w:eastAsia="黑体" w:cs="Times New Roman"/>
                <w:bCs/>
                <w:color w:val="auto"/>
                <w:highlight w:val="none"/>
              </w:rPr>
              <w:t xml:space="preserve">    本项目与涉及片区生态</w:t>
            </w:r>
            <w:r>
              <w:rPr>
                <w:rFonts w:hint="eastAsia" w:eastAsia="黑体" w:cs="Times New Roman"/>
                <w:bCs/>
                <w:color w:val="auto"/>
                <w:highlight w:val="none"/>
                <w:lang w:val="en-US" w:eastAsia="zh-CN"/>
              </w:rPr>
              <w:t>环境分区</w:t>
            </w:r>
            <w:r>
              <w:rPr>
                <w:rFonts w:hint="default" w:ascii="Times New Roman" w:hAnsi="Times New Roman" w:eastAsia="黑体" w:cs="Times New Roman"/>
                <w:bCs/>
                <w:color w:val="auto"/>
                <w:highlight w:val="none"/>
              </w:rPr>
              <w:t>管控要求符合性</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108" w:type="dxa"/>
                <w:bottom w:w="0" w:type="dxa"/>
                <w:right w:w="108" w:type="dxa"/>
              </w:tblCellMar>
            </w:tblPr>
            <w:tblGrid>
              <w:gridCol w:w="733"/>
              <w:gridCol w:w="819"/>
              <w:gridCol w:w="1982"/>
              <w:gridCol w:w="3185"/>
            </w:tblGrid>
            <w:tr w14:paraId="7697552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546" w:type="pct"/>
                  <w:vAlign w:val="center"/>
                </w:tcPr>
                <w:p w14:paraId="73021700">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名称</w:t>
                  </w:r>
                </w:p>
              </w:tc>
              <w:tc>
                <w:tcPr>
                  <w:tcW w:w="609" w:type="pct"/>
                  <w:vAlign w:val="center"/>
                </w:tcPr>
                <w:p w14:paraId="1EC6F87C">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涉及片区</w:t>
                  </w:r>
                </w:p>
              </w:tc>
              <w:tc>
                <w:tcPr>
                  <w:tcW w:w="1474" w:type="pct"/>
                  <w:vAlign w:val="center"/>
                </w:tcPr>
                <w:p w14:paraId="7A2A983E">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管控要求</w:t>
                  </w:r>
                </w:p>
              </w:tc>
              <w:tc>
                <w:tcPr>
                  <w:tcW w:w="2369" w:type="pct"/>
                  <w:vAlign w:val="center"/>
                </w:tcPr>
                <w:p w14:paraId="1CCCC926">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相符性分析</w:t>
                  </w:r>
                </w:p>
              </w:tc>
            </w:tr>
            <w:tr w14:paraId="35A8D6A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546" w:type="pct"/>
                  <w:vAlign w:val="center"/>
                </w:tcPr>
                <w:p w14:paraId="2D7F8356">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民丰产业园果品分选线和NFC汁生产线项目</w:t>
                  </w:r>
                </w:p>
              </w:tc>
              <w:tc>
                <w:tcPr>
                  <w:tcW w:w="609" w:type="pct"/>
                  <w:vAlign w:val="center"/>
                </w:tcPr>
                <w:p w14:paraId="2F9FAA6E">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南疆三地州片区（包括喀什地区、克州、和田地区）</w:t>
                  </w:r>
                </w:p>
              </w:tc>
              <w:tc>
                <w:tcPr>
                  <w:tcW w:w="1474" w:type="pct"/>
                  <w:vAlign w:val="center"/>
                </w:tcPr>
                <w:p w14:paraId="76EBC566">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加强绿洲边缘生态保护与修复，统筹推进山水林田湖草沙治理，禁止樵采喀什三角洲荒漠、绿洲区荒漠植被，禁止砍伐玉龙喀什河、喀拉喀什河、叶尔羌河、和田河等河流沿岸天然林，保护绿洲和绿色走廊。</w:t>
                  </w:r>
                </w:p>
                <w:p w14:paraId="6A7F5C82">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控制东昆仑山-阿尔金山山前绿洲、叶尔羌河流域绿洲、和田河流域绿洲、喀什-阿图什绿洲的农业用水量，提高水土资源利用效率，大力推行节水改造，维护叶尔羌河、和田河等河流下游基本生态用水。</w:t>
                  </w:r>
                </w:p>
              </w:tc>
              <w:tc>
                <w:tcPr>
                  <w:tcW w:w="2369" w:type="pct"/>
                  <w:vAlign w:val="center"/>
                </w:tcPr>
                <w:p w14:paraId="34455BE4">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fldChar w:fldCharType="begin"/>
                  </w:r>
                  <w:r>
                    <w:rPr>
                      <w:rFonts w:hint="default" w:ascii="Times New Roman" w:hAnsi="Times New Roman" w:cs="Times New Roman"/>
                      <w:color w:val="auto"/>
                      <w:sz w:val="18"/>
                      <w:szCs w:val="18"/>
                      <w:highlight w:val="none"/>
                    </w:rPr>
                    <w:instrText xml:space="preserve"> = 1 \* GB3 </w:instrText>
                  </w:r>
                  <w:r>
                    <w:rPr>
                      <w:rFonts w:hint="default" w:ascii="Times New Roman" w:hAnsi="Times New Roman" w:cs="Times New Roman"/>
                      <w:color w:val="auto"/>
                      <w:sz w:val="18"/>
                      <w:szCs w:val="18"/>
                      <w:highlight w:val="none"/>
                    </w:rPr>
                    <w:fldChar w:fldCharType="separate"/>
                  </w:r>
                  <w:r>
                    <w:rPr>
                      <w:rFonts w:hint="default" w:ascii="Times New Roman" w:hAnsi="Times New Roman" w:cs="Times New Roman"/>
                      <w:color w:val="auto"/>
                      <w:sz w:val="18"/>
                      <w:szCs w:val="18"/>
                      <w:highlight w:val="none"/>
                    </w:rPr>
                    <w:t>①</w:t>
                  </w:r>
                  <w:r>
                    <w:rPr>
                      <w:rFonts w:hint="default" w:ascii="Times New Roman" w:hAnsi="Times New Roman" w:cs="Times New Roman"/>
                      <w:color w:val="auto"/>
                      <w:sz w:val="18"/>
                      <w:szCs w:val="18"/>
                      <w:highlight w:val="none"/>
                    </w:rPr>
                    <w:fldChar w:fldCharType="end"/>
                  </w:r>
                  <w:r>
                    <w:rPr>
                      <w:rFonts w:hint="default" w:ascii="Times New Roman" w:hAnsi="Times New Roman" w:cs="Times New Roman"/>
                      <w:color w:val="auto"/>
                      <w:sz w:val="18"/>
                      <w:szCs w:val="18"/>
                      <w:highlight w:val="none"/>
                    </w:rPr>
                    <w:t>本项目以鲜果为原料加工生产果汁，属于农副产品精深加工产业。</w:t>
                  </w:r>
                </w:p>
                <w:p w14:paraId="38EBA94C">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fldChar w:fldCharType="begin"/>
                  </w:r>
                  <w:r>
                    <w:rPr>
                      <w:rFonts w:hint="default" w:ascii="Times New Roman" w:hAnsi="Times New Roman" w:cs="Times New Roman"/>
                      <w:color w:val="auto"/>
                      <w:sz w:val="18"/>
                      <w:szCs w:val="18"/>
                      <w:highlight w:val="none"/>
                    </w:rPr>
                    <w:instrText xml:space="preserve"> = 2 \* GB3 </w:instrText>
                  </w:r>
                  <w:r>
                    <w:rPr>
                      <w:rFonts w:hint="default" w:ascii="Times New Roman" w:hAnsi="Times New Roman" w:cs="Times New Roman"/>
                      <w:color w:val="auto"/>
                      <w:sz w:val="18"/>
                      <w:szCs w:val="18"/>
                      <w:highlight w:val="none"/>
                    </w:rPr>
                    <w:fldChar w:fldCharType="separate"/>
                  </w:r>
                  <w:r>
                    <w:rPr>
                      <w:rFonts w:hint="default" w:ascii="Times New Roman" w:hAnsi="Times New Roman" w:cs="Times New Roman"/>
                      <w:color w:val="auto"/>
                      <w:sz w:val="18"/>
                      <w:szCs w:val="18"/>
                      <w:highlight w:val="none"/>
                    </w:rPr>
                    <w:t>②</w:t>
                  </w:r>
                  <w:r>
                    <w:rPr>
                      <w:rFonts w:hint="default" w:ascii="Times New Roman" w:hAnsi="Times New Roman" w:cs="Times New Roman"/>
                      <w:color w:val="auto"/>
                      <w:sz w:val="18"/>
                      <w:szCs w:val="18"/>
                      <w:highlight w:val="none"/>
                    </w:rPr>
                    <w:fldChar w:fldCharType="end"/>
                  </w:r>
                  <w:r>
                    <w:rPr>
                      <w:rFonts w:hint="default" w:ascii="Times New Roman" w:hAnsi="Times New Roman" w:cs="Times New Roman"/>
                      <w:color w:val="auto"/>
                      <w:sz w:val="18"/>
                      <w:szCs w:val="18"/>
                      <w:highlight w:val="none"/>
                    </w:rPr>
                    <w:t>项目主要占用</w:t>
                  </w:r>
                  <w:r>
                    <w:rPr>
                      <w:rFonts w:hint="eastAsia" w:ascii="Times New Roman" w:hAnsi="Times New Roman" w:cs="Times New Roman"/>
                      <w:color w:val="auto"/>
                      <w:sz w:val="18"/>
                      <w:szCs w:val="18"/>
                      <w:highlight w:val="none"/>
                      <w:lang w:val="en-US" w:eastAsia="zh-CN"/>
                    </w:rPr>
                    <w:t>工业用地</w:t>
                  </w:r>
                  <w:r>
                    <w:rPr>
                      <w:rFonts w:hint="default" w:ascii="Times New Roman" w:hAnsi="Times New Roman" w:cs="Times New Roman"/>
                      <w:color w:val="auto"/>
                      <w:sz w:val="18"/>
                      <w:szCs w:val="18"/>
                      <w:highlight w:val="none"/>
                    </w:rPr>
                    <w:t>，不涉及</w:t>
                  </w:r>
                  <w:r>
                    <w:rPr>
                      <w:rFonts w:hint="eastAsia" w:ascii="Times New Roman" w:hAnsi="Times New Roman" w:cs="Times New Roman"/>
                      <w:color w:val="auto"/>
                      <w:sz w:val="18"/>
                      <w:szCs w:val="18"/>
                      <w:highlight w:val="none"/>
                      <w:lang w:val="en-US" w:eastAsia="zh-CN"/>
                    </w:rPr>
                    <w:t>耕地、林地</w:t>
                  </w:r>
                  <w:r>
                    <w:rPr>
                      <w:rFonts w:hint="default" w:ascii="Times New Roman" w:hAnsi="Times New Roman" w:cs="Times New Roman"/>
                      <w:color w:val="auto"/>
                      <w:sz w:val="18"/>
                      <w:szCs w:val="18"/>
                      <w:highlight w:val="none"/>
                    </w:rPr>
                    <w:t>流沿岸天然林，项目范围处于人工绿洲，但不涉及绿色走廊区。</w:t>
                  </w:r>
                </w:p>
                <w:p w14:paraId="120AC09A">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both"/>
                    <w:textAlignment w:val="auto"/>
                    <w:rPr>
                      <w:rFonts w:hint="default" w:ascii="Times New Roman" w:hAnsi="Times New Roman" w:cs="Times New Roman"/>
                      <w:color w:val="auto"/>
                      <w:spacing w:val="-8"/>
                      <w:sz w:val="18"/>
                      <w:szCs w:val="18"/>
                      <w:highlight w:val="none"/>
                    </w:rPr>
                  </w:pPr>
                  <w:r>
                    <w:rPr>
                      <w:rFonts w:hint="default" w:ascii="Times New Roman" w:hAnsi="Times New Roman" w:cs="Times New Roman"/>
                      <w:color w:val="auto"/>
                      <w:spacing w:val="-8"/>
                      <w:sz w:val="18"/>
                      <w:szCs w:val="18"/>
                      <w:highlight w:val="none"/>
                    </w:rPr>
                    <w:t>③项目生产废水纳入农副产品加工基地污水处理厂</w:t>
                  </w:r>
                  <w:r>
                    <w:rPr>
                      <w:rFonts w:hint="eastAsia" w:ascii="Times New Roman" w:hAnsi="Times New Roman" w:cs="Times New Roman"/>
                      <w:color w:val="auto"/>
                      <w:spacing w:val="-8"/>
                      <w:sz w:val="18"/>
                      <w:szCs w:val="18"/>
                      <w:highlight w:val="none"/>
                      <w:lang w:val="en-US" w:eastAsia="zh-CN"/>
                    </w:rPr>
                    <w:t>处理处置，生活污水纳入园区</w:t>
                  </w:r>
                  <w:r>
                    <w:rPr>
                      <w:rFonts w:hint="eastAsia" w:cs="Times New Roman"/>
                      <w:color w:val="auto"/>
                      <w:spacing w:val="-8"/>
                      <w:sz w:val="18"/>
                      <w:szCs w:val="18"/>
                      <w:highlight w:val="none"/>
                      <w:lang w:val="en-US" w:eastAsia="zh-CN"/>
                    </w:rPr>
                    <w:t>市政管网</w:t>
                  </w:r>
                  <w:r>
                    <w:rPr>
                      <w:rFonts w:hint="default" w:ascii="Times New Roman" w:hAnsi="Times New Roman" w:cs="Times New Roman"/>
                      <w:color w:val="auto"/>
                      <w:spacing w:val="-8"/>
                      <w:sz w:val="18"/>
                      <w:szCs w:val="18"/>
                      <w:highlight w:val="none"/>
                    </w:rPr>
                    <w:t>；产生的各类固废均采取合理有效的处置措施。</w:t>
                  </w:r>
                </w:p>
                <w:p w14:paraId="00EA5B1E">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both"/>
                    <w:textAlignment w:val="auto"/>
                    <w:rPr>
                      <w:rFonts w:hint="eastAsia" w:cs="Times New Roman"/>
                      <w:color w:val="auto"/>
                      <w:spacing w:val="-8"/>
                      <w:sz w:val="18"/>
                      <w:szCs w:val="18"/>
                      <w:highlight w:val="none"/>
                      <w:lang w:val="en-US" w:eastAsia="zh-CN"/>
                    </w:rPr>
                  </w:pPr>
                  <w:r>
                    <w:rPr>
                      <w:rFonts w:hint="eastAsia" w:cs="Times New Roman"/>
                      <w:color w:val="auto"/>
                      <w:spacing w:val="-8"/>
                      <w:sz w:val="18"/>
                      <w:szCs w:val="18"/>
                      <w:highlight w:val="none"/>
                      <w:lang w:val="en-US" w:eastAsia="zh-CN"/>
                    </w:rPr>
                    <w:t>④项目果汁加工全流程节水管控，配套洗果水闭环循环、再生水替代等设施，尾水优先回用于周边果园灌溉。</w:t>
                  </w:r>
                </w:p>
                <w:p w14:paraId="106B9005">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both"/>
                    <w:textAlignment w:val="auto"/>
                    <w:rPr>
                      <w:rFonts w:hint="default" w:cs="Times New Roman"/>
                      <w:color w:val="auto"/>
                      <w:spacing w:val="-8"/>
                      <w:sz w:val="18"/>
                      <w:szCs w:val="18"/>
                      <w:highlight w:val="none"/>
                      <w:lang w:val="en-US" w:eastAsia="zh-CN"/>
                    </w:rPr>
                  </w:pPr>
                  <w:r>
                    <w:rPr>
                      <w:rFonts w:hint="eastAsia" w:cs="Times New Roman"/>
                      <w:color w:val="auto"/>
                      <w:spacing w:val="-8"/>
                      <w:sz w:val="18"/>
                      <w:szCs w:val="18"/>
                      <w:highlight w:val="none"/>
                      <w:lang w:val="en-US" w:eastAsia="zh-CN"/>
                    </w:rPr>
                    <w:t>⑤项目实现果渣果皮全量资源化利用，鲜全面提升农副精深加工环节资源利用效率，符合区域生态环境分区管控要求。</w:t>
                  </w:r>
                </w:p>
                <w:p w14:paraId="3F5691B7">
                  <w:pPr>
                    <w:pStyle w:val="133"/>
                    <w:keepNext w:val="0"/>
                    <w:keepLines w:val="0"/>
                    <w:pageBreakBefore w:val="0"/>
                    <w:widowControl/>
                    <w:kinsoku/>
                    <w:wordWrap/>
                    <w:overflowPunct/>
                    <w:topLinePunct w:val="0"/>
                    <w:autoSpaceDE/>
                    <w:autoSpaceDN/>
                    <w:bidi w:val="0"/>
                    <w:adjustRightInd/>
                    <w:snapToGrid/>
                    <w:spacing w:line="200" w:lineRule="exact"/>
                    <w:ind w:firstLine="0" w:firstLineChars="0"/>
                    <w:jc w:val="both"/>
                    <w:textAlignment w:val="auto"/>
                    <w:rPr>
                      <w:rFonts w:hint="default" w:ascii="Times New Roman" w:hAnsi="Times New Roman" w:cs="Times New Roman"/>
                      <w:color w:val="auto"/>
                      <w:sz w:val="18"/>
                      <w:szCs w:val="18"/>
                      <w:highlight w:val="none"/>
                    </w:rPr>
                  </w:pPr>
                  <w:r>
                    <w:rPr>
                      <w:rFonts w:hint="eastAsia" w:cs="Times New Roman"/>
                      <w:color w:val="auto"/>
                      <w:sz w:val="18"/>
                      <w:szCs w:val="18"/>
                      <w:highlight w:val="none"/>
                      <w:lang w:val="en-US" w:eastAsia="zh-CN"/>
                    </w:rPr>
                    <w:t>⑥综</w:t>
                  </w:r>
                  <w:r>
                    <w:rPr>
                      <w:rFonts w:hint="default" w:ascii="Times New Roman" w:hAnsi="Times New Roman" w:cs="Times New Roman"/>
                      <w:color w:val="auto"/>
                      <w:sz w:val="18"/>
                      <w:szCs w:val="18"/>
                      <w:highlight w:val="none"/>
                    </w:rPr>
                    <w:t>上，本项目实施符合南疆三地州片区（包括喀什地区、克州、和田地区）生态</w:t>
                  </w:r>
                  <w:r>
                    <w:rPr>
                      <w:rFonts w:hint="eastAsia" w:cs="Times New Roman"/>
                      <w:color w:val="auto"/>
                      <w:sz w:val="18"/>
                      <w:szCs w:val="18"/>
                      <w:highlight w:val="none"/>
                      <w:lang w:val="en-US" w:eastAsia="zh-CN"/>
                    </w:rPr>
                    <w:t>环境分区</w:t>
                  </w:r>
                  <w:r>
                    <w:rPr>
                      <w:rFonts w:hint="default" w:ascii="Times New Roman" w:hAnsi="Times New Roman" w:cs="Times New Roman"/>
                      <w:color w:val="auto"/>
                      <w:sz w:val="18"/>
                      <w:szCs w:val="18"/>
                      <w:highlight w:val="none"/>
                    </w:rPr>
                    <w:t>管控要求。</w:t>
                  </w:r>
                </w:p>
              </w:tc>
            </w:tr>
          </w:tbl>
          <w:p w14:paraId="7277A61B">
            <w:pPr>
              <w:autoSpaceDE w:val="0"/>
              <w:autoSpaceDN w:val="0"/>
              <w:adjustRightInd w:val="0"/>
              <w:snapToGrid w:val="0"/>
              <w:spacing w:line="360" w:lineRule="auto"/>
              <w:ind w:firstLine="482" w:firstLineChars="200"/>
              <w:rPr>
                <w:rFonts w:hint="default" w:ascii="Times New Roman" w:hAnsi="Times New Roman" w:cs="Times New Roman"/>
                <w:b/>
                <w:bCs/>
                <w:color w:val="auto"/>
                <w:highlight w:val="none"/>
              </w:rPr>
            </w:pPr>
            <w:r>
              <w:rPr>
                <w:rFonts w:hint="eastAsia" w:ascii="Times New Roman" w:hAnsi="Times New Roman" w:cs="Times New Roman"/>
                <w:b/>
                <w:bCs/>
                <w:color w:val="auto"/>
                <w:highlight w:val="none"/>
                <w:lang w:val="en-US" w:eastAsia="zh-CN"/>
              </w:rPr>
              <w:t>2.</w:t>
            </w:r>
            <w:r>
              <w:rPr>
                <w:rFonts w:hint="eastAsia" w:cs="Times New Roman"/>
                <w:b/>
                <w:bCs/>
                <w:color w:val="auto"/>
                <w:highlight w:val="none"/>
                <w:lang w:val="en-US" w:eastAsia="zh-CN"/>
              </w:rPr>
              <w:t>3</w:t>
            </w:r>
            <w:r>
              <w:rPr>
                <w:rFonts w:hint="default" w:ascii="Times New Roman" w:hAnsi="Times New Roman" w:cs="Times New Roman"/>
                <w:b/>
                <w:bCs/>
                <w:color w:val="auto"/>
                <w:highlight w:val="none"/>
              </w:rPr>
              <w:t>与《和田地区生态环境分区管控方案》及2023年动态更新成果符合性分析</w:t>
            </w:r>
          </w:p>
          <w:p w14:paraId="70367B16">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和田地区生态环境分区管控方案》及2023年动态更新成果，和田地区共划定环境管控单元94个，其中，优先保护单元57个，重点管控单元29个，一般管控单元8个，根据各单元管控要求，与本项目符合性分析如下：</w:t>
            </w:r>
          </w:p>
          <w:p w14:paraId="45E0293A">
            <w:pPr>
              <w:autoSpaceDE w:val="0"/>
              <w:autoSpaceDN w:val="0"/>
              <w:adjustRightInd w:val="0"/>
              <w:snapToGrid w:val="0"/>
              <w:spacing w:line="360" w:lineRule="auto"/>
              <w:ind w:firstLine="480" w:firstLineChars="20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（1）生态保护红线符合性分析</w:t>
            </w:r>
          </w:p>
          <w:p w14:paraId="25EBCAA2">
            <w:pPr>
              <w:autoSpaceDE w:val="0"/>
              <w:autoSpaceDN w:val="0"/>
              <w:adjustRightInd w:val="0"/>
              <w:snapToGrid w:val="0"/>
              <w:spacing w:line="360" w:lineRule="auto"/>
              <w:ind w:firstLine="480"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本项目位于民丰产业园，经核实，拟建项目不占用自然保护区、世界文化和自然遗产地等特殊生态敏感区，亦无风景名胜区、森林公园、地质公园、重要湿地、原始天然林、珍稀濒危野生动植物天然集中分布区、重要水生生物的自然产卵场及索饵场、越冬场和洄游通道、天然渔场等重要生态敏感区，不属于生态保护红线范围</w:t>
            </w:r>
            <w:r>
              <w:rPr>
                <w:rFonts w:hint="eastAsia" w:cs="Times New Roman"/>
                <w:color w:val="auto"/>
                <w:highlight w:val="none"/>
                <w:lang w:val="en-US" w:eastAsia="zh-CN"/>
              </w:rPr>
              <w:t>。项目与</w:t>
            </w:r>
            <w:r>
              <w:rPr>
                <w:rFonts w:hint="eastAsia" w:ascii="Times New Roman" w:hAnsi="Times New Roman" w:cs="Times New Roman"/>
                <w:color w:val="auto"/>
                <w:highlight w:val="none"/>
                <w:lang w:val="en-US" w:eastAsia="zh-CN"/>
              </w:rPr>
              <w:t>生态保护红线</w:t>
            </w:r>
            <w:r>
              <w:rPr>
                <w:rFonts w:hint="eastAsia" w:cs="Times New Roman"/>
                <w:color w:val="auto"/>
                <w:highlight w:val="none"/>
                <w:lang w:val="en-US" w:eastAsia="zh-CN"/>
              </w:rPr>
              <w:t>的位置关系</w:t>
            </w:r>
            <w:r>
              <w:rPr>
                <w:rFonts w:hint="eastAsia" w:ascii="Times New Roman" w:hAnsi="Times New Roman" w:cs="Times New Roman"/>
                <w:color w:val="auto"/>
                <w:highlight w:val="none"/>
                <w:lang w:val="en-US" w:eastAsia="zh-CN"/>
              </w:rPr>
              <w:t>见图</w:t>
            </w:r>
            <w:r>
              <w:rPr>
                <w:rFonts w:hint="eastAsia" w:cs="Times New Roman"/>
                <w:color w:val="auto"/>
                <w:highlight w:val="none"/>
                <w:lang w:val="en-US" w:eastAsia="zh-CN"/>
              </w:rPr>
              <w:t>1</w:t>
            </w:r>
            <w:r>
              <w:rPr>
                <w:rFonts w:hint="eastAsia" w:ascii="Times New Roman" w:hAnsi="Times New Roman" w:cs="Times New Roman"/>
                <w:color w:val="auto"/>
                <w:highlight w:val="none"/>
                <w:lang w:val="en-US" w:eastAsia="zh-CN"/>
              </w:rPr>
              <w:t>。</w:t>
            </w:r>
          </w:p>
          <w:p w14:paraId="328B1AA1">
            <w:pPr>
              <w:autoSpaceDE w:val="0"/>
              <w:autoSpaceDN w:val="0"/>
              <w:adjustRightInd w:val="0"/>
              <w:snapToGrid w:val="0"/>
              <w:spacing w:line="360" w:lineRule="auto"/>
              <w:ind w:firstLine="480" w:firstLineChars="20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（2）环境质量底线符合性分析</w:t>
            </w:r>
          </w:p>
          <w:p w14:paraId="62C6F5D1">
            <w:pPr>
              <w:autoSpaceDE w:val="0"/>
              <w:autoSpaceDN w:val="0"/>
              <w:adjustRightInd w:val="0"/>
              <w:snapToGrid w:val="0"/>
              <w:spacing w:line="360" w:lineRule="auto"/>
              <w:ind w:firstLine="480"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由环境现状调查可知，项目区所在区</w:t>
            </w:r>
            <w:r>
              <w:rPr>
                <w:rFonts w:hint="eastAsia" w:cs="Times New Roman"/>
                <w:color w:val="auto"/>
                <w:highlight w:val="none"/>
                <w:lang w:val="en-US" w:eastAsia="zh-CN"/>
              </w:rPr>
              <w:t>域</w:t>
            </w:r>
            <w:r>
              <w:rPr>
                <w:rFonts w:hint="eastAsia" w:ascii="Times New Roman" w:hAnsi="Times New Roman" w:cs="Times New Roman"/>
                <w:color w:val="auto"/>
                <w:highlight w:val="none"/>
                <w:lang w:val="en-US" w:eastAsia="zh-CN"/>
              </w:rPr>
              <w:t>最近的国控站点和田地区的六项基本因子中的</w:t>
            </w:r>
            <w:r>
              <w:rPr>
                <w:rFonts w:hint="default" w:ascii="Times New Roman" w:hAnsi="Times New Roman" w:cs="Times New Roman"/>
                <w:color w:val="auto"/>
                <w:highlight w:val="none"/>
                <w:lang w:val="en-US" w:eastAsia="zh-CN"/>
              </w:rPr>
              <w:t xml:space="preserve"> </w:t>
            </w:r>
            <w:r>
              <w:rPr>
                <w:rFonts w:hint="default" w:cs="Times New Roman"/>
                <w:color w:val="auto"/>
                <w:highlight w:val="none"/>
                <w:lang w:val="en-US" w:eastAsia="zh-CN"/>
              </w:rPr>
              <w:t>PM₁₀</w:t>
            </w:r>
            <w:r>
              <w:rPr>
                <w:rFonts w:hint="default" w:ascii="Times New Roman" w:hAnsi="Times New Roman" w:cs="Times New Roman"/>
                <w:color w:val="auto"/>
                <w:highlight w:val="none"/>
                <w:lang w:val="en-US" w:eastAsia="zh-CN"/>
              </w:rPr>
              <w:t>、</w:t>
            </w:r>
            <w:r>
              <w:rPr>
                <w:rFonts w:hint="default" w:cs="Times New Roman"/>
                <w:color w:val="auto"/>
                <w:highlight w:val="none"/>
                <w:lang w:val="en-US" w:eastAsia="zh-CN"/>
              </w:rPr>
              <w:t>PM₂․₅</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年均浓度超过《环境空气质量标准》（GB3095-20</w:t>
            </w:r>
            <w:r>
              <w:rPr>
                <w:rFonts w:hint="eastAsia" w:cs="Times New Roman"/>
                <w:color w:val="auto"/>
                <w:highlight w:val="none"/>
                <w:lang w:val="en-US" w:eastAsia="zh-CN"/>
              </w:rPr>
              <w:t>26</w:t>
            </w:r>
            <w:r>
              <w:rPr>
                <w:rFonts w:hint="eastAsia" w:ascii="Times New Roman" w:hAnsi="Times New Roman" w:cs="Times New Roman"/>
                <w:color w:val="auto"/>
                <w:highlight w:val="none"/>
                <w:lang w:val="en-US" w:eastAsia="zh-CN"/>
              </w:rPr>
              <w:t>）中二级</w:t>
            </w:r>
            <w:r>
              <w:rPr>
                <w:rFonts w:hint="eastAsia" w:cs="Times New Roman"/>
                <w:color w:val="auto"/>
                <w:highlight w:val="none"/>
                <w:lang w:val="en-US" w:eastAsia="zh-CN"/>
              </w:rPr>
              <w:t>过渡阶段</w:t>
            </w:r>
            <w:r>
              <w:rPr>
                <w:rFonts w:hint="eastAsia" w:ascii="Times New Roman" w:hAnsi="Times New Roman" w:cs="Times New Roman"/>
                <w:color w:val="auto"/>
                <w:highlight w:val="none"/>
                <w:lang w:val="en-US" w:eastAsia="zh-CN"/>
              </w:rPr>
              <w:t>标准限值，项目区环境空气质量为不达标区。</w:t>
            </w:r>
            <w:r>
              <w:rPr>
                <w:rFonts w:hint="default" w:ascii="Times New Roman" w:hAnsi="Times New Roman" w:cs="Times New Roman"/>
                <w:color w:val="auto"/>
                <w:highlight w:val="none"/>
              </w:rPr>
              <w:t>本项目为饮料制造——原汁生产的项</w:t>
            </w:r>
            <w:r>
              <w:rPr>
                <w:rFonts w:hint="eastAsia" w:ascii="Times New Roman" w:hAnsi="Times New Roman" w:cs="Times New Roman"/>
                <w:color w:val="auto"/>
                <w:highlight w:val="none"/>
                <w:lang w:val="en-US" w:eastAsia="zh-CN"/>
              </w:rPr>
              <w:t>目，施工期项目产生的废气、废水、固废，随施工期结束而消失，为暂时性影响。项目营运期会产生一定的</w:t>
            </w:r>
            <w:r>
              <w:rPr>
                <w:rFonts w:hint="eastAsia" w:cs="Times New Roman"/>
                <w:color w:val="auto"/>
                <w:highlight w:val="none"/>
                <w:lang w:val="en-US" w:eastAsia="zh-CN"/>
              </w:rPr>
              <w:t>废水</w:t>
            </w:r>
            <w:r>
              <w:rPr>
                <w:rFonts w:hint="eastAsia" w:ascii="Times New Roman" w:hAnsi="Times New Roman" w:cs="Times New Roman"/>
                <w:color w:val="auto"/>
                <w:highlight w:val="none"/>
                <w:lang w:val="en-US" w:eastAsia="zh-CN"/>
              </w:rPr>
              <w:t>等，</w:t>
            </w:r>
            <w:r>
              <w:rPr>
                <w:rFonts w:hint="eastAsia" w:cs="Times New Roman"/>
                <w:color w:val="auto"/>
                <w:kern w:val="0"/>
                <w:szCs w:val="21"/>
                <w:highlight w:val="none"/>
                <w:lang w:val="en-US" w:eastAsia="zh-CN"/>
              </w:rPr>
              <w:t>经项目区东南角的沉砂池沉淀后，送往西南方番茄酱厂污水处理站处理满足</w:t>
            </w:r>
            <w:r>
              <w:rPr>
                <w:rFonts w:hint="eastAsia" w:cs="Times New Roman"/>
                <w:color w:val="auto"/>
                <w:highlight w:val="none"/>
                <w:lang w:val="en-US" w:eastAsia="zh-CN"/>
              </w:rPr>
              <w:t>《污水综合排放标准》（GB8978-1996）及修改单</w:t>
            </w:r>
            <w:r>
              <w:rPr>
                <w:rFonts w:hint="default" w:ascii="Times New Roman" w:hAnsi="Times New Roman" w:cs="Times New Roman"/>
                <w:color w:val="auto"/>
                <w:highlight w:val="none"/>
                <w:lang w:val="en-US" w:eastAsia="zh-CN"/>
              </w:rPr>
              <w:t>三级标准及</w:t>
            </w:r>
            <w:r>
              <w:rPr>
                <w:rFonts w:hint="eastAsia" w:cs="Times New Roman"/>
                <w:color w:val="auto"/>
                <w:highlight w:val="none"/>
                <w:lang w:val="en-US" w:eastAsia="zh-CN"/>
              </w:rPr>
              <w:t>园区废水处理厂</w:t>
            </w:r>
            <w:r>
              <w:rPr>
                <w:rFonts w:hint="default" w:ascii="Times New Roman" w:hAnsi="Times New Roman" w:cs="Times New Roman"/>
                <w:color w:val="auto"/>
                <w:highlight w:val="none"/>
                <w:lang w:val="en-US" w:eastAsia="zh-CN"/>
              </w:rPr>
              <w:t>进水水质要求</w:t>
            </w:r>
            <w:r>
              <w:rPr>
                <w:rFonts w:hint="eastAsia" w:cs="Times New Roman"/>
                <w:color w:val="auto"/>
                <w:kern w:val="0"/>
                <w:szCs w:val="21"/>
                <w:highlight w:val="none"/>
                <w:lang w:val="en-US" w:eastAsia="zh-CN"/>
              </w:rPr>
              <w:t>后，通过园区</w:t>
            </w:r>
            <w:r>
              <w:rPr>
                <w:rFonts w:hint="eastAsia" w:ascii="Times New Roman" w:hAnsi="Times New Roman" w:cs="Times New Roman"/>
                <w:color w:val="auto"/>
                <w:kern w:val="0"/>
                <w:szCs w:val="21"/>
                <w:highlight w:val="none"/>
                <w:lang w:val="en-US" w:eastAsia="zh-CN"/>
              </w:rPr>
              <w:t>污水收集管网</w:t>
            </w:r>
            <w:r>
              <w:rPr>
                <w:rFonts w:hint="eastAsia" w:cs="Times New Roman"/>
                <w:color w:val="auto"/>
                <w:kern w:val="0"/>
                <w:szCs w:val="21"/>
                <w:highlight w:val="none"/>
                <w:lang w:val="en-US" w:eastAsia="zh-CN"/>
              </w:rPr>
              <w:t>，送往</w:t>
            </w:r>
            <w:r>
              <w:rPr>
                <w:rFonts w:hint="eastAsia" w:ascii="Times New Roman" w:hAnsi="Times New Roman" w:cs="Times New Roman"/>
                <w:color w:val="auto"/>
                <w:kern w:val="0"/>
                <w:szCs w:val="21"/>
                <w:highlight w:val="none"/>
                <w:lang w:val="en-US" w:eastAsia="zh-CN"/>
              </w:rPr>
              <w:t>农副产品加工基地污水处理厂</w:t>
            </w:r>
            <w:r>
              <w:rPr>
                <w:rFonts w:hint="eastAsia" w:cs="Times New Roman"/>
                <w:color w:val="auto"/>
                <w:kern w:val="0"/>
                <w:szCs w:val="21"/>
                <w:highlight w:val="none"/>
                <w:lang w:val="en-US" w:eastAsia="zh-CN"/>
              </w:rPr>
              <w:t>，处理水质达到《城市污水再生利用 农田灌溉用水水质》（GB20922-2007）后，用于水果园浇灌</w:t>
            </w:r>
            <w:r>
              <w:rPr>
                <w:rFonts w:hint="eastAsia" w:ascii="Times New Roman" w:hAnsi="Times New Roman" w:cs="Times New Roman"/>
                <w:color w:val="auto"/>
                <w:kern w:val="0"/>
                <w:szCs w:val="21"/>
                <w:highlight w:val="none"/>
                <w:lang w:val="en-US" w:eastAsia="zh-CN"/>
              </w:rPr>
              <w:t>。</w:t>
            </w:r>
            <w:r>
              <w:rPr>
                <w:rFonts w:hint="eastAsia" w:ascii="Times New Roman" w:hAnsi="Times New Roman" w:cs="Times New Roman"/>
                <w:color w:val="auto"/>
                <w:highlight w:val="none"/>
                <w:lang w:val="en-US" w:eastAsia="zh-CN"/>
              </w:rPr>
              <w:t>本工程对区域空气环境质量影响较小，不会因本项目的建设而突破所在区域环境质量底线。</w:t>
            </w:r>
          </w:p>
          <w:p w14:paraId="7445E93E">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（3）资源利用上线符合性分析</w:t>
            </w:r>
          </w:p>
          <w:p w14:paraId="14EDC34B">
            <w:pPr>
              <w:autoSpaceDE w:val="0"/>
              <w:autoSpaceDN w:val="0"/>
              <w:adjustRightInd w:val="0"/>
              <w:snapToGrid w:val="0"/>
              <w:spacing w:line="360" w:lineRule="auto"/>
              <w:ind w:firstLine="480" w:firstLineChars="20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本项目为饮料制造——原汁生产的项目，项目建设及营运过程中能耗、水资源消耗较小，总用地面积</w:t>
            </w:r>
            <w:r>
              <w:rPr>
                <w:rFonts w:hint="default" w:ascii="Times New Roman" w:hAnsi="Times New Roman" w:cs="Times New Roman"/>
                <w:color w:val="auto"/>
                <w:highlight w:val="none"/>
              </w:rPr>
              <w:t>2749.42m²</w:t>
            </w:r>
            <w:r>
              <w:rPr>
                <w:rFonts w:hint="eastAsia" w:ascii="Times New Roman" w:hAnsi="Times New Roman" w:cs="Times New Roman"/>
                <w:color w:val="auto"/>
                <w:highlight w:val="none"/>
                <w:lang w:eastAsia="zh-CN"/>
              </w:rPr>
              <w:t>。项目区域植被覆盖度较低，不涉及规划矿产区，沿线无压覆矿产资源。</w:t>
            </w:r>
            <w:r>
              <w:rPr>
                <w:rFonts w:hint="default" w:ascii="Times New Roman" w:hAnsi="Times New Roman" w:cs="Times New Roman"/>
                <w:color w:val="auto"/>
                <w:highlight w:val="none"/>
              </w:rPr>
              <w:t>项目运营期</w:t>
            </w:r>
            <w:r>
              <w:rPr>
                <w:rFonts w:hint="eastAsia" w:cs="Times New Roman"/>
                <w:color w:val="auto"/>
                <w:highlight w:val="none"/>
                <w:lang w:val="en-US" w:eastAsia="zh-CN"/>
              </w:rPr>
              <w:t>消耗少量的新鲜水、蒸汽等二次能</w:t>
            </w:r>
            <w:r>
              <w:rPr>
                <w:rFonts w:hint="default" w:ascii="Times New Roman" w:hAnsi="Times New Roman" w:cs="Times New Roman"/>
                <w:color w:val="auto"/>
                <w:highlight w:val="none"/>
              </w:rPr>
              <w:t>源，不会超过</w:t>
            </w:r>
            <w:r>
              <w:rPr>
                <w:rFonts w:hint="eastAsia" w:cs="Times New Roman"/>
                <w:color w:val="auto"/>
                <w:highlight w:val="none"/>
                <w:lang w:val="en-US" w:eastAsia="zh-CN"/>
              </w:rPr>
              <w:t>区域</w:t>
            </w:r>
            <w:r>
              <w:rPr>
                <w:rFonts w:hint="default" w:ascii="Times New Roman" w:hAnsi="Times New Roman" w:cs="Times New Roman"/>
                <w:color w:val="auto"/>
                <w:highlight w:val="none"/>
              </w:rPr>
              <w:t>划定的资源利用上限，不会超过划定的资源利用上限</w:t>
            </w:r>
            <w:r>
              <w:rPr>
                <w:rFonts w:hint="eastAsia" w:ascii="Times New Roman" w:hAnsi="Times New Roman" w:cs="Times New Roman"/>
                <w:color w:val="auto"/>
                <w:highlight w:val="none"/>
                <w:lang w:eastAsia="zh-CN"/>
              </w:rPr>
              <w:t>，不会超过划定的资源利用上限。综上所述，本项目的建设符合资源利用上线要求。</w:t>
            </w:r>
          </w:p>
          <w:p w14:paraId="46F98070">
            <w:pPr>
              <w:autoSpaceDE w:val="0"/>
              <w:autoSpaceDN w:val="0"/>
              <w:adjustRightInd w:val="0"/>
              <w:snapToGrid w:val="0"/>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4</w:t>
            </w:r>
            <w:r>
              <w:rPr>
                <w:rFonts w:hint="eastAsia" w:ascii="Times New Roman" w:hAnsi="Times New Roman" w:cs="Times New Roman"/>
                <w:color w:val="auto"/>
                <w:highlight w:val="none"/>
                <w:lang w:eastAsia="zh-CN"/>
              </w:rPr>
              <w:t>）与</w:t>
            </w:r>
            <w:r>
              <w:rPr>
                <w:rFonts w:hint="eastAsia" w:cs="Times New Roman"/>
                <w:color w:val="auto"/>
                <w:highlight w:val="none"/>
                <w:lang w:val="en-US" w:eastAsia="zh-CN"/>
              </w:rPr>
              <w:t>生态</w:t>
            </w:r>
            <w:r>
              <w:rPr>
                <w:rFonts w:hint="eastAsia" w:ascii="Times New Roman" w:hAnsi="Times New Roman" w:cs="Times New Roman"/>
                <w:color w:val="auto"/>
                <w:highlight w:val="none"/>
                <w:lang w:eastAsia="zh-CN"/>
              </w:rPr>
              <w:t>环境准入清单符合性分析</w:t>
            </w:r>
          </w:p>
          <w:p w14:paraId="6E53B051">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对照《和田地区生态环境分区管控更新成果（2023 版）》，本项目位于民丰县一般生态空间优先</w:t>
            </w:r>
            <w:r>
              <w:rPr>
                <w:rFonts w:hint="eastAsia" w:cs="Times New Roman"/>
                <w:color w:val="auto"/>
                <w:highlight w:val="none"/>
                <w:lang w:val="en-US" w:eastAsia="zh-CN"/>
              </w:rPr>
              <w:t>保护</w:t>
            </w:r>
            <w:r>
              <w:rPr>
                <w:rFonts w:hint="default" w:ascii="Times New Roman" w:hAnsi="Times New Roman" w:cs="Times New Roman"/>
                <w:color w:val="auto"/>
                <w:highlight w:val="none"/>
              </w:rPr>
              <w:t>单元（环境管控单元编码：ZH65322710009）和民丰县一般管控区一般管控单元（环境管控单元编码：ZH65322730001）。本项目属于民丰产业园</w:t>
            </w:r>
            <w:r>
              <w:rPr>
                <w:rFonts w:hint="eastAsia" w:ascii="Times New Roman" w:hAnsi="Times New Roman" w:cs="Times New Roman"/>
                <w:color w:val="auto"/>
                <w:highlight w:val="none"/>
                <w:lang w:val="en-US" w:eastAsia="zh-CN"/>
              </w:rPr>
              <w:t>饮料制造</w:t>
            </w:r>
            <w:r>
              <w:rPr>
                <w:rFonts w:hint="default" w:ascii="Times New Roman" w:hAnsi="Times New Roman" w:cs="Times New Roman"/>
                <w:color w:val="auto"/>
                <w:highlight w:val="none"/>
              </w:rPr>
              <w:t>项目，对照相关管控单元的空间布局约束、污染物排放管控、环境风险管控、资源</w:t>
            </w:r>
            <w:r>
              <w:rPr>
                <w:rFonts w:hint="eastAsia" w:cs="Times New Roman"/>
                <w:color w:val="auto"/>
                <w:highlight w:val="none"/>
                <w:lang w:val="en-US" w:eastAsia="zh-CN"/>
              </w:rPr>
              <w:t>利用效</w:t>
            </w:r>
            <w:r>
              <w:rPr>
                <w:rFonts w:hint="default" w:ascii="Times New Roman" w:hAnsi="Times New Roman" w:cs="Times New Roman"/>
                <w:color w:val="auto"/>
                <w:highlight w:val="none"/>
              </w:rPr>
              <w:t>率要求，本项目的建设符合</w:t>
            </w:r>
            <w:r>
              <w:rPr>
                <w:rFonts w:hint="eastAsia" w:cs="Times New Roman"/>
                <w:color w:val="auto"/>
                <w:highlight w:val="none"/>
                <w:lang w:val="en-US" w:eastAsia="zh-CN"/>
              </w:rPr>
              <w:t>涉及</w:t>
            </w:r>
            <w:r>
              <w:rPr>
                <w:rFonts w:hint="default" w:ascii="Times New Roman" w:hAnsi="Times New Roman" w:cs="Times New Roman"/>
                <w:color w:val="auto"/>
                <w:highlight w:val="none"/>
              </w:rPr>
              <w:t>管控单元</w:t>
            </w:r>
            <w:r>
              <w:rPr>
                <w:rFonts w:hint="eastAsia" w:cs="Times New Roman"/>
                <w:color w:val="auto"/>
                <w:highlight w:val="none"/>
                <w:lang w:val="en-US" w:eastAsia="zh-CN"/>
              </w:rPr>
              <w:t>的生态</w:t>
            </w:r>
            <w:r>
              <w:rPr>
                <w:rFonts w:hint="default" w:ascii="Times New Roman" w:hAnsi="Times New Roman" w:cs="Times New Roman"/>
                <w:color w:val="auto"/>
                <w:highlight w:val="none"/>
              </w:rPr>
              <w:t>环境准入要求。</w:t>
            </w:r>
          </w:p>
          <w:p w14:paraId="47905D47">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本项目与《和田地区生态环境分区管控更新成果（2023版）》。本项目涉及环境管控单元信息见表</w:t>
            </w:r>
            <w:r>
              <w:rPr>
                <w:rFonts w:hint="eastAsia" w:ascii="Times New Roman" w:hAnsi="Times New Roman" w:cs="Times New Roman"/>
                <w:color w:val="auto"/>
                <w:highlight w:val="none"/>
                <w:lang w:val="en-US" w:eastAsia="zh-CN"/>
              </w:rPr>
              <w:t>1-2</w:t>
            </w:r>
            <w:r>
              <w:rPr>
                <w:rFonts w:hint="default" w:ascii="Times New Roman" w:hAnsi="Times New Roman" w:cs="Times New Roman"/>
                <w:color w:val="auto"/>
                <w:highlight w:val="none"/>
              </w:rPr>
              <w:t>。</w:t>
            </w:r>
          </w:p>
          <w:p w14:paraId="5233EF85">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施工期将严格控制施工作业范围，避免大面积扰动地表和破坏原有沙结皮。对临时堆土场、裸露地面及时采用防尘网覆盖，施工结束后立即进行土地平整和植被恢复。运营期将实施厂区绿化，优先选用耐旱、固沙能力强的本土植物种，如梭梭、柽柳等，将厂区绿化与区域防风固沙体系相结合，增强项目区自身的防风固沙能力，绝不因本项目建设加剧土地沙化。</w:t>
            </w:r>
          </w:p>
          <w:p w14:paraId="7224244F">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项目选址避让了重要的自然植被集中分布区和野生动物栖息地、迁徙通道。施工前将对施工人员进行生态保护教育，明确禁止猎捕野生动物和破坏野生植被。优化施工时序，尽量避免在鸟类等野生动物繁殖季节进行高噪声作业。通过厂区及周边的生态绿化建设，营造局部小生境，逐步恢复区域植被覆盖，对维护和提升当地生物多样性起到积极作用。</w:t>
            </w:r>
          </w:p>
          <w:p w14:paraId="40EE93DA">
            <w:pPr>
              <w:adjustRightInd w:val="0"/>
              <w:snapToGrid w:val="0"/>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表1-3    本项目所涉及环境管控单元信息表</w:t>
            </w:r>
          </w:p>
          <w:tbl>
            <w:tblPr>
              <w:tblStyle w:val="30"/>
              <w:tblW w:w="5000" w:type="pct"/>
              <w:tblInd w:w="0" w:type="dxa"/>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autofit"/>
              <w:tblCellMar>
                <w:top w:w="0" w:type="dxa"/>
                <w:left w:w="11" w:type="dxa"/>
                <w:bottom w:w="0" w:type="dxa"/>
                <w:right w:w="11" w:type="dxa"/>
              </w:tblCellMar>
            </w:tblPr>
            <w:tblGrid>
              <w:gridCol w:w="498"/>
              <w:gridCol w:w="300"/>
              <w:gridCol w:w="1733"/>
              <w:gridCol w:w="3450"/>
              <w:gridCol w:w="738"/>
            </w:tblGrid>
            <w:tr w14:paraId="11E677A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1" w:type="dxa"/>
                  <w:bottom w:w="0" w:type="dxa"/>
                  <w:right w:w="11" w:type="dxa"/>
                </w:tblCellMar>
              </w:tblPrEx>
              <w:trPr>
                <w:trHeight w:val="312" w:hRule="atLeast"/>
              </w:trPr>
              <w:tc>
                <w:tcPr>
                  <w:tcW w:w="371" w:type="pct"/>
                  <w:vMerge w:val="restart"/>
                  <w:tcBorders>
                    <w:bottom w:val="single" w:color="auto" w:sz="4" w:space="0"/>
                    <w:right w:val="single" w:color="auto" w:sz="4" w:space="0"/>
                  </w:tcBorders>
                  <w:shd w:val="clear" w:color="auto" w:fill="auto"/>
                  <w:vAlign w:val="center"/>
                </w:tcPr>
                <w:p w14:paraId="4F34CB2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单元编码</w:t>
                  </w:r>
                </w:p>
              </w:tc>
              <w:tc>
                <w:tcPr>
                  <w:tcW w:w="1512" w:type="pct"/>
                  <w:gridSpan w:val="2"/>
                  <w:vMerge w:val="restart"/>
                  <w:tcBorders>
                    <w:left w:val="single" w:color="auto" w:sz="4" w:space="0"/>
                    <w:right w:val="single" w:color="auto" w:sz="4" w:space="0"/>
                  </w:tcBorders>
                  <w:vAlign w:val="center"/>
                </w:tcPr>
                <w:p w14:paraId="1B3C563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管控要求</w:t>
                  </w:r>
                </w:p>
              </w:tc>
              <w:tc>
                <w:tcPr>
                  <w:tcW w:w="2566" w:type="pct"/>
                  <w:vMerge w:val="restart"/>
                  <w:tcBorders>
                    <w:left w:val="single" w:color="auto" w:sz="4" w:space="0"/>
                  </w:tcBorders>
                  <w:shd w:val="clear" w:color="auto" w:fill="auto"/>
                  <w:vAlign w:val="center"/>
                </w:tcPr>
                <w:p w14:paraId="6D1737A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本项目</w:t>
                  </w:r>
                </w:p>
              </w:tc>
              <w:tc>
                <w:tcPr>
                  <w:tcW w:w="549" w:type="pct"/>
                  <w:vMerge w:val="restart"/>
                  <w:tcBorders>
                    <w:left w:val="single" w:color="auto" w:sz="4" w:space="0"/>
                    <w:bottom w:val="single" w:color="auto" w:sz="4" w:space="0"/>
                  </w:tcBorders>
                  <w:shd w:val="clear" w:color="auto" w:fill="auto"/>
                  <w:vAlign w:val="center"/>
                </w:tcPr>
                <w:p w14:paraId="32359B2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符合性分析</w:t>
                  </w:r>
                </w:p>
              </w:tc>
            </w:tr>
            <w:tr w14:paraId="40FBA74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1" w:type="dxa"/>
                  <w:bottom w:w="0" w:type="dxa"/>
                  <w:right w:w="11" w:type="dxa"/>
                </w:tblCellMar>
              </w:tblPrEx>
              <w:trPr>
                <w:trHeight w:val="312" w:hRule="atLeast"/>
              </w:trPr>
              <w:tc>
                <w:tcPr>
                  <w:tcW w:w="371" w:type="pct"/>
                  <w:vMerge w:val="continue"/>
                  <w:tcBorders>
                    <w:top w:val="single" w:color="auto" w:sz="4" w:space="0"/>
                    <w:bottom w:val="single" w:color="auto" w:sz="4" w:space="0"/>
                    <w:right w:val="single" w:color="auto" w:sz="4" w:space="0"/>
                  </w:tcBorders>
                  <w:vAlign w:val="center"/>
                </w:tcPr>
                <w:p w14:paraId="38FBF41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p>
              </w:tc>
              <w:tc>
                <w:tcPr>
                  <w:tcW w:w="1512" w:type="pct"/>
                  <w:gridSpan w:val="2"/>
                  <w:vMerge w:val="continue"/>
                  <w:tcBorders>
                    <w:left w:val="single" w:color="auto" w:sz="4" w:space="0"/>
                    <w:bottom w:val="single" w:color="auto" w:sz="4" w:space="0"/>
                    <w:right w:val="single" w:color="auto" w:sz="4" w:space="0"/>
                  </w:tcBorders>
                  <w:vAlign w:val="center"/>
                </w:tcPr>
                <w:p w14:paraId="20EE922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p>
              </w:tc>
              <w:tc>
                <w:tcPr>
                  <w:tcW w:w="2566" w:type="pct"/>
                  <w:vMerge w:val="continue"/>
                  <w:tcBorders>
                    <w:left w:val="single" w:color="auto" w:sz="4" w:space="0"/>
                    <w:bottom w:val="single" w:color="auto" w:sz="4" w:space="0"/>
                  </w:tcBorders>
                  <w:vAlign w:val="center"/>
                </w:tcPr>
                <w:p w14:paraId="236EA6C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p>
              </w:tc>
              <w:tc>
                <w:tcPr>
                  <w:tcW w:w="549" w:type="pct"/>
                  <w:vMerge w:val="continue"/>
                  <w:tcBorders>
                    <w:top w:val="single" w:color="auto" w:sz="4" w:space="0"/>
                    <w:left w:val="single" w:color="auto" w:sz="4" w:space="0"/>
                    <w:bottom w:val="single" w:color="auto" w:sz="4" w:space="0"/>
                  </w:tcBorders>
                  <w:vAlign w:val="center"/>
                </w:tcPr>
                <w:p w14:paraId="49D0285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p>
              </w:tc>
            </w:tr>
            <w:tr w14:paraId="50ADE64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1" w:type="dxa"/>
                  <w:bottom w:w="0" w:type="dxa"/>
                  <w:right w:w="11" w:type="dxa"/>
                </w:tblCellMar>
              </w:tblPrEx>
              <w:trPr>
                <w:trHeight w:val="0" w:hRule="atLeast"/>
              </w:trPr>
              <w:tc>
                <w:tcPr>
                  <w:tcW w:w="371" w:type="pct"/>
                  <w:vMerge w:val="restart"/>
                  <w:tcBorders>
                    <w:top w:val="nil"/>
                    <w:right w:val="single" w:color="auto" w:sz="4" w:space="0"/>
                  </w:tcBorders>
                  <w:shd w:val="clear" w:color="auto" w:fill="auto"/>
                  <w:vAlign w:val="center"/>
                </w:tcPr>
                <w:p w14:paraId="1C8AE0B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民丰</w:t>
                  </w:r>
                </w:p>
                <w:p w14:paraId="4FF9500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县一</w:t>
                  </w:r>
                </w:p>
                <w:p w14:paraId="7697E77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般生</w:t>
                  </w:r>
                </w:p>
                <w:p w14:paraId="110960A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态空</w:t>
                  </w:r>
                </w:p>
                <w:p w14:paraId="24A5C8D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间优</w:t>
                  </w:r>
                </w:p>
                <w:p w14:paraId="761612F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先</w:t>
                  </w:r>
                  <w:r>
                    <w:rPr>
                      <w:rFonts w:hint="eastAsia" w:cs="Times New Roman"/>
                      <w:color w:val="auto"/>
                      <w:kern w:val="0"/>
                      <w:sz w:val="18"/>
                      <w:szCs w:val="18"/>
                      <w:highlight w:val="none"/>
                      <w:lang w:val="en-US" w:eastAsia="zh-CN"/>
                    </w:rPr>
                    <w:t>保护</w:t>
                  </w:r>
                  <w:r>
                    <w:rPr>
                      <w:rFonts w:hint="default" w:ascii="Times New Roman" w:hAnsi="Times New Roman" w:cs="Times New Roman"/>
                      <w:color w:val="auto"/>
                      <w:kern w:val="0"/>
                      <w:sz w:val="18"/>
                      <w:szCs w:val="18"/>
                      <w:highlight w:val="none"/>
                    </w:rPr>
                    <w:t>单</w:t>
                  </w:r>
                </w:p>
                <w:p w14:paraId="2A21F40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元</w:t>
                  </w:r>
                </w:p>
                <w:p w14:paraId="74B9712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（ZH</w:t>
                  </w:r>
                </w:p>
                <w:p w14:paraId="0CD36C2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65322</w:t>
                  </w:r>
                </w:p>
                <w:p w14:paraId="2EFA417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71000</w:t>
                  </w:r>
                </w:p>
                <w:p w14:paraId="0286AEC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9）</w:t>
                  </w:r>
                </w:p>
              </w:tc>
              <w:tc>
                <w:tcPr>
                  <w:tcW w:w="223" w:type="pct"/>
                  <w:tcBorders>
                    <w:top w:val="nil"/>
                    <w:left w:val="single" w:color="auto" w:sz="4" w:space="0"/>
                    <w:bottom w:val="single" w:color="000000" w:sz="4" w:space="0"/>
                    <w:right w:val="single" w:color="auto" w:sz="4" w:space="0"/>
                  </w:tcBorders>
                  <w:vAlign w:val="center"/>
                </w:tcPr>
                <w:p w14:paraId="3F3801D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空间布局约束</w:t>
                  </w:r>
                </w:p>
              </w:tc>
              <w:tc>
                <w:tcPr>
                  <w:tcW w:w="1289" w:type="pct"/>
                  <w:tcBorders>
                    <w:top w:val="nil"/>
                    <w:left w:val="single" w:color="auto" w:sz="4" w:space="0"/>
                    <w:bottom w:val="single" w:color="000000" w:sz="4" w:space="0"/>
                    <w:right w:val="single" w:color="auto" w:sz="4" w:space="0"/>
                  </w:tcBorders>
                  <w:shd w:val="clear" w:color="auto" w:fill="auto"/>
                  <w:vAlign w:val="center"/>
                </w:tcPr>
                <w:p w14:paraId="562D8D00">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执行优先保护单元中一般生态空间总体管控要求，对应相关属性执行防风固沙型功能极重要和重要区、生物多样性维护型功能极重要和重要区、水土流失预防型极敏感和敏感区、土地沙化预防型极敏感和敏感区、生态公益林关于空间布局约束的准入要求。</w:t>
                  </w:r>
                </w:p>
              </w:tc>
              <w:tc>
                <w:tcPr>
                  <w:tcW w:w="2566" w:type="pct"/>
                  <w:tcBorders>
                    <w:top w:val="nil"/>
                    <w:left w:val="single" w:color="auto" w:sz="4" w:space="0"/>
                    <w:bottom w:val="single" w:color="000000" w:sz="4" w:space="0"/>
                  </w:tcBorders>
                  <w:shd w:val="clear" w:color="auto" w:fill="auto"/>
                  <w:vAlign w:val="center"/>
                </w:tcPr>
                <w:p w14:paraId="30296357">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本项目施工注重生物多样性保护，采取措施预防施工区域水土流失、土地沙化。本项目施工期将严格控制施工作业范围，避免大面积扰动地表和破坏原有沙结皮。对临时堆土场、裸露地面及时采用防尘网覆盖，施工结束后立即进行土地平整和植被恢复。运营期将高标准实施厂区绿化，优先选用耐旱、固沙能力强的本土植物种，如梭梭、柽柳等，将厂区绿化与区域防风固沙体系相结合，增强项目区自身的防风固沙能力，绝不因本项目建设加剧土地沙化。</w:t>
                  </w:r>
                </w:p>
                <w:p w14:paraId="087D847A">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eastAsia" w:ascii="Times New Roman" w:hAnsi="Times New Roman" w:eastAsia="宋体" w:cs="Times New Roman"/>
                      <w:color w:val="auto"/>
                      <w:kern w:val="0"/>
                      <w:sz w:val="18"/>
                      <w:szCs w:val="18"/>
                      <w:highlight w:val="none"/>
                      <w:lang w:eastAsia="zh-CN"/>
                    </w:rPr>
                  </w:pPr>
                  <w:r>
                    <w:rPr>
                      <w:rFonts w:hint="default" w:ascii="Times New Roman" w:hAnsi="Times New Roman" w:cs="Times New Roman"/>
                      <w:color w:val="auto"/>
                      <w:kern w:val="0"/>
                      <w:sz w:val="18"/>
                      <w:szCs w:val="18"/>
                      <w:highlight w:val="none"/>
                    </w:rPr>
                    <w:t>项目选址避让了重要的自然植被集中分布区和野生动物栖息地、迁徙通道。施工前将对施工人员进行生态保护教育，明确禁止猎捕野生动物和破坏野生植被。优化施工时序，尽量避免在鸟类等野生动物繁殖季节进行高噪声作业。通过厂区及周边的生态绿化建设，营造局部小生境，逐步恢复区域植被覆盖，对维护和提升当地生物</w:t>
                  </w:r>
                  <w:r>
                    <w:rPr>
                      <w:rFonts w:hint="eastAsia" w:ascii="Times New Roman" w:hAnsi="Times New Roman" w:cs="Times New Roman"/>
                      <w:color w:val="auto"/>
                      <w:kern w:val="0"/>
                      <w:sz w:val="18"/>
                      <w:szCs w:val="18"/>
                      <w:highlight w:val="none"/>
                      <w:lang w:eastAsia="zh-CN"/>
                    </w:rPr>
                    <w:t>。</w:t>
                  </w:r>
                </w:p>
              </w:tc>
              <w:tc>
                <w:tcPr>
                  <w:tcW w:w="549" w:type="pct"/>
                  <w:tcBorders>
                    <w:top w:val="nil"/>
                    <w:left w:val="single" w:color="auto" w:sz="4" w:space="0"/>
                    <w:bottom w:val="single" w:color="000000" w:sz="4" w:space="0"/>
                  </w:tcBorders>
                  <w:shd w:val="clear" w:color="auto" w:fill="auto"/>
                  <w:vAlign w:val="center"/>
                </w:tcPr>
                <w:p w14:paraId="047E0D9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符合</w:t>
                  </w:r>
                </w:p>
              </w:tc>
            </w:tr>
            <w:tr w14:paraId="6388303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1" w:type="dxa"/>
                  <w:bottom w:w="0" w:type="dxa"/>
                  <w:right w:w="11" w:type="dxa"/>
                </w:tblCellMar>
              </w:tblPrEx>
              <w:trPr>
                <w:trHeight w:val="0" w:hRule="atLeast"/>
              </w:trPr>
              <w:tc>
                <w:tcPr>
                  <w:tcW w:w="371" w:type="pct"/>
                  <w:vMerge w:val="continue"/>
                  <w:tcBorders>
                    <w:right w:val="single" w:color="auto" w:sz="4" w:space="0"/>
                  </w:tcBorders>
                  <w:shd w:val="clear" w:color="auto" w:fill="auto"/>
                  <w:vAlign w:val="center"/>
                </w:tcPr>
                <w:p w14:paraId="01A2C46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p>
              </w:tc>
              <w:tc>
                <w:tcPr>
                  <w:tcW w:w="223" w:type="pct"/>
                  <w:tcBorders>
                    <w:top w:val="nil"/>
                    <w:left w:val="single" w:color="auto" w:sz="4" w:space="0"/>
                    <w:bottom w:val="single" w:color="000000" w:sz="4" w:space="0"/>
                    <w:right w:val="single" w:color="auto" w:sz="4" w:space="0"/>
                  </w:tcBorders>
                  <w:vAlign w:val="center"/>
                </w:tcPr>
                <w:p w14:paraId="6AED45E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spacing w:val="-4"/>
                      <w:sz w:val="18"/>
                      <w:szCs w:val="18"/>
                      <w:highlight w:val="none"/>
                    </w:rPr>
                    <w:t>污染物排放管控</w:t>
                  </w:r>
                </w:p>
              </w:tc>
              <w:tc>
                <w:tcPr>
                  <w:tcW w:w="1289" w:type="pct"/>
                  <w:tcBorders>
                    <w:top w:val="nil"/>
                    <w:left w:val="single" w:color="auto" w:sz="4" w:space="0"/>
                    <w:bottom w:val="single" w:color="000000" w:sz="4" w:space="0"/>
                    <w:right w:val="single" w:color="auto" w:sz="4" w:space="0"/>
                  </w:tcBorders>
                  <w:shd w:val="clear" w:color="auto" w:fill="auto"/>
                  <w:vAlign w:val="center"/>
                </w:tcPr>
                <w:p w14:paraId="615EFCE7">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w:t>
                  </w:r>
                </w:p>
              </w:tc>
              <w:tc>
                <w:tcPr>
                  <w:tcW w:w="2566" w:type="pct"/>
                  <w:tcBorders>
                    <w:top w:val="nil"/>
                    <w:left w:val="single" w:color="auto" w:sz="4" w:space="0"/>
                    <w:bottom w:val="single" w:color="000000" w:sz="4" w:space="0"/>
                  </w:tcBorders>
                  <w:shd w:val="clear" w:color="auto" w:fill="auto"/>
                  <w:vAlign w:val="center"/>
                </w:tcPr>
                <w:p w14:paraId="5E12ACAE">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本项目根据自身特点对产生的污染影响采取相应的污染防治措施，能够满足环境质量要求。</w:t>
                  </w:r>
                </w:p>
              </w:tc>
              <w:tc>
                <w:tcPr>
                  <w:tcW w:w="549" w:type="pct"/>
                  <w:tcBorders>
                    <w:top w:val="nil"/>
                    <w:left w:val="single" w:color="auto" w:sz="4" w:space="0"/>
                    <w:bottom w:val="single" w:color="000000" w:sz="4" w:space="0"/>
                  </w:tcBorders>
                  <w:shd w:val="clear" w:color="auto" w:fill="auto"/>
                  <w:vAlign w:val="center"/>
                </w:tcPr>
                <w:p w14:paraId="559F19A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lang w:val="en-US" w:eastAsia="zh-CN"/>
                    </w:rPr>
                    <w:t>符合</w:t>
                  </w:r>
                </w:p>
              </w:tc>
            </w:tr>
            <w:tr w14:paraId="653CC1A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1" w:type="dxa"/>
                  <w:bottom w:w="0" w:type="dxa"/>
                  <w:right w:w="11" w:type="dxa"/>
                </w:tblCellMar>
              </w:tblPrEx>
              <w:trPr>
                <w:trHeight w:val="0" w:hRule="atLeast"/>
              </w:trPr>
              <w:tc>
                <w:tcPr>
                  <w:tcW w:w="371" w:type="pct"/>
                  <w:vMerge w:val="continue"/>
                  <w:tcBorders>
                    <w:right w:val="single" w:color="auto" w:sz="4" w:space="0"/>
                  </w:tcBorders>
                  <w:shd w:val="clear" w:color="auto" w:fill="auto"/>
                  <w:vAlign w:val="center"/>
                </w:tcPr>
                <w:p w14:paraId="5B6B91A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p>
              </w:tc>
              <w:tc>
                <w:tcPr>
                  <w:tcW w:w="223" w:type="pct"/>
                  <w:tcBorders>
                    <w:top w:val="nil"/>
                    <w:left w:val="single" w:color="auto" w:sz="4" w:space="0"/>
                    <w:bottom w:val="single" w:color="000000" w:sz="4" w:space="0"/>
                    <w:right w:val="single" w:color="auto" w:sz="4" w:space="0"/>
                  </w:tcBorders>
                  <w:vAlign w:val="center"/>
                </w:tcPr>
                <w:p w14:paraId="73DF9E9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spacing w:val="-4"/>
                      <w:sz w:val="18"/>
                      <w:szCs w:val="18"/>
                      <w:highlight w:val="none"/>
                    </w:rPr>
                    <w:t>环境风险防控</w:t>
                  </w:r>
                </w:p>
              </w:tc>
              <w:tc>
                <w:tcPr>
                  <w:tcW w:w="1289" w:type="pct"/>
                  <w:tcBorders>
                    <w:top w:val="nil"/>
                    <w:left w:val="single" w:color="auto" w:sz="4" w:space="0"/>
                    <w:bottom w:val="single" w:color="000000" w:sz="4" w:space="0"/>
                    <w:right w:val="single" w:color="auto" w:sz="4" w:space="0"/>
                  </w:tcBorders>
                  <w:shd w:val="clear" w:color="auto" w:fill="auto"/>
                  <w:vAlign w:val="center"/>
                </w:tcPr>
                <w:p w14:paraId="3F2A093B">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eastAsia" w:ascii="Times New Roman" w:hAnsi="Times New Roman" w:eastAsia="宋体" w:cs="Times New Roman"/>
                      <w:color w:val="auto"/>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w:t>
                  </w:r>
                </w:p>
              </w:tc>
              <w:tc>
                <w:tcPr>
                  <w:tcW w:w="2566" w:type="pct"/>
                  <w:tcBorders>
                    <w:top w:val="nil"/>
                    <w:left w:val="single" w:color="auto" w:sz="4" w:space="0"/>
                    <w:bottom w:val="single" w:color="000000" w:sz="4" w:space="0"/>
                  </w:tcBorders>
                  <w:shd w:val="clear" w:color="auto" w:fill="auto"/>
                  <w:vAlign w:val="center"/>
                </w:tcPr>
                <w:p w14:paraId="476EB977">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本项目周围无土壤污染及重大风险源问题。</w:t>
                  </w:r>
                </w:p>
              </w:tc>
              <w:tc>
                <w:tcPr>
                  <w:tcW w:w="549" w:type="pct"/>
                  <w:tcBorders>
                    <w:top w:val="nil"/>
                    <w:left w:val="single" w:color="auto" w:sz="4" w:space="0"/>
                    <w:bottom w:val="single" w:color="000000" w:sz="4" w:space="0"/>
                  </w:tcBorders>
                  <w:shd w:val="clear" w:color="auto" w:fill="auto"/>
                  <w:vAlign w:val="center"/>
                </w:tcPr>
                <w:p w14:paraId="0E63001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lang w:val="en-US" w:eastAsia="zh-CN"/>
                    </w:rPr>
                    <w:t>符合</w:t>
                  </w:r>
                </w:p>
              </w:tc>
            </w:tr>
            <w:tr w14:paraId="542620F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1" w:type="dxa"/>
                  <w:bottom w:w="0" w:type="dxa"/>
                  <w:right w:w="11" w:type="dxa"/>
                </w:tblCellMar>
              </w:tblPrEx>
              <w:trPr>
                <w:trHeight w:val="0" w:hRule="atLeast"/>
              </w:trPr>
              <w:tc>
                <w:tcPr>
                  <w:tcW w:w="371" w:type="pct"/>
                  <w:vMerge w:val="continue"/>
                  <w:tcBorders>
                    <w:bottom w:val="single" w:color="000000" w:sz="4" w:space="0"/>
                    <w:right w:val="single" w:color="auto" w:sz="4" w:space="0"/>
                  </w:tcBorders>
                  <w:shd w:val="clear" w:color="auto" w:fill="auto"/>
                  <w:vAlign w:val="center"/>
                </w:tcPr>
                <w:p w14:paraId="6BAA79C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p>
              </w:tc>
              <w:tc>
                <w:tcPr>
                  <w:tcW w:w="223" w:type="pct"/>
                  <w:tcBorders>
                    <w:top w:val="nil"/>
                    <w:left w:val="single" w:color="auto" w:sz="4" w:space="0"/>
                    <w:bottom w:val="single" w:color="000000" w:sz="4" w:space="0"/>
                    <w:right w:val="single" w:color="auto" w:sz="4" w:space="0"/>
                  </w:tcBorders>
                  <w:vAlign w:val="center"/>
                </w:tcPr>
                <w:p w14:paraId="16F84E6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spacing w:val="-4"/>
                      <w:sz w:val="18"/>
                      <w:szCs w:val="18"/>
                      <w:highlight w:val="none"/>
                    </w:rPr>
                    <w:t>资源利用效率</w:t>
                  </w:r>
                </w:p>
              </w:tc>
              <w:tc>
                <w:tcPr>
                  <w:tcW w:w="1289" w:type="pct"/>
                  <w:tcBorders>
                    <w:top w:val="nil"/>
                    <w:left w:val="single" w:color="auto" w:sz="4" w:space="0"/>
                    <w:bottom w:val="single" w:color="000000" w:sz="4" w:space="0"/>
                    <w:right w:val="single" w:color="auto" w:sz="4" w:space="0"/>
                  </w:tcBorders>
                  <w:shd w:val="clear" w:color="auto" w:fill="auto"/>
                  <w:vAlign w:val="center"/>
                </w:tcPr>
                <w:p w14:paraId="0A4398FC">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eastAsia" w:ascii="Times New Roman" w:hAnsi="Times New Roman" w:eastAsia="宋体"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val="en-US" w:eastAsia="zh-CN"/>
                    </w:rPr>
                    <w:t>/</w:t>
                  </w:r>
                </w:p>
              </w:tc>
              <w:tc>
                <w:tcPr>
                  <w:tcW w:w="2566" w:type="pct"/>
                  <w:tcBorders>
                    <w:top w:val="nil"/>
                    <w:left w:val="single" w:color="auto" w:sz="4" w:space="0"/>
                    <w:bottom w:val="single" w:color="000000" w:sz="4" w:space="0"/>
                  </w:tcBorders>
                  <w:shd w:val="clear" w:color="auto" w:fill="auto"/>
                  <w:vAlign w:val="center"/>
                </w:tcPr>
                <w:p w14:paraId="723E3DEB">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sz w:val="18"/>
                      <w:szCs w:val="18"/>
                      <w:highlight w:val="none"/>
                    </w:rPr>
                  </w:pPr>
                </w:p>
              </w:tc>
              <w:tc>
                <w:tcPr>
                  <w:tcW w:w="549" w:type="pct"/>
                  <w:tcBorders>
                    <w:top w:val="nil"/>
                    <w:left w:val="single" w:color="auto" w:sz="4" w:space="0"/>
                    <w:bottom w:val="single" w:color="000000" w:sz="4" w:space="0"/>
                  </w:tcBorders>
                  <w:shd w:val="clear" w:color="auto" w:fill="auto"/>
                  <w:vAlign w:val="center"/>
                </w:tcPr>
                <w:p w14:paraId="4A76C94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p>
              </w:tc>
            </w:tr>
            <w:tr w14:paraId="30802B4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1" w:type="dxa"/>
                  <w:bottom w:w="0" w:type="dxa"/>
                  <w:right w:w="11" w:type="dxa"/>
                </w:tblCellMar>
              </w:tblPrEx>
              <w:trPr>
                <w:trHeight w:val="0" w:hRule="atLeast"/>
              </w:trPr>
              <w:tc>
                <w:tcPr>
                  <w:tcW w:w="371" w:type="pct"/>
                  <w:vMerge w:val="restart"/>
                  <w:tcBorders>
                    <w:top w:val="nil"/>
                    <w:right w:val="single" w:color="auto" w:sz="4" w:space="0"/>
                  </w:tcBorders>
                  <w:shd w:val="clear" w:color="auto" w:fill="auto"/>
                  <w:vAlign w:val="center"/>
                </w:tcPr>
                <w:p w14:paraId="68D11FA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民丰</w:t>
                  </w:r>
                </w:p>
                <w:p w14:paraId="3790198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县一</w:t>
                  </w:r>
                </w:p>
                <w:p w14:paraId="4BA798E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般管</w:t>
                  </w:r>
                </w:p>
                <w:p w14:paraId="27EBBDF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控区</w:t>
                  </w:r>
                </w:p>
                <w:p w14:paraId="3EC06D9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一般</w:t>
                  </w:r>
                </w:p>
                <w:p w14:paraId="241B975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管控</w:t>
                  </w:r>
                </w:p>
                <w:p w14:paraId="3CD0C5E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单元</w:t>
                  </w:r>
                </w:p>
                <w:p w14:paraId="552FB5A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（ZH</w:t>
                  </w:r>
                </w:p>
                <w:p w14:paraId="138BB17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65322</w:t>
                  </w:r>
                </w:p>
                <w:p w14:paraId="4A90687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73000</w:t>
                  </w:r>
                </w:p>
                <w:p w14:paraId="2195F05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1）</w:t>
                  </w:r>
                </w:p>
              </w:tc>
              <w:tc>
                <w:tcPr>
                  <w:tcW w:w="223" w:type="pct"/>
                  <w:tcBorders>
                    <w:top w:val="nil"/>
                    <w:left w:val="single" w:color="auto" w:sz="4" w:space="0"/>
                    <w:bottom w:val="single" w:color="000000" w:sz="4" w:space="0"/>
                    <w:right w:val="single" w:color="auto" w:sz="4" w:space="0"/>
                  </w:tcBorders>
                  <w:vAlign w:val="center"/>
                </w:tcPr>
                <w:p w14:paraId="7A806CD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空间布局约束</w:t>
                  </w:r>
                </w:p>
              </w:tc>
              <w:tc>
                <w:tcPr>
                  <w:tcW w:w="1289" w:type="pct"/>
                  <w:tcBorders>
                    <w:top w:val="nil"/>
                    <w:left w:val="single" w:color="auto" w:sz="4" w:space="0"/>
                    <w:bottom w:val="single" w:color="000000" w:sz="4" w:space="0"/>
                    <w:right w:val="single" w:color="auto" w:sz="4" w:space="0"/>
                  </w:tcBorders>
                  <w:shd w:val="clear" w:color="auto" w:fill="auto"/>
                  <w:vAlign w:val="center"/>
                </w:tcPr>
                <w:p w14:paraId="69CEFF0F">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1.执行总体管控要求中关于空间布局约束的准入要求。2.执行一般管控单元中关于空间布局约束的准入要求。3.执行重点管控单元空间布局约束总体管控要求、大气环境受体敏感重点管控区的准入要求。</w:t>
                  </w:r>
                </w:p>
              </w:tc>
              <w:tc>
                <w:tcPr>
                  <w:tcW w:w="2566" w:type="pct"/>
                  <w:tcBorders>
                    <w:top w:val="nil"/>
                    <w:left w:val="single" w:color="auto" w:sz="4" w:space="0"/>
                    <w:bottom w:val="single" w:color="000000" w:sz="4" w:space="0"/>
                  </w:tcBorders>
                  <w:shd w:val="clear" w:color="auto" w:fill="auto"/>
                  <w:vAlign w:val="center"/>
                </w:tcPr>
                <w:p w14:paraId="1BBC2391">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本项目严格执行一般管控单元和</w:t>
                  </w:r>
                  <w:r>
                    <w:rPr>
                      <w:rFonts w:hint="eastAsia" w:cs="Times New Roman"/>
                      <w:color w:val="auto"/>
                      <w:kern w:val="0"/>
                      <w:sz w:val="18"/>
                      <w:szCs w:val="18"/>
                      <w:highlight w:val="none"/>
                      <w:lang w:val="en-US" w:eastAsia="zh-CN"/>
                    </w:rPr>
                    <w:t>大气</w:t>
                  </w:r>
                  <w:r>
                    <w:rPr>
                      <w:rFonts w:hint="default" w:ascii="Times New Roman" w:hAnsi="Times New Roman" w:cs="Times New Roman"/>
                      <w:color w:val="auto"/>
                      <w:kern w:val="0"/>
                      <w:sz w:val="18"/>
                      <w:szCs w:val="18"/>
                      <w:highlight w:val="none"/>
                    </w:rPr>
                    <w:t>环境受体敏感重点管控区的空间布局约束的准入要求，本项目为园区建设项目，符合国家产业政策，不属于空间布局中禁止类项目。</w:t>
                  </w:r>
                </w:p>
              </w:tc>
              <w:tc>
                <w:tcPr>
                  <w:tcW w:w="549" w:type="pct"/>
                  <w:tcBorders>
                    <w:top w:val="nil"/>
                    <w:left w:val="single" w:color="auto" w:sz="4" w:space="0"/>
                    <w:bottom w:val="single" w:color="000000" w:sz="4" w:space="0"/>
                  </w:tcBorders>
                  <w:shd w:val="clear" w:color="auto" w:fill="auto"/>
                  <w:vAlign w:val="center"/>
                </w:tcPr>
                <w:p w14:paraId="1C0300B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eastAsia" w:cs="Times New Roman"/>
                      <w:color w:val="auto"/>
                      <w:kern w:val="0"/>
                      <w:sz w:val="18"/>
                      <w:szCs w:val="18"/>
                      <w:highlight w:val="none"/>
                      <w:lang w:val="en-US" w:eastAsia="zh-CN"/>
                    </w:rPr>
                    <w:t>符合</w:t>
                  </w:r>
                </w:p>
              </w:tc>
            </w:tr>
            <w:tr w14:paraId="4E49496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1" w:type="dxa"/>
                  <w:bottom w:w="0" w:type="dxa"/>
                  <w:right w:w="11" w:type="dxa"/>
                </w:tblCellMar>
              </w:tblPrEx>
              <w:trPr>
                <w:trHeight w:val="0" w:hRule="atLeast"/>
              </w:trPr>
              <w:tc>
                <w:tcPr>
                  <w:tcW w:w="371" w:type="pct"/>
                  <w:vMerge w:val="continue"/>
                  <w:tcBorders>
                    <w:right w:val="single" w:color="auto" w:sz="4" w:space="0"/>
                  </w:tcBorders>
                  <w:shd w:val="clear" w:color="auto" w:fill="auto"/>
                  <w:vAlign w:val="center"/>
                </w:tcPr>
                <w:p w14:paraId="429AB6E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p>
              </w:tc>
              <w:tc>
                <w:tcPr>
                  <w:tcW w:w="223" w:type="pct"/>
                  <w:tcBorders>
                    <w:top w:val="nil"/>
                    <w:left w:val="single" w:color="auto" w:sz="4" w:space="0"/>
                    <w:bottom w:val="single" w:color="000000" w:sz="4" w:space="0"/>
                    <w:right w:val="single" w:color="auto" w:sz="4" w:space="0"/>
                  </w:tcBorders>
                  <w:vAlign w:val="center"/>
                </w:tcPr>
                <w:p w14:paraId="0580745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spacing w:val="-4"/>
                      <w:sz w:val="18"/>
                      <w:szCs w:val="18"/>
                      <w:highlight w:val="none"/>
                    </w:rPr>
                    <w:t>污染物排放管控</w:t>
                  </w:r>
                </w:p>
              </w:tc>
              <w:tc>
                <w:tcPr>
                  <w:tcW w:w="1289" w:type="pct"/>
                  <w:tcBorders>
                    <w:top w:val="nil"/>
                    <w:left w:val="single" w:color="auto" w:sz="4" w:space="0"/>
                    <w:bottom w:val="single" w:color="000000" w:sz="4" w:space="0"/>
                    <w:right w:val="single" w:color="auto" w:sz="4" w:space="0"/>
                  </w:tcBorders>
                  <w:shd w:val="clear" w:color="auto" w:fill="auto"/>
                  <w:vAlign w:val="center"/>
                </w:tcPr>
                <w:p w14:paraId="106F9518">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1.执行总体管控要求关于污染物排放管控的准入要求。2.执行一般管控单元关于污染物排放管控的准入要求。3.执行重点管控单元污染物排放总体管控要求、大气环境受体敏感重点管控区的准入要求。</w:t>
                  </w:r>
                </w:p>
              </w:tc>
              <w:tc>
                <w:tcPr>
                  <w:tcW w:w="2566" w:type="pct"/>
                  <w:tcBorders>
                    <w:top w:val="nil"/>
                    <w:left w:val="single" w:color="auto" w:sz="4" w:space="0"/>
                    <w:bottom w:val="single" w:color="000000" w:sz="4" w:space="0"/>
                  </w:tcBorders>
                  <w:shd w:val="clear" w:color="auto" w:fill="auto"/>
                  <w:vAlign w:val="center"/>
                </w:tcPr>
                <w:p w14:paraId="062C14BB">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本项目为饮料制造——原汁生产的项目，根据自身特点对产生的污染影响采取相应的污染防治措施，项目严格执行大气环境受体敏感重点管控区要求，根据预测结果，能够满足大气环境质量要求。</w:t>
                  </w:r>
                </w:p>
              </w:tc>
              <w:tc>
                <w:tcPr>
                  <w:tcW w:w="549" w:type="pct"/>
                  <w:tcBorders>
                    <w:top w:val="nil"/>
                    <w:left w:val="single" w:color="auto" w:sz="4" w:space="0"/>
                    <w:bottom w:val="single" w:color="000000" w:sz="4" w:space="0"/>
                  </w:tcBorders>
                  <w:shd w:val="clear" w:color="auto" w:fill="auto"/>
                  <w:vAlign w:val="center"/>
                </w:tcPr>
                <w:p w14:paraId="0B7190C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color w:val="auto"/>
                      <w:kern w:val="0"/>
                      <w:sz w:val="18"/>
                      <w:szCs w:val="18"/>
                      <w:highlight w:val="none"/>
                      <w:lang w:eastAsia="zh-CN"/>
                    </w:rPr>
                  </w:pPr>
                  <w:r>
                    <w:rPr>
                      <w:rFonts w:hint="eastAsia" w:cs="Times New Roman"/>
                      <w:color w:val="auto"/>
                      <w:kern w:val="0"/>
                      <w:sz w:val="18"/>
                      <w:szCs w:val="18"/>
                      <w:highlight w:val="none"/>
                      <w:lang w:val="en-US" w:eastAsia="zh-CN"/>
                    </w:rPr>
                    <w:t>符合</w:t>
                  </w:r>
                </w:p>
              </w:tc>
            </w:tr>
            <w:tr w14:paraId="3520AFE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1" w:type="dxa"/>
                  <w:bottom w:w="0" w:type="dxa"/>
                  <w:right w:w="11" w:type="dxa"/>
                </w:tblCellMar>
              </w:tblPrEx>
              <w:trPr>
                <w:trHeight w:val="0" w:hRule="atLeast"/>
              </w:trPr>
              <w:tc>
                <w:tcPr>
                  <w:tcW w:w="371" w:type="pct"/>
                  <w:vMerge w:val="continue"/>
                  <w:tcBorders>
                    <w:right w:val="single" w:color="auto" w:sz="4" w:space="0"/>
                  </w:tcBorders>
                  <w:shd w:val="clear" w:color="auto" w:fill="auto"/>
                  <w:vAlign w:val="center"/>
                </w:tcPr>
                <w:p w14:paraId="50AC281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p>
              </w:tc>
              <w:tc>
                <w:tcPr>
                  <w:tcW w:w="223" w:type="pct"/>
                  <w:tcBorders>
                    <w:top w:val="nil"/>
                    <w:left w:val="single" w:color="auto" w:sz="4" w:space="0"/>
                    <w:bottom w:val="single" w:color="000000" w:sz="4" w:space="0"/>
                    <w:right w:val="single" w:color="auto" w:sz="4" w:space="0"/>
                  </w:tcBorders>
                  <w:vAlign w:val="center"/>
                </w:tcPr>
                <w:p w14:paraId="48B09A5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spacing w:val="-4"/>
                      <w:sz w:val="18"/>
                      <w:szCs w:val="18"/>
                      <w:highlight w:val="none"/>
                    </w:rPr>
                    <w:t>环境风险防控</w:t>
                  </w:r>
                </w:p>
              </w:tc>
              <w:tc>
                <w:tcPr>
                  <w:tcW w:w="1289" w:type="pct"/>
                  <w:tcBorders>
                    <w:top w:val="nil"/>
                    <w:left w:val="single" w:color="auto" w:sz="4" w:space="0"/>
                    <w:bottom w:val="single" w:color="000000" w:sz="4" w:space="0"/>
                    <w:right w:val="single" w:color="auto" w:sz="4" w:space="0"/>
                  </w:tcBorders>
                  <w:shd w:val="clear" w:color="auto" w:fill="auto"/>
                  <w:vAlign w:val="center"/>
                </w:tcPr>
                <w:p w14:paraId="24E7DE03">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1.执行总体管控要求关于环境风险防控的准入要求。2.执行一般管控单元关于环境风，险防控的准入要求。3.执行重点管控单元中环境风险管控总体管控要求，</w:t>
                  </w:r>
                </w:p>
              </w:tc>
              <w:tc>
                <w:tcPr>
                  <w:tcW w:w="2566" w:type="pct"/>
                  <w:tcBorders>
                    <w:top w:val="nil"/>
                    <w:left w:val="single" w:color="auto" w:sz="4" w:space="0"/>
                    <w:bottom w:val="single" w:color="000000" w:sz="4" w:space="0"/>
                  </w:tcBorders>
                  <w:shd w:val="clear" w:color="auto" w:fill="auto"/>
                  <w:vAlign w:val="center"/>
                </w:tcPr>
                <w:p w14:paraId="4AC306C5">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本项目</w:t>
                  </w:r>
                  <w:r>
                    <w:rPr>
                      <w:rFonts w:hint="eastAsia" w:cs="Times New Roman"/>
                      <w:color w:val="auto"/>
                      <w:kern w:val="0"/>
                      <w:sz w:val="18"/>
                      <w:szCs w:val="18"/>
                      <w:highlight w:val="none"/>
                      <w:lang w:val="en-US" w:eastAsia="zh-CN"/>
                    </w:rPr>
                    <w:t>在果汁生产车间</w:t>
                  </w:r>
                  <w:r>
                    <w:rPr>
                      <w:rFonts w:hint="default" w:ascii="Times New Roman" w:hAnsi="Times New Roman" w:cs="Times New Roman"/>
                      <w:color w:val="auto"/>
                      <w:kern w:val="0"/>
                      <w:sz w:val="18"/>
                      <w:szCs w:val="18"/>
                      <w:highlight w:val="none"/>
                    </w:rPr>
                    <w:t>出水口设置废水监测</w:t>
                  </w:r>
                  <w:r>
                    <w:rPr>
                      <w:rFonts w:hint="eastAsia" w:cs="Times New Roman"/>
                      <w:color w:val="auto"/>
                      <w:kern w:val="0"/>
                      <w:sz w:val="18"/>
                      <w:szCs w:val="18"/>
                      <w:highlight w:val="none"/>
                      <w:lang w:val="en-US" w:eastAsia="zh-CN"/>
                    </w:rPr>
                    <w:t>点位，并定期监测</w:t>
                  </w:r>
                  <w:r>
                    <w:rPr>
                      <w:rFonts w:hint="default" w:ascii="Times New Roman" w:hAnsi="Times New Roman" w:cs="Times New Roman"/>
                      <w:color w:val="auto"/>
                      <w:kern w:val="0"/>
                      <w:sz w:val="18"/>
                      <w:szCs w:val="18"/>
                      <w:highlight w:val="none"/>
                    </w:rPr>
                    <w:t>。项目建成后制定环境风险应急预案，成立应急组织机构，并定期演练，符合环境风险控制的要求。</w:t>
                  </w:r>
                </w:p>
              </w:tc>
              <w:tc>
                <w:tcPr>
                  <w:tcW w:w="549" w:type="pct"/>
                  <w:tcBorders>
                    <w:top w:val="nil"/>
                    <w:left w:val="single" w:color="auto" w:sz="4" w:space="0"/>
                    <w:bottom w:val="single" w:color="000000" w:sz="4" w:space="0"/>
                  </w:tcBorders>
                  <w:shd w:val="clear" w:color="auto" w:fill="auto"/>
                  <w:vAlign w:val="center"/>
                </w:tcPr>
                <w:p w14:paraId="7EF1A03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eastAsia" w:cs="Times New Roman"/>
                      <w:color w:val="auto"/>
                      <w:kern w:val="0"/>
                      <w:sz w:val="18"/>
                      <w:szCs w:val="18"/>
                      <w:highlight w:val="none"/>
                      <w:lang w:val="en-US" w:eastAsia="zh-CN"/>
                    </w:rPr>
                    <w:t>符合</w:t>
                  </w:r>
                </w:p>
              </w:tc>
            </w:tr>
            <w:tr w14:paraId="7E2A76C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1" w:type="dxa"/>
                  <w:bottom w:w="0" w:type="dxa"/>
                  <w:right w:w="11" w:type="dxa"/>
                </w:tblCellMar>
              </w:tblPrEx>
              <w:trPr>
                <w:trHeight w:val="0" w:hRule="atLeast"/>
              </w:trPr>
              <w:tc>
                <w:tcPr>
                  <w:tcW w:w="371" w:type="pct"/>
                  <w:vMerge w:val="continue"/>
                  <w:tcBorders>
                    <w:right w:val="single" w:color="auto" w:sz="4" w:space="0"/>
                  </w:tcBorders>
                  <w:shd w:val="clear" w:color="auto" w:fill="auto"/>
                  <w:vAlign w:val="center"/>
                </w:tcPr>
                <w:p w14:paraId="73FA470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p>
              </w:tc>
              <w:tc>
                <w:tcPr>
                  <w:tcW w:w="223" w:type="pct"/>
                  <w:tcBorders>
                    <w:top w:val="nil"/>
                    <w:left w:val="single" w:color="auto" w:sz="4" w:space="0"/>
                    <w:right w:val="single" w:color="auto" w:sz="4" w:space="0"/>
                  </w:tcBorders>
                  <w:vAlign w:val="center"/>
                </w:tcPr>
                <w:p w14:paraId="762A47D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spacing w:val="-4"/>
                      <w:sz w:val="18"/>
                      <w:szCs w:val="18"/>
                      <w:highlight w:val="none"/>
                    </w:rPr>
                    <w:t>资源利用效率</w:t>
                  </w:r>
                </w:p>
              </w:tc>
              <w:tc>
                <w:tcPr>
                  <w:tcW w:w="1289" w:type="pct"/>
                  <w:tcBorders>
                    <w:top w:val="nil"/>
                    <w:left w:val="single" w:color="auto" w:sz="4" w:space="0"/>
                    <w:right w:val="single" w:color="auto" w:sz="4" w:space="0"/>
                  </w:tcBorders>
                  <w:shd w:val="clear" w:color="auto" w:fill="auto"/>
                  <w:vAlign w:val="center"/>
                </w:tcPr>
                <w:p w14:paraId="78FDBDA6">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1.执行总体管控要求中关于资源利用效率的准入要求。2.执行一般管控单元中关于资源利用效率的准入要求。3.执行重点管控单元中资源利用效率总体管控要求和大气环境受体敏感重点管控区的准入要求。</w:t>
                  </w:r>
                </w:p>
              </w:tc>
              <w:tc>
                <w:tcPr>
                  <w:tcW w:w="2566" w:type="pct"/>
                  <w:tcBorders>
                    <w:top w:val="nil"/>
                    <w:left w:val="single" w:color="auto" w:sz="4" w:space="0"/>
                  </w:tcBorders>
                  <w:shd w:val="clear" w:color="auto" w:fill="auto"/>
                  <w:vAlign w:val="center"/>
                </w:tcPr>
                <w:p w14:paraId="3F3E4057">
                  <w:pPr>
                    <w:keepNext w:val="0"/>
                    <w:keepLines w:val="0"/>
                    <w:pageBreakBefore w:val="0"/>
                    <w:widowControl/>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项目运营过程中，采用的</w:t>
                  </w:r>
                  <w:r>
                    <w:rPr>
                      <w:rFonts w:hint="eastAsia" w:cs="Times New Roman"/>
                      <w:color w:val="auto"/>
                      <w:sz w:val="18"/>
                      <w:szCs w:val="18"/>
                      <w:highlight w:val="none"/>
                      <w:lang w:val="en-US" w:eastAsia="zh-CN"/>
                    </w:rPr>
                    <w:t>生产工艺</w:t>
                  </w:r>
                  <w:r>
                    <w:rPr>
                      <w:rFonts w:hint="default" w:ascii="Times New Roman" w:hAnsi="Times New Roman" w:cs="Times New Roman"/>
                      <w:color w:val="auto"/>
                      <w:sz w:val="18"/>
                      <w:szCs w:val="18"/>
                      <w:highlight w:val="none"/>
                    </w:rPr>
                    <w:t>、处理设施均为先进技术，</w:t>
                  </w:r>
                  <w:r>
                    <w:rPr>
                      <w:rFonts w:hint="eastAsia" w:cs="Times New Roman"/>
                      <w:color w:val="auto"/>
                      <w:sz w:val="18"/>
                      <w:szCs w:val="18"/>
                      <w:highlight w:val="none"/>
                      <w:lang w:val="en-US" w:eastAsia="zh-CN"/>
                    </w:rPr>
                    <w:t>产生的废水进入农副产品加工基地污水处理厂处理后</w:t>
                  </w:r>
                  <w:r>
                    <w:rPr>
                      <w:rFonts w:hint="default" w:ascii="Times New Roman" w:hAnsi="Times New Roman" w:cs="Times New Roman"/>
                      <w:color w:val="auto"/>
                      <w:sz w:val="18"/>
                      <w:szCs w:val="18"/>
                      <w:highlight w:val="none"/>
                    </w:rPr>
                    <w:t>排放，</w:t>
                  </w:r>
                  <w:r>
                    <w:rPr>
                      <w:rFonts w:hint="eastAsia" w:cs="Times New Roman"/>
                      <w:color w:val="auto"/>
                      <w:sz w:val="18"/>
                      <w:szCs w:val="18"/>
                      <w:highlight w:val="none"/>
                      <w:lang w:val="en-US" w:eastAsia="zh-CN"/>
                    </w:rPr>
                    <w:t>出水</w:t>
                  </w:r>
                  <w:r>
                    <w:rPr>
                      <w:rFonts w:hint="default" w:ascii="Times New Roman" w:hAnsi="Times New Roman" w:cs="Times New Roman"/>
                      <w:color w:val="auto"/>
                      <w:sz w:val="18"/>
                      <w:szCs w:val="18"/>
                      <w:highlight w:val="none"/>
                    </w:rPr>
                    <w:t>水质满足《城镇污水处理厂污染物排放标准》（GB18918-2002）及修改单中一级 A 标准；回用</w:t>
                  </w:r>
                  <w:r>
                    <w:rPr>
                      <w:rFonts w:hint="eastAsia" w:cs="Times New Roman"/>
                      <w:color w:val="auto"/>
                      <w:sz w:val="18"/>
                      <w:szCs w:val="18"/>
                      <w:highlight w:val="none"/>
                      <w:lang w:val="en-US" w:eastAsia="zh-CN"/>
                    </w:rPr>
                    <w:t>于水果园</w:t>
                  </w:r>
                  <w:r>
                    <w:rPr>
                      <w:rFonts w:hint="default" w:ascii="Times New Roman" w:hAnsi="Times New Roman" w:cs="Times New Roman"/>
                      <w:color w:val="auto"/>
                      <w:sz w:val="18"/>
                      <w:szCs w:val="18"/>
                      <w:highlight w:val="none"/>
                    </w:rPr>
                    <w:t>浇灌时应同时满足《城市污水再生利用 农田灌溉用水水质》（GB20922-2007）中相关控制标准</w:t>
                  </w:r>
                  <w:r>
                    <w:rPr>
                      <w:rFonts w:hint="eastAsia" w:cs="Times New Roman"/>
                      <w:color w:val="auto"/>
                      <w:sz w:val="18"/>
                      <w:szCs w:val="18"/>
                      <w:highlight w:val="none"/>
                      <w:lang w:eastAsia="zh-CN"/>
                    </w:rPr>
                    <w:t>，</w:t>
                  </w:r>
                  <w:r>
                    <w:rPr>
                      <w:rFonts w:hint="default" w:ascii="Times New Roman" w:hAnsi="Times New Roman" w:cs="Times New Roman"/>
                      <w:color w:val="auto"/>
                      <w:sz w:val="18"/>
                      <w:szCs w:val="18"/>
                      <w:highlight w:val="none"/>
                    </w:rPr>
                    <w:t>处理后的尾水综合利用，最大限度提高水的复用率</w:t>
                  </w:r>
                  <w:r>
                    <w:rPr>
                      <w:rFonts w:hint="eastAsia" w:cs="Times New Roman"/>
                      <w:color w:val="auto"/>
                      <w:sz w:val="18"/>
                      <w:szCs w:val="18"/>
                      <w:highlight w:val="none"/>
                      <w:lang w:eastAsia="zh-CN"/>
                    </w:rPr>
                    <w:t>；</w:t>
                  </w:r>
                  <w:r>
                    <w:rPr>
                      <w:rFonts w:hint="eastAsia" w:cs="Times New Roman"/>
                      <w:color w:val="auto"/>
                      <w:sz w:val="18"/>
                      <w:szCs w:val="18"/>
                      <w:highlight w:val="none"/>
                      <w:lang w:val="en-US" w:eastAsia="zh-CN"/>
                    </w:rPr>
                    <w:t>NFC果汁生产后的</w:t>
                  </w:r>
                  <w:r>
                    <w:rPr>
                      <w:rFonts w:hint="eastAsia" w:cs="Times New Roman"/>
                      <w:color w:val="auto"/>
                      <w:sz w:val="18"/>
                      <w:szCs w:val="18"/>
                      <w:highlight w:val="none"/>
                      <w:lang w:eastAsia="zh-CN"/>
                    </w:rPr>
                    <w:t>果皮、果肉等果渣</w:t>
                  </w:r>
                  <w:r>
                    <w:rPr>
                      <w:rFonts w:hint="eastAsia" w:cs="Times New Roman"/>
                      <w:color w:val="auto"/>
                      <w:sz w:val="18"/>
                      <w:szCs w:val="18"/>
                      <w:highlight w:val="none"/>
                      <w:lang w:val="en-US" w:eastAsia="zh-CN"/>
                    </w:rPr>
                    <w:t>送入园区配套建成的饲料加工厂，至少达到国内清洁生产先进水平</w:t>
                  </w:r>
                  <w:r>
                    <w:rPr>
                      <w:rFonts w:hint="default" w:ascii="Times New Roman" w:hAnsi="Times New Roman" w:cs="Times New Roman"/>
                      <w:color w:val="auto"/>
                      <w:sz w:val="18"/>
                      <w:szCs w:val="18"/>
                      <w:highlight w:val="none"/>
                    </w:rPr>
                    <w:t>，符合提高资源利用效率的要求。</w:t>
                  </w:r>
                </w:p>
              </w:tc>
              <w:tc>
                <w:tcPr>
                  <w:tcW w:w="549" w:type="pct"/>
                  <w:tcBorders>
                    <w:top w:val="nil"/>
                    <w:left w:val="single" w:color="auto" w:sz="4" w:space="0"/>
                  </w:tcBorders>
                  <w:shd w:val="clear" w:color="auto" w:fill="auto"/>
                  <w:vAlign w:val="center"/>
                </w:tcPr>
                <w:p w14:paraId="62E4091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color w:val="auto"/>
                      <w:kern w:val="0"/>
                      <w:sz w:val="18"/>
                      <w:szCs w:val="18"/>
                      <w:highlight w:val="none"/>
                      <w:lang w:eastAsia="zh-CN"/>
                    </w:rPr>
                  </w:pPr>
                  <w:r>
                    <w:rPr>
                      <w:rFonts w:hint="eastAsia" w:cs="Times New Roman"/>
                      <w:color w:val="auto"/>
                      <w:sz w:val="18"/>
                      <w:szCs w:val="18"/>
                      <w:highlight w:val="none"/>
                      <w:lang w:val="en-US" w:eastAsia="zh-CN"/>
                    </w:rPr>
                    <w:t>符合</w:t>
                  </w:r>
                </w:p>
              </w:tc>
            </w:tr>
          </w:tbl>
          <w:p w14:paraId="653BC1DD">
            <w:pPr>
              <w:rPr>
                <w:rFonts w:hint="default" w:ascii="Times New Roman" w:hAnsi="Times New Roman" w:cs="Times New Roman"/>
                <w:color w:val="auto"/>
                <w:highlight w:val="none"/>
              </w:rPr>
            </w:pPr>
          </w:p>
          <w:p w14:paraId="67AE31E4">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本项目不涉及生态保护红线，在严格落实评价提出的各类污染防治措施的前提下，能够实现污染物达标排放，环境风险可控，项目不消耗煤炭</w:t>
            </w:r>
            <w:r>
              <w:rPr>
                <w:rFonts w:hint="eastAsia" w:cs="Times New Roman"/>
                <w:color w:val="auto"/>
                <w:highlight w:val="none"/>
                <w:lang w:val="en-US" w:eastAsia="zh-CN"/>
              </w:rPr>
              <w:t>等化石能源</w:t>
            </w:r>
            <w:r>
              <w:rPr>
                <w:rFonts w:hint="default" w:ascii="Times New Roman" w:hAnsi="Times New Roman" w:cs="Times New Roman"/>
                <w:color w:val="auto"/>
                <w:highlight w:val="none"/>
              </w:rPr>
              <w:t>，主要消耗电、天然气和水，满足一般生态空间优先</w:t>
            </w:r>
            <w:r>
              <w:rPr>
                <w:rFonts w:hint="eastAsia" w:cs="Times New Roman"/>
                <w:color w:val="auto"/>
                <w:highlight w:val="none"/>
                <w:lang w:val="en-US" w:eastAsia="zh-CN"/>
              </w:rPr>
              <w:t>保护</w:t>
            </w:r>
            <w:r>
              <w:rPr>
                <w:rFonts w:hint="default" w:ascii="Times New Roman" w:hAnsi="Times New Roman" w:cs="Times New Roman"/>
                <w:color w:val="auto"/>
                <w:highlight w:val="none"/>
              </w:rPr>
              <w:t>单元和一般管控单元的管控要求，项目属于产业政策规定中的</w:t>
            </w:r>
            <w:r>
              <w:rPr>
                <w:rFonts w:hint="eastAsia" w:cs="Times New Roman"/>
                <w:color w:val="auto"/>
                <w:highlight w:val="none"/>
                <w:lang w:val="en-US" w:eastAsia="zh-CN"/>
              </w:rPr>
              <w:t>允许</w:t>
            </w:r>
            <w:r>
              <w:rPr>
                <w:rFonts w:hint="default" w:ascii="Times New Roman" w:hAnsi="Times New Roman" w:cs="Times New Roman"/>
                <w:color w:val="auto"/>
                <w:highlight w:val="none"/>
              </w:rPr>
              <w:t>类项目，能够满足生态环境准入清单的要求。</w:t>
            </w:r>
          </w:p>
          <w:p w14:paraId="29C4243E">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因此，项目建设满足</w:t>
            </w:r>
            <w:r>
              <w:rPr>
                <w:rFonts w:hint="eastAsia" w:cs="Times New Roman"/>
                <w:color w:val="auto"/>
                <w:highlight w:val="none"/>
                <w:lang w:val="en-US" w:eastAsia="zh-CN"/>
              </w:rPr>
              <w:t>生态环境分区管控</w:t>
            </w:r>
            <w:r>
              <w:rPr>
                <w:rFonts w:hint="default" w:ascii="Times New Roman" w:hAnsi="Times New Roman" w:cs="Times New Roman"/>
                <w:color w:val="auto"/>
                <w:highlight w:val="none"/>
              </w:rPr>
              <w:t>相关要求。</w:t>
            </w:r>
          </w:p>
          <w:p w14:paraId="3775C02E">
            <w:pPr>
              <w:numPr>
                <w:ilvl w:val="0"/>
                <w:numId w:val="0"/>
              </w:numPr>
              <w:autoSpaceDE w:val="0"/>
              <w:autoSpaceDN w:val="0"/>
              <w:adjustRightInd w:val="0"/>
              <w:snapToGrid w:val="0"/>
              <w:spacing w:before="120" w:beforeLines="50" w:line="360" w:lineRule="auto"/>
              <w:ind w:firstLine="482" w:firstLineChars="0"/>
              <w:rPr>
                <w:rFonts w:hint="default" w:ascii="Times New Roman" w:hAnsi="Times New Roman" w:cs="Times New Roman"/>
                <w:b/>
                <w:bCs/>
                <w:color w:val="auto"/>
                <w:highlight w:val="none"/>
              </w:rPr>
            </w:pPr>
            <w:r>
              <w:rPr>
                <w:rFonts w:hint="eastAsia" w:cs="Times New Roman"/>
                <w:b/>
                <w:bCs/>
                <w:color w:val="auto"/>
                <w:kern w:val="2"/>
                <w:sz w:val="24"/>
                <w:szCs w:val="24"/>
                <w:highlight w:val="none"/>
                <w:lang w:val="en-US" w:eastAsia="zh-CN" w:bidi="ar-SA"/>
              </w:rPr>
              <w:t>3</w:t>
            </w:r>
            <w:r>
              <w:rPr>
                <w:rFonts w:hint="default" w:ascii="Times New Roman" w:hAnsi="Times New Roman" w:eastAsia="宋体" w:cs="Times New Roman"/>
                <w:b/>
                <w:bCs/>
                <w:color w:val="auto"/>
                <w:kern w:val="2"/>
                <w:sz w:val="24"/>
                <w:szCs w:val="24"/>
                <w:highlight w:val="none"/>
                <w:lang w:val="en-US" w:eastAsia="zh-CN" w:bidi="ar-SA"/>
              </w:rPr>
              <w:t>、</w:t>
            </w:r>
            <w:r>
              <w:rPr>
                <w:rFonts w:hint="default" w:ascii="Times New Roman" w:hAnsi="Times New Roman" w:cs="Times New Roman"/>
                <w:b/>
                <w:bCs/>
                <w:color w:val="auto"/>
                <w:highlight w:val="none"/>
              </w:rPr>
              <w:t>与《新疆维吾尔自治区主体功能区规划》符合性分析</w:t>
            </w:r>
          </w:p>
          <w:p w14:paraId="423B194C">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新疆维吾尔自治区主体功能区规划》中将新疆国土空间分为重点开发区域、限制开发区域和禁止开发区域三类主体功能区，按层级分为国家和省级两个层面。重点开发区域是指有一定经济基础，资源环境承载能力较强，发展潜力较大，集聚人口和经济条件较好，从而应该重点进行工业化城镇化开发的城市化地区，主要包括天山南北坡城市或城区以及县市城关镇或重要工业园区，共涉及59个县（市）。限制开发区域是指关系国家农产品供给安全和生态安全，不应该或不适宜进行大规模、高强度工业化城镇化开发的农产品主产区和重点生态功能区，其中，农产品主产区分布在天山南北坡23个县（市），重点生态功能区涉及53个县（市）。禁止开发区域是指依法设立的各级各类自然文化资源保护区域，以及其他禁止进行工业化城镇化开发、需要特殊保护的重点生态功能区，国家和自治区层面禁止开发区域共107处。</w:t>
            </w:r>
          </w:p>
          <w:p w14:paraId="24C0686B">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bookmarkStart w:id="14" w:name="_Hlk165484626"/>
            <w:r>
              <w:rPr>
                <w:rFonts w:hint="default" w:ascii="Times New Roman" w:hAnsi="Times New Roman" w:cs="Times New Roman"/>
                <w:color w:val="auto"/>
                <w:highlight w:val="none"/>
              </w:rPr>
              <w:t>本项目</w:t>
            </w:r>
            <w:bookmarkStart w:id="15" w:name="_Hlk167795341"/>
            <w:r>
              <w:rPr>
                <w:rFonts w:hint="default" w:ascii="Times New Roman" w:hAnsi="Times New Roman" w:cs="Times New Roman"/>
                <w:color w:val="auto"/>
                <w:highlight w:val="none"/>
              </w:rPr>
              <w:t>位于</w:t>
            </w:r>
            <w:bookmarkEnd w:id="15"/>
            <w:r>
              <w:rPr>
                <w:rFonts w:hint="default" w:ascii="Times New Roman" w:hAnsi="Times New Roman" w:cs="Times New Roman"/>
                <w:color w:val="auto"/>
                <w:highlight w:val="none"/>
              </w:rPr>
              <w:t>塔里木河荒漠化防治生态功能区，属于限制开发区-重点生态功能区，国家级重点生态功能区，功能定</w:t>
            </w:r>
            <w:r>
              <w:rPr>
                <w:rFonts w:hint="eastAsia" w:cs="Times New Roman"/>
                <w:color w:val="auto"/>
                <w:highlight w:val="none"/>
                <w:lang w:eastAsia="zh-CN"/>
              </w:rPr>
              <w:t>位为</w:t>
            </w:r>
            <w:r>
              <w:rPr>
                <w:rFonts w:hint="default" w:ascii="Times New Roman" w:hAnsi="Times New Roman" w:cs="Times New Roman"/>
                <w:color w:val="auto"/>
                <w:highlight w:val="none"/>
              </w:rPr>
              <w:t>保障国家生态安全的重要区域，人与自然和谐相处的示范区，功能类型防风固沙，发展方向合理利用地表水和地下水，调整农牧业结构，加强药材开发管理，禁止过度开垦，恢复天然植被，防止沙化面积扩大。本项目</w:t>
            </w:r>
            <w:r>
              <w:rPr>
                <w:rFonts w:hint="eastAsia" w:cs="Times New Roman"/>
                <w:color w:val="auto"/>
                <w:highlight w:val="none"/>
                <w:lang w:val="en-US" w:eastAsia="zh-CN"/>
              </w:rPr>
              <w:t>为</w:t>
            </w:r>
            <w:r>
              <w:rPr>
                <w:rFonts w:hint="default" w:ascii="Times New Roman" w:hAnsi="Times New Roman" w:cs="Times New Roman"/>
                <w:color w:val="auto"/>
                <w:highlight w:val="none"/>
              </w:rPr>
              <w:t>饮料制造——原汁生产的项目，建设NFC果汁生产车间（3</w:t>
            </w:r>
            <w:r>
              <w:rPr>
                <w:rFonts w:hint="eastAsia" w:cs="Times New Roman"/>
                <w:color w:val="auto"/>
                <w:highlight w:val="none"/>
                <w:lang w:eastAsia="zh-CN"/>
              </w:rPr>
              <w:t>t/h</w:t>
            </w:r>
            <w:r>
              <w:rPr>
                <w:rFonts w:hint="default" w:ascii="Times New Roman" w:hAnsi="Times New Roman" w:cs="Times New Roman"/>
                <w:color w:val="auto"/>
                <w:highlight w:val="none"/>
              </w:rPr>
              <w:t>NFC果汁生产线一条，配套建设150m²速冻库和450m²冻库、大罐灌装和小包装盒灌装线）和智能果品分选线（6</w:t>
            </w:r>
            <w:r>
              <w:rPr>
                <w:rFonts w:hint="eastAsia" w:cs="Times New Roman"/>
                <w:color w:val="auto"/>
                <w:highlight w:val="none"/>
                <w:lang w:eastAsia="zh-CN"/>
              </w:rPr>
              <w:t>t/h</w:t>
            </w:r>
            <w:r>
              <w:rPr>
                <w:rFonts w:hint="default" w:ascii="Times New Roman" w:hAnsi="Times New Roman" w:cs="Times New Roman"/>
                <w:color w:val="auto"/>
                <w:highlight w:val="none"/>
              </w:rPr>
              <w:t>果品分选线一条，改造原烘干厂房为果品分选车间）</w:t>
            </w:r>
            <w:r>
              <w:rPr>
                <w:rFonts w:hint="eastAsia" w:cs="Times New Roman"/>
                <w:color w:val="auto"/>
                <w:highlight w:val="none"/>
                <w:lang w:eastAsia="zh-CN"/>
              </w:rPr>
              <w:t>。</w:t>
            </w:r>
            <w:r>
              <w:rPr>
                <w:rFonts w:hint="default" w:ascii="Times New Roman" w:hAnsi="Times New Roman" w:cs="Times New Roman"/>
                <w:color w:val="auto"/>
                <w:highlight w:val="none"/>
              </w:rPr>
              <w:t>施工期可能对当地居民生产生活产生一定影响，总体来看项目建设对周边影响不大，本项目的建设与《新疆维吾尔自治区主体功能区规划》是相符的。项目与新疆重点开发区位置关系见附图</w:t>
            </w:r>
            <w:r>
              <w:rPr>
                <w:rFonts w:hint="eastAsia" w:cs="Times New Roman"/>
                <w:color w:val="auto"/>
                <w:highlight w:val="none"/>
                <w:lang w:val="en-US" w:eastAsia="zh-CN"/>
              </w:rPr>
              <w:t>2</w:t>
            </w:r>
            <w:r>
              <w:rPr>
                <w:rFonts w:hint="default" w:ascii="Times New Roman" w:hAnsi="Times New Roman" w:cs="Times New Roman"/>
                <w:color w:val="auto"/>
                <w:highlight w:val="none"/>
              </w:rPr>
              <w:t>，与新疆禁止开发区位置关系见附图</w:t>
            </w:r>
            <w:r>
              <w:rPr>
                <w:rFonts w:hint="eastAsia" w:cs="Times New Roman"/>
                <w:color w:val="auto"/>
                <w:highlight w:val="none"/>
                <w:lang w:val="en-US" w:eastAsia="zh-CN"/>
              </w:rPr>
              <w:t>3</w:t>
            </w:r>
            <w:r>
              <w:rPr>
                <w:rFonts w:hint="default" w:ascii="Times New Roman" w:hAnsi="Times New Roman" w:cs="Times New Roman"/>
                <w:color w:val="auto"/>
                <w:highlight w:val="none"/>
              </w:rPr>
              <w:t>，与新疆主体功能区划位置关系见附图</w:t>
            </w:r>
            <w:r>
              <w:rPr>
                <w:rFonts w:hint="eastAsia" w:cs="Times New Roman"/>
                <w:color w:val="auto"/>
                <w:highlight w:val="none"/>
                <w:lang w:val="en-US" w:eastAsia="zh-CN"/>
              </w:rPr>
              <w:t>4</w:t>
            </w:r>
            <w:r>
              <w:rPr>
                <w:rFonts w:hint="default" w:ascii="Times New Roman" w:hAnsi="Times New Roman" w:cs="Times New Roman"/>
                <w:color w:val="auto"/>
                <w:highlight w:val="none"/>
              </w:rPr>
              <w:t>。</w:t>
            </w:r>
            <w:bookmarkEnd w:id="14"/>
          </w:p>
          <w:p w14:paraId="77324CEB">
            <w:pPr>
              <w:autoSpaceDE w:val="0"/>
              <w:autoSpaceDN w:val="0"/>
              <w:adjustRightInd w:val="0"/>
              <w:snapToGrid w:val="0"/>
              <w:spacing w:before="120" w:beforeLines="50" w:line="360" w:lineRule="auto"/>
              <w:ind w:left="482"/>
              <w:rPr>
                <w:rFonts w:hint="default" w:ascii="Times New Roman" w:hAnsi="Times New Roman" w:cs="Times New Roman"/>
                <w:b/>
                <w:bCs/>
                <w:color w:val="auto"/>
                <w:highlight w:val="none"/>
              </w:rPr>
            </w:pPr>
            <w:r>
              <w:rPr>
                <w:rFonts w:hint="eastAsia" w:cs="Times New Roman"/>
                <w:b/>
                <w:bCs/>
                <w:color w:val="auto"/>
                <w:highlight w:val="none"/>
                <w:lang w:val="en-US" w:eastAsia="zh-CN"/>
              </w:rPr>
              <w:t>4</w:t>
            </w:r>
            <w:r>
              <w:rPr>
                <w:rFonts w:hint="default" w:ascii="Times New Roman" w:hAnsi="Times New Roman" w:cs="Times New Roman"/>
                <w:b/>
                <w:bCs/>
                <w:color w:val="auto"/>
                <w:highlight w:val="none"/>
              </w:rPr>
              <w:t>、与全国生态功能区划的符合性分析</w:t>
            </w:r>
          </w:p>
          <w:p w14:paraId="394397AE">
            <w:pPr>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全国生态功能区划（修编版）》（2015年11月）根据区域生态系统格局、生态环境敏感性与生态系统功能和空间分异规律，将区域划分为不同生态功能的地区。包括3个大类、9个类型和242个生态功能区。3个大类包括生态调节、产品提供、人居保障；9个类型包括水源涵养、生物多样性保护、土壤保持、防风固沙、洪水调蓄、农产品提供、林产品提供、大都市群、重点城镇群。同时，根据各生态功能区对保障国家与区域生态安全的重要性，以水源涵养、生物多样性保护、土壤保持、防风固沙和洪水调蓄5类主导生态调节功能为基础，确定63个重要生态系统服务功能区。</w:t>
            </w:r>
          </w:p>
          <w:p w14:paraId="5D6EEFFD">
            <w:pPr>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经对照分析，工程区域涉及国家生态功能区划中的叶尔羌河平原喀什三角洲农产品提供功能区。概况见表1-4。</w:t>
            </w:r>
          </w:p>
          <w:p w14:paraId="53E2109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Cs/>
                <w:color w:val="auto"/>
                <w:highlight w:val="none"/>
              </w:rPr>
            </w:pPr>
            <w:r>
              <w:rPr>
                <w:rFonts w:hint="default" w:ascii="Times New Roman" w:hAnsi="Times New Roman" w:eastAsia="黑体" w:cs="Times New Roman"/>
                <w:bCs/>
                <w:color w:val="auto"/>
                <w:highlight w:val="none"/>
              </w:rPr>
              <w:t>表1-</w:t>
            </w:r>
            <w:r>
              <w:rPr>
                <w:rFonts w:hint="eastAsia" w:eastAsia="黑体" w:cs="Times New Roman"/>
                <w:bCs/>
                <w:color w:val="auto"/>
                <w:highlight w:val="none"/>
                <w:lang w:val="en-US" w:eastAsia="zh-CN"/>
              </w:rPr>
              <w:t>4</w:t>
            </w:r>
            <w:r>
              <w:rPr>
                <w:rFonts w:hint="default" w:ascii="Times New Roman" w:hAnsi="Times New Roman" w:eastAsia="黑体" w:cs="Times New Roman"/>
                <w:bCs/>
                <w:color w:val="auto"/>
                <w:highlight w:val="none"/>
              </w:rPr>
              <w:t xml:space="preserve">    工程涉及全国生态功能区划概况表</w:t>
            </w:r>
          </w:p>
          <w:tbl>
            <w:tblPr>
              <w:tblStyle w:val="30"/>
              <w:tblW w:w="496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691"/>
              <w:gridCol w:w="663"/>
              <w:gridCol w:w="723"/>
              <w:gridCol w:w="1012"/>
              <w:gridCol w:w="3584"/>
            </w:tblGrid>
            <w:tr w14:paraId="6BBF5F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18" w:type="pct"/>
                  <w:shd w:val="clear" w:color="auto" w:fill="auto"/>
                  <w:vAlign w:val="center"/>
                </w:tcPr>
                <w:p w14:paraId="21F7FBC5">
                  <w:pPr>
                    <w:pStyle w:val="114"/>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名称</w:t>
                  </w:r>
                </w:p>
              </w:tc>
              <w:tc>
                <w:tcPr>
                  <w:tcW w:w="497" w:type="pct"/>
                  <w:shd w:val="clear" w:color="auto" w:fill="auto"/>
                  <w:vAlign w:val="center"/>
                </w:tcPr>
                <w:p w14:paraId="24F403F9">
                  <w:pPr>
                    <w:pStyle w:val="114"/>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工程所处位置</w:t>
                  </w:r>
                </w:p>
              </w:tc>
              <w:tc>
                <w:tcPr>
                  <w:tcW w:w="542" w:type="pct"/>
                  <w:shd w:val="clear" w:color="auto" w:fill="auto"/>
                  <w:vAlign w:val="center"/>
                </w:tcPr>
                <w:p w14:paraId="0BFFB632">
                  <w:pPr>
                    <w:pStyle w:val="114"/>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功能定位</w:t>
                  </w:r>
                </w:p>
              </w:tc>
              <w:tc>
                <w:tcPr>
                  <w:tcW w:w="758" w:type="pct"/>
                  <w:shd w:val="clear" w:color="auto" w:fill="auto"/>
                  <w:vAlign w:val="center"/>
                </w:tcPr>
                <w:p w14:paraId="469DF1EA">
                  <w:pPr>
                    <w:pStyle w:val="114"/>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主要环境问题</w:t>
                  </w:r>
                </w:p>
              </w:tc>
              <w:tc>
                <w:tcPr>
                  <w:tcW w:w="2685" w:type="pct"/>
                  <w:vAlign w:val="center"/>
                </w:tcPr>
                <w:p w14:paraId="2BD08069">
                  <w:pPr>
                    <w:pStyle w:val="114"/>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发展方向</w:t>
                  </w:r>
                </w:p>
              </w:tc>
            </w:tr>
            <w:tr w14:paraId="5B852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18" w:type="pct"/>
                  <w:shd w:val="clear" w:color="auto" w:fill="auto"/>
                  <w:vAlign w:val="center"/>
                </w:tcPr>
                <w:p w14:paraId="6EF2DAB2">
                  <w:pPr>
                    <w:pStyle w:val="114"/>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叶尔羌河平原喀什三角洲农产品提供功能区</w:t>
                  </w:r>
                </w:p>
              </w:tc>
              <w:tc>
                <w:tcPr>
                  <w:tcW w:w="497" w:type="pct"/>
                  <w:shd w:val="clear" w:color="auto" w:fill="auto"/>
                  <w:vAlign w:val="center"/>
                </w:tcPr>
                <w:p w14:paraId="3CB3375D">
                  <w:pPr>
                    <w:pStyle w:val="114"/>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eastAsia" w:eastAsia="宋体" w:cs="Times New Roman"/>
                      <w:color w:val="auto"/>
                      <w:sz w:val="18"/>
                      <w:szCs w:val="18"/>
                      <w:highlight w:val="none"/>
                      <w:lang w:val="en-US" w:eastAsia="zh-CN"/>
                    </w:rPr>
                    <w:t>民丰</w:t>
                  </w:r>
                  <w:r>
                    <w:rPr>
                      <w:rFonts w:hint="default" w:ascii="Times New Roman" w:hAnsi="Times New Roman" w:eastAsia="宋体" w:cs="Times New Roman"/>
                      <w:color w:val="auto"/>
                      <w:sz w:val="18"/>
                      <w:szCs w:val="18"/>
                      <w:highlight w:val="none"/>
                    </w:rPr>
                    <w:t>县</w:t>
                  </w:r>
                </w:p>
              </w:tc>
              <w:tc>
                <w:tcPr>
                  <w:tcW w:w="542" w:type="pct"/>
                  <w:shd w:val="clear" w:color="auto" w:fill="auto"/>
                  <w:vAlign w:val="center"/>
                </w:tcPr>
                <w:p w14:paraId="078C5019">
                  <w:pPr>
                    <w:pStyle w:val="114"/>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农产品</w:t>
                  </w:r>
                </w:p>
                <w:p w14:paraId="396A5EC5">
                  <w:pPr>
                    <w:pStyle w:val="114"/>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提供</w:t>
                  </w:r>
                </w:p>
              </w:tc>
              <w:tc>
                <w:tcPr>
                  <w:tcW w:w="758" w:type="pct"/>
                  <w:shd w:val="clear" w:color="auto" w:fill="auto"/>
                  <w:vAlign w:val="center"/>
                </w:tcPr>
                <w:p w14:paraId="449D8541">
                  <w:pPr>
                    <w:pStyle w:val="114"/>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农田侵占、土壤肥力下降、农业面源污染严重；在草地畜牧业区，</w:t>
                  </w:r>
                  <w:r>
                    <w:rPr>
                      <w:rFonts w:hint="eastAsia" w:eastAsia="宋体" w:cs="Times New Roman"/>
                      <w:color w:val="auto"/>
                      <w:sz w:val="18"/>
                      <w:szCs w:val="18"/>
                      <w:highlight w:val="none"/>
                      <w:lang w:eastAsia="zh-CN"/>
                    </w:rPr>
                    <w:t>过度</w:t>
                  </w:r>
                  <w:r>
                    <w:rPr>
                      <w:rFonts w:hint="default" w:ascii="Times New Roman" w:hAnsi="Times New Roman" w:eastAsia="宋体" w:cs="Times New Roman"/>
                      <w:color w:val="auto"/>
                      <w:sz w:val="18"/>
                      <w:szCs w:val="18"/>
                      <w:highlight w:val="none"/>
                    </w:rPr>
                    <w:t>放牧，草地退化沙化，抵御灾害能力低。</w:t>
                  </w:r>
                </w:p>
              </w:tc>
              <w:tc>
                <w:tcPr>
                  <w:tcW w:w="2685" w:type="pct"/>
                  <w:vAlign w:val="center"/>
                </w:tcPr>
                <w:p w14:paraId="2E874533">
                  <w:pPr>
                    <w:pStyle w:val="114"/>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严格保护基本农田，培养土壤肥力；加强农田基本建设，增强抗自然灾害的能力；加强水利建设，大力发展节水农业；种养结合，科学施肥；发展无公害农产品、绿色食品和有机食品；调整农业产业和农村经济结构，合理组织农业生产和农业经济活动；在草地畜牧业区，要科学确定草场载畜量，实行季节性畜牧业，实现草畜平衡；草地封育改良相结合，实施大范围轮封轮牧制度。</w:t>
                  </w:r>
                </w:p>
              </w:tc>
            </w:tr>
          </w:tbl>
          <w:p w14:paraId="3D68B858">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cs="Times New Roman"/>
                <w:color w:val="auto"/>
                <w:kern w:val="0"/>
                <w:highlight w:val="none"/>
              </w:rPr>
            </w:pPr>
          </w:p>
          <w:p w14:paraId="5036A06E">
            <w:pPr>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本工程</w:t>
            </w:r>
            <w:r>
              <w:rPr>
                <w:rFonts w:hint="default" w:cs="Times New Roman"/>
                <w:color w:val="auto"/>
                <w:kern w:val="0"/>
                <w:highlight w:val="none"/>
                <w:lang w:val="en-US" w:eastAsia="zh-CN"/>
              </w:rPr>
              <w:t>产生的废水经农副产品加工基地污水处理厂处理后直接用于水果园浇灌，果皮、果肉等果渣</w:t>
            </w:r>
            <w:r>
              <w:rPr>
                <w:rFonts w:hint="eastAsia" w:cs="Times New Roman"/>
                <w:color w:val="auto"/>
                <w:kern w:val="0"/>
                <w:highlight w:val="none"/>
                <w:lang w:val="en-US" w:eastAsia="zh-CN"/>
              </w:rPr>
              <w:t>富含糖和果胶等养分，直接送入饲料加工厂</w:t>
            </w:r>
            <w:r>
              <w:rPr>
                <w:rFonts w:hint="default" w:ascii="Times New Roman" w:hAnsi="Times New Roman" w:cs="Times New Roman"/>
                <w:color w:val="auto"/>
                <w:kern w:val="0"/>
                <w:highlight w:val="none"/>
              </w:rPr>
              <w:t>。因此，工程建设与全国生态功能区划相协调。</w:t>
            </w:r>
          </w:p>
          <w:p w14:paraId="2AD36D6C">
            <w:pPr>
              <w:autoSpaceDE w:val="0"/>
              <w:autoSpaceDN w:val="0"/>
              <w:adjustRightInd w:val="0"/>
              <w:snapToGrid w:val="0"/>
              <w:spacing w:before="120" w:beforeLines="50" w:line="360" w:lineRule="auto"/>
              <w:ind w:left="482"/>
              <w:rPr>
                <w:rFonts w:hint="default" w:ascii="Times New Roman" w:hAnsi="Times New Roman" w:cs="Times New Roman"/>
                <w:b/>
                <w:bCs/>
                <w:color w:val="auto"/>
                <w:highlight w:val="none"/>
              </w:rPr>
            </w:pPr>
            <w:r>
              <w:rPr>
                <w:rFonts w:hint="eastAsia" w:cs="Times New Roman"/>
                <w:b/>
                <w:bCs/>
                <w:color w:val="auto"/>
                <w:highlight w:val="none"/>
                <w:lang w:val="en-US" w:eastAsia="zh-CN"/>
              </w:rPr>
              <w:t>5</w:t>
            </w:r>
            <w:r>
              <w:rPr>
                <w:rFonts w:hint="default" w:ascii="Times New Roman" w:hAnsi="Times New Roman" w:cs="Times New Roman"/>
                <w:b/>
                <w:bCs/>
                <w:color w:val="auto"/>
                <w:highlight w:val="none"/>
              </w:rPr>
              <w:t>、与新疆生态功能区划的符合性分析</w:t>
            </w:r>
          </w:p>
          <w:p w14:paraId="6932470B">
            <w:pPr>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根据《新疆生态功能区划》（2003年9月），工程所在区域位于Ⅳ塔里木盆地暖温荒漠及绿洲农业生态区，其主要生态服务功能、主要生态环境问题、保护目标、保护措施及发展方向如下表1-</w:t>
            </w:r>
            <w:r>
              <w:rPr>
                <w:rFonts w:hint="eastAsia" w:cs="Times New Roman"/>
                <w:color w:val="auto"/>
                <w:kern w:val="0"/>
                <w:highlight w:val="none"/>
                <w:lang w:val="en-US" w:eastAsia="zh-CN"/>
              </w:rPr>
              <w:t>5</w:t>
            </w:r>
            <w:r>
              <w:rPr>
                <w:rFonts w:hint="default" w:ascii="Times New Roman" w:hAnsi="Times New Roman" w:cs="Times New Roman"/>
                <w:color w:val="auto"/>
                <w:kern w:val="0"/>
                <w:highlight w:val="none"/>
              </w:rPr>
              <w:t>。</w:t>
            </w:r>
          </w:p>
          <w:p w14:paraId="3504C5B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Cs/>
                <w:color w:val="auto"/>
                <w:highlight w:val="none"/>
              </w:rPr>
            </w:pPr>
            <w:r>
              <w:rPr>
                <w:rFonts w:hint="default" w:ascii="Times New Roman" w:hAnsi="Times New Roman" w:eastAsia="黑体" w:cs="Times New Roman"/>
                <w:bCs/>
                <w:color w:val="auto"/>
                <w:highlight w:val="none"/>
              </w:rPr>
              <w:t>表1-</w:t>
            </w:r>
            <w:r>
              <w:rPr>
                <w:rFonts w:hint="eastAsia" w:eastAsia="黑体" w:cs="Times New Roman"/>
                <w:bCs/>
                <w:color w:val="auto"/>
                <w:highlight w:val="none"/>
                <w:lang w:val="en-US" w:eastAsia="zh-CN"/>
              </w:rPr>
              <w:t>5</w:t>
            </w:r>
            <w:r>
              <w:rPr>
                <w:rFonts w:hint="default" w:ascii="Times New Roman" w:hAnsi="Times New Roman" w:eastAsia="黑体" w:cs="Times New Roman"/>
                <w:bCs/>
                <w:color w:val="auto"/>
                <w:highlight w:val="none"/>
              </w:rPr>
              <w:t xml:space="preserve">    工程涉及新疆生态功能区划相关内容</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82"/>
              <w:gridCol w:w="716"/>
              <w:gridCol w:w="472"/>
              <w:gridCol w:w="800"/>
              <w:gridCol w:w="578"/>
              <w:gridCol w:w="1008"/>
              <w:gridCol w:w="756"/>
              <w:gridCol w:w="756"/>
              <w:gridCol w:w="1151"/>
            </w:tblGrid>
            <w:tr w14:paraId="151B7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0" w:type="auto"/>
                  <w:gridSpan w:val="3"/>
                  <w:vAlign w:val="center"/>
                </w:tcPr>
                <w:p w14:paraId="4DED0BBA">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生态功能分区单元</w:t>
                  </w:r>
                </w:p>
              </w:tc>
              <w:tc>
                <w:tcPr>
                  <w:tcW w:w="0" w:type="auto"/>
                  <w:vMerge w:val="restart"/>
                  <w:vAlign w:val="center"/>
                </w:tcPr>
                <w:p w14:paraId="38E112B2">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隶属行政区</w:t>
                  </w:r>
                </w:p>
              </w:tc>
              <w:tc>
                <w:tcPr>
                  <w:tcW w:w="0" w:type="auto"/>
                  <w:vMerge w:val="restart"/>
                  <w:vAlign w:val="center"/>
                </w:tcPr>
                <w:p w14:paraId="7BFBCDC3">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主要生态服务功能</w:t>
                  </w:r>
                </w:p>
              </w:tc>
              <w:tc>
                <w:tcPr>
                  <w:tcW w:w="0" w:type="auto"/>
                  <w:vMerge w:val="restart"/>
                  <w:vAlign w:val="center"/>
                </w:tcPr>
                <w:p w14:paraId="63A8B495">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主要生态环境问题</w:t>
                  </w:r>
                </w:p>
              </w:tc>
              <w:tc>
                <w:tcPr>
                  <w:tcW w:w="0" w:type="auto"/>
                  <w:vMerge w:val="restart"/>
                  <w:vAlign w:val="center"/>
                </w:tcPr>
                <w:p w14:paraId="0476D497">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生态敏感因子敏感程度</w:t>
                  </w:r>
                </w:p>
              </w:tc>
              <w:tc>
                <w:tcPr>
                  <w:tcW w:w="0" w:type="auto"/>
                  <w:vMerge w:val="restart"/>
                  <w:vAlign w:val="center"/>
                </w:tcPr>
                <w:p w14:paraId="168B53A9">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保护目标</w:t>
                  </w:r>
                </w:p>
              </w:tc>
              <w:tc>
                <w:tcPr>
                  <w:tcW w:w="0" w:type="auto"/>
                  <w:vMerge w:val="restart"/>
                  <w:vAlign w:val="center"/>
                </w:tcPr>
                <w:p w14:paraId="0EFE9EBE">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发展方向</w:t>
                  </w:r>
                </w:p>
              </w:tc>
            </w:tr>
            <w:tr w14:paraId="0FBB7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0" w:type="auto"/>
                  <w:vAlign w:val="center"/>
                </w:tcPr>
                <w:p w14:paraId="3FFF6580">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生态区</w:t>
                  </w:r>
                </w:p>
              </w:tc>
              <w:tc>
                <w:tcPr>
                  <w:tcW w:w="0" w:type="auto"/>
                  <w:vAlign w:val="center"/>
                </w:tcPr>
                <w:p w14:paraId="3BCF9CE1">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生态亚区</w:t>
                  </w:r>
                </w:p>
              </w:tc>
              <w:tc>
                <w:tcPr>
                  <w:tcW w:w="0" w:type="auto"/>
                  <w:vAlign w:val="center"/>
                </w:tcPr>
                <w:p w14:paraId="28387F24">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生态功能区</w:t>
                  </w:r>
                </w:p>
              </w:tc>
              <w:tc>
                <w:tcPr>
                  <w:tcW w:w="0" w:type="auto"/>
                  <w:vMerge w:val="continue"/>
                  <w:vAlign w:val="center"/>
                </w:tcPr>
                <w:p w14:paraId="2D9F8DAB">
                  <w:pPr>
                    <w:pStyle w:val="114"/>
                    <w:spacing w:line="200" w:lineRule="exact"/>
                    <w:jc w:val="center"/>
                    <w:rPr>
                      <w:rFonts w:hint="default" w:ascii="Times New Roman" w:hAnsi="Times New Roman" w:cs="Times New Roman"/>
                      <w:color w:val="auto"/>
                      <w:sz w:val="18"/>
                      <w:szCs w:val="18"/>
                      <w:highlight w:val="none"/>
                    </w:rPr>
                  </w:pPr>
                </w:p>
              </w:tc>
              <w:tc>
                <w:tcPr>
                  <w:tcW w:w="0" w:type="auto"/>
                  <w:vMerge w:val="continue"/>
                  <w:vAlign w:val="center"/>
                </w:tcPr>
                <w:p w14:paraId="57AC575B">
                  <w:pPr>
                    <w:pStyle w:val="114"/>
                    <w:spacing w:line="200" w:lineRule="exact"/>
                    <w:jc w:val="center"/>
                    <w:rPr>
                      <w:rFonts w:hint="default" w:ascii="Times New Roman" w:hAnsi="Times New Roman" w:cs="Times New Roman"/>
                      <w:color w:val="auto"/>
                      <w:sz w:val="18"/>
                      <w:szCs w:val="18"/>
                      <w:highlight w:val="none"/>
                    </w:rPr>
                  </w:pPr>
                </w:p>
              </w:tc>
              <w:tc>
                <w:tcPr>
                  <w:tcW w:w="0" w:type="auto"/>
                  <w:vMerge w:val="continue"/>
                  <w:vAlign w:val="center"/>
                </w:tcPr>
                <w:p w14:paraId="76499009">
                  <w:pPr>
                    <w:pStyle w:val="114"/>
                    <w:spacing w:line="200" w:lineRule="exact"/>
                    <w:jc w:val="center"/>
                    <w:rPr>
                      <w:rFonts w:hint="default" w:ascii="Times New Roman" w:hAnsi="Times New Roman" w:cs="Times New Roman"/>
                      <w:color w:val="auto"/>
                      <w:sz w:val="18"/>
                      <w:szCs w:val="18"/>
                      <w:highlight w:val="none"/>
                    </w:rPr>
                  </w:pPr>
                </w:p>
              </w:tc>
              <w:tc>
                <w:tcPr>
                  <w:tcW w:w="0" w:type="auto"/>
                  <w:vMerge w:val="continue"/>
                  <w:vAlign w:val="center"/>
                </w:tcPr>
                <w:p w14:paraId="6D1C057F">
                  <w:pPr>
                    <w:pStyle w:val="114"/>
                    <w:spacing w:line="200" w:lineRule="exact"/>
                    <w:jc w:val="center"/>
                    <w:rPr>
                      <w:rFonts w:hint="default" w:ascii="Times New Roman" w:hAnsi="Times New Roman" w:cs="Times New Roman"/>
                      <w:color w:val="auto"/>
                      <w:sz w:val="18"/>
                      <w:szCs w:val="18"/>
                      <w:highlight w:val="none"/>
                    </w:rPr>
                  </w:pPr>
                </w:p>
              </w:tc>
              <w:tc>
                <w:tcPr>
                  <w:tcW w:w="0" w:type="auto"/>
                  <w:vMerge w:val="continue"/>
                  <w:vAlign w:val="center"/>
                </w:tcPr>
                <w:p w14:paraId="697948DD">
                  <w:pPr>
                    <w:pStyle w:val="114"/>
                    <w:spacing w:line="200" w:lineRule="exact"/>
                    <w:jc w:val="center"/>
                    <w:rPr>
                      <w:rFonts w:hint="default" w:ascii="Times New Roman" w:hAnsi="Times New Roman" w:cs="Times New Roman"/>
                      <w:color w:val="auto"/>
                      <w:sz w:val="18"/>
                      <w:szCs w:val="18"/>
                      <w:highlight w:val="none"/>
                    </w:rPr>
                  </w:pPr>
                </w:p>
              </w:tc>
              <w:tc>
                <w:tcPr>
                  <w:tcW w:w="0" w:type="auto"/>
                  <w:vMerge w:val="continue"/>
                  <w:vAlign w:val="center"/>
                </w:tcPr>
                <w:p w14:paraId="10AC90BC">
                  <w:pPr>
                    <w:pStyle w:val="114"/>
                    <w:spacing w:line="200" w:lineRule="exact"/>
                    <w:jc w:val="center"/>
                    <w:rPr>
                      <w:rFonts w:hint="default" w:ascii="Times New Roman" w:hAnsi="Times New Roman" w:cs="Times New Roman"/>
                      <w:color w:val="auto"/>
                      <w:sz w:val="18"/>
                      <w:szCs w:val="18"/>
                      <w:highlight w:val="none"/>
                    </w:rPr>
                  </w:pPr>
                </w:p>
              </w:tc>
            </w:tr>
            <w:tr w14:paraId="2E00D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0" w:type="auto"/>
                  <w:shd w:val="clear" w:color="auto" w:fill="auto"/>
                  <w:vAlign w:val="center"/>
                </w:tcPr>
                <w:p w14:paraId="6A83B3E1">
                  <w:pPr>
                    <w:pStyle w:val="114"/>
                    <w:spacing w:line="200" w:lineRule="exact"/>
                    <w:ind w:left="30"/>
                    <w:jc w:val="center"/>
                    <w:rPr>
                      <w:rFonts w:hint="default" w:ascii="Times New Roman" w:hAnsi="Times New Roman" w:cs="Times New Roman"/>
                      <w:color w:val="auto"/>
                      <w:sz w:val="18"/>
                      <w:szCs w:val="18"/>
                      <w:highlight w:val="none"/>
                      <w:lang w:val="en-US"/>
                    </w:rPr>
                  </w:pPr>
                  <w:r>
                    <w:rPr>
                      <w:rFonts w:hint="default" w:ascii="Times New Roman" w:hAnsi="Times New Roman" w:eastAsia="宋体" w:cs="Times New Roman"/>
                      <w:color w:val="auto"/>
                      <w:sz w:val="18"/>
                      <w:szCs w:val="18"/>
                      <w:highlight w:val="none"/>
                      <w:lang w:val="en-US"/>
                    </w:rPr>
                    <w:t>Ⅳ</w:t>
                  </w:r>
                  <w:r>
                    <w:rPr>
                      <w:rFonts w:hint="default" w:ascii="Times New Roman" w:hAnsi="Times New Roman" w:eastAsia="宋体" w:cs="Times New Roman"/>
                      <w:color w:val="auto"/>
                      <w:sz w:val="18"/>
                      <w:szCs w:val="18"/>
                      <w:highlight w:val="none"/>
                    </w:rPr>
                    <w:t>塔里木盆地</w:t>
                  </w:r>
                  <w:r>
                    <w:rPr>
                      <w:rFonts w:hint="default" w:ascii="Times New Roman" w:hAnsi="Times New Roman" w:eastAsia="宋体" w:cs="Times New Roman"/>
                      <w:color w:val="auto"/>
                      <w:sz w:val="18"/>
                      <w:szCs w:val="18"/>
                      <w:highlight w:val="none"/>
                      <w:lang w:val="en-US"/>
                    </w:rPr>
                    <w:t>暖温荒漠及绿洲农业生态区</w:t>
                  </w:r>
                </w:p>
              </w:tc>
              <w:tc>
                <w:tcPr>
                  <w:tcW w:w="0" w:type="auto"/>
                  <w:shd w:val="clear" w:color="auto" w:fill="auto"/>
                  <w:vAlign w:val="center"/>
                </w:tcPr>
                <w:p w14:paraId="0A7077E6">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lang w:val="en-US"/>
                    </w:rPr>
                    <w:t>Ⅳ₂</w:t>
                  </w:r>
                  <w:r>
                    <w:rPr>
                      <w:rFonts w:hint="default" w:ascii="Times New Roman" w:hAnsi="Times New Roman" w:eastAsia="宋体" w:cs="Times New Roman"/>
                      <w:color w:val="auto"/>
                      <w:sz w:val="18"/>
                      <w:szCs w:val="18"/>
                      <w:highlight w:val="none"/>
                    </w:rPr>
                    <w:t>塔里木盆地</w:t>
                  </w:r>
                  <w:r>
                    <w:rPr>
                      <w:rFonts w:hint="eastAsia" w:eastAsia="宋体" w:cs="Times New Roman"/>
                      <w:color w:val="auto"/>
                      <w:sz w:val="18"/>
                      <w:szCs w:val="18"/>
                      <w:highlight w:val="none"/>
                      <w:lang w:val="en-US" w:eastAsia="zh-CN"/>
                    </w:rPr>
                    <w:t>南</w:t>
                  </w:r>
                  <w:r>
                    <w:rPr>
                      <w:rFonts w:hint="default" w:ascii="Times New Roman" w:hAnsi="Times New Roman" w:eastAsia="宋体" w:cs="Times New Roman"/>
                      <w:color w:val="auto"/>
                      <w:sz w:val="18"/>
                      <w:szCs w:val="18"/>
                      <w:highlight w:val="none"/>
                    </w:rPr>
                    <w:t>部和</w:t>
                  </w:r>
                  <w:r>
                    <w:rPr>
                      <w:rFonts w:hint="eastAsia" w:eastAsia="宋体" w:cs="Times New Roman"/>
                      <w:color w:val="auto"/>
                      <w:sz w:val="18"/>
                      <w:szCs w:val="18"/>
                      <w:highlight w:val="none"/>
                      <w:lang w:val="en-US" w:eastAsia="zh-CN"/>
                    </w:rPr>
                    <w:t>东</w:t>
                  </w:r>
                  <w:r>
                    <w:rPr>
                      <w:rFonts w:hint="default" w:ascii="Times New Roman" w:hAnsi="Times New Roman" w:eastAsia="宋体" w:cs="Times New Roman"/>
                      <w:color w:val="auto"/>
                      <w:sz w:val="18"/>
                      <w:szCs w:val="18"/>
                      <w:highlight w:val="none"/>
                    </w:rPr>
                    <w:t>部</w:t>
                  </w:r>
                  <w:r>
                    <w:rPr>
                      <w:rFonts w:hint="eastAsia" w:eastAsia="宋体" w:cs="Times New Roman"/>
                      <w:color w:val="auto"/>
                      <w:sz w:val="18"/>
                      <w:szCs w:val="18"/>
                      <w:highlight w:val="none"/>
                      <w:lang w:val="en-US" w:eastAsia="zh-CN"/>
                    </w:rPr>
                    <w:t>沙漠、戈壁</w:t>
                  </w:r>
                  <w:r>
                    <w:rPr>
                      <w:rFonts w:hint="default" w:ascii="Times New Roman" w:hAnsi="Times New Roman" w:eastAsia="宋体" w:cs="Times New Roman"/>
                      <w:color w:val="auto"/>
                      <w:sz w:val="18"/>
                      <w:szCs w:val="18"/>
                      <w:highlight w:val="none"/>
                    </w:rPr>
                    <w:t>及绿洲农业生态亚区</w:t>
                  </w:r>
                </w:p>
              </w:tc>
              <w:tc>
                <w:tcPr>
                  <w:tcW w:w="0" w:type="auto"/>
                  <w:vAlign w:val="center"/>
                </w:tcPr>
                <w:p w14:paraId="484F4D77">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皮山—和田—民丰绿洲沙漠化敏感生态功能区</w:t>
                  </w:r>
                </w:p>
              </w:tc>
              <w:tc>
                <w:tcPr>
                  <w:tcW w:w="0" w:type="auto"/>
                  <w:vAlign w:val="center"/>
                </w:tcPr>
                <w:p w14:paraId="654E38CF">
                  <w:pPr>
                    <w:pStyle w:val="114"/>
                    <w:spacing w:line="200" w:lineRule="exact"/>
                    <w:jc w:val="center"/>
                    <w:rPr>
                      <w:rFonts w:hint="default" w:ascii="Times New Roman" w:hAnsi="Times New Roman" w:cs="Times New Roman"/>
                      <w:color w:val="auto"/>
                      <w:sz w:val="18"/>
                      <w:szCs w:val="18"/>
                      <w:highlight w:val="none"/>
                    </w:rPr>
                  </w:pPr>
                  <w:r>
                    <w:rPr>
                      <w:rFonts w:hint="eastAsia" w:eastAsia="宋体" w:cs="Times New Roman"/>
                      <w:color w:val="auto"/>
                      <w:sz w:val="18"/>
                      <w:szCs w:val="18"/>
                      <w:highlight w:val="none"/>
                      <w:lang w:val="en-US" w:eastAsia="zh-CN"/>
                    </w:rPr>
                    <w:t>皮</w:t>
                  </w:r>
                  <w:r>
                    <w:rPr>
                      <w:rFonts w:hint="default" w:ascii="Times New Roman" w:hAnsi="Times New Roman" w:cs="Times New Roman"/>
                      <w:color w:val="auto"/>
                      <w:sz w:val="18"/>
                      <w:szCs w:val="18"/>
                      <w:highlight w:val="none"/>
                    </w:rPr>
                    <w:t>山县、墨玉县、和田县、和田市、洛甫县、策勒县、于田县、</w:t>
                  </w:r>
                  <w:r>
                    <w:rPr>
                      <w:rFonts w:hint="default" w:ascii="Times New Roman" w:hAnsi="Times New Roman" w:cs="Times New Roman"/>
                      <w:b/>
                      <w:bCs/>
                      <w:color w:val="auto"/>
                      <w:sz w:val="18"/>
                      <w:szCs w:val="18"/>
                      <w:highlight w:val="none"/>
                    </w:rPr>
                    <w:t>民丰县</w:t>
                  </w:r>
                </w:p>
              </w:tc>
              <w:tc>
                <w:tcPr>
                  <w:tcW w:w="0" w:type="auto"/>
                  <w:vAlign w:val="center"/>
                </w:tcPr>
                <w:p w14:paraId="68398FCF">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农产品生产、沙漠化控制、土壤保持</w:t>
                  </w:r>
                </w:p>
              </w:tc>
              <w:tc>
                <w:tcPr>
                  <w:tcW w:w="0" w:type="auto"/>
                  <w:vAlign w:val="center"/>
                </w:tcPr>
                <w:p w14:paraId="7438D1AA">
                  <w:pPr>
                    <w:pStyle w:val="114"/>
                    <w:spacing w:line="200" w:lineRule="exact"/>
                    <w:jc w:val="center"/>
                    <w:rPr>
                      <w:rFonts w:hint="default" w:ascii="Times New Roman" w:hAnsi="Times New Roman" w:cs="Times New Roman"/>
                      <w:color w:val="auto"/>
                      <w:sz w:val="18"/>
                      <w:szCs w:val="18"/>
                      <w:highlight w:val="none"/>
                    </w:rPr>
                  </w:pPr>
                  <w:r>
                    <w:rPr>
                      <w:rFonts w:hint="eastAsia" w:eastAsia="宋体" w:cs="Times New Roman"/>
                      <w:color w:val="auto"/>
                      <w:sz w:val="18"/>
                      <w:szCs w:val="18"/>
                      <w:highlight w:val="none"/>
                      <w:lang w:val="en-US" w:eastAsia="zh-CN"/>
                    </w:rPr>
                    <w:t>沙</w:t>
                  </w:r>
                  <w:r>
                    <w:rPr>
                      <w:rFonts w:hint="default" w:ascii="Times New Roman" w:hAnsi="Times New Roman" w:cs="Times New Roman"/>
                      <w:color w:val="auto"/>
                      <w:sz w:val="18"/>
                      <w:szCs w:val="18"/>
                      <w:highlight w:val="none"/>
                    </w:rPr>
                    <w:t>漠化威胁、风沙危害、土壤质量下降和土壤盐渍化、能源短缺、荒漠植被破坏、浮尘和沙尘暴天气多</w:t>
                  </w:r>
                </w:p>
              </w:tc>
              <w:tc>
                <w:tcPr>
                  <w:tcW w:w="0" w:type="auto"/>
                  <w:vAlign w:val="center"/>
                </w:tcPr>
                <w:p w14:paraId="019C00BB">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土壤侵蚀极度敏感，土地沙漠化轻度敏感，土壤盐渍化轻度敏感</w:t>
                  </w:r>
                </w:p>
              </w:tc>
              <w:tc>
                <w:tcPr>
                  <w:tcW w:w="0" w:type="auto"/>
                  <w:vAlign w:val="center"/>
                </w:tcPr>
                <w:p w14:paraId="110C3BAA">
                  <w:pPr>
                    <w:pStyle w:val="114"/>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保护绿洲农田、保护荒漠植被、保护荒漠河岸林、保护饮用水源</w:t>
                  </w:r>
                </w:p>
              </w:tc>
              <w:tc>
                <w:tcPr>
                  <w:tcW w:w="0" w:type="auto"/>
                  <w:vAlign w:val="center"/>
                </w:tcPr>
                <w:p w14:paraId="03E33D6B">
                  <w:pPr>
                    <w:pStyle w:val="114"/>
                    <w:spacing w:line="200" w:lineRule="exact"/>
                    <w:jc w:val="center"/>
                    <w:rPr>
                      <w:rFonts w:hint="eastAsia"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变能源结构，保证油气供给，发展特色林果业和农区畜牧业，促进丝绸、地毯、和阗玉等民族手工工艺品加工及旅游业发展</w:t>
                  </w:r>
                </w:p>
              </w:tc>
            </w:tr>
          </w:tbl>
          <w:p w14:paraId="433E7B1C">
            <w:pPr>
              <w:keepNext w:val="0"/>
              <w:keepLines w:val="0"/>
              <w:pageBreakBefore w:val="0"/>
              <w:widowControl w:val="0"/>
              <w:kinsoku/>
              <w:wordWrap/>
              <w:overflowPunct/>
              <w:topLinePunct w:val="0"/>
              <w:autoSpaceDE w:val="0"/>
              <w:autoSpaceDN w:val="0"/>
              <w:bidi w:val="0"/>
              <w:adjustRightInd/>
              <w:snapToGrid/>
              <w:spacing w:line="240" w:lineRule="exact"/>
              <w:ind w:firstLine="0" w:firstLineChars="0"/>
              <w:textAlignment w:val="auto"/>
              <w:rPr>
                <w:rFonts w:hint="default" w:ascii="Times New Roman" w:hAnsi="Times New Roman" w:cs="Times New Roman"/>
                <w:color w:val="auto"/>
                <w:szCs w:val="20"/>
                <w:highlight w:val="none"/>
              </w:rPr>
            </w:pPr>
          </w:p>
          <w:p w14:paraId="6C44E3C1">
            <w:pPr>
              <w:spacing w:line="360" w:lineRule="auto"/>
              <w:ind w:firstLine="480" w:firstLineChars="200"/>
              <w:rPr>
                <w:rFonts w:hint="default" w:ascii="Times New Roman" w:hAnsi="Times New Roman" w:cs="Times New Roman"/>
                <w:color w:val="auto"/>
                <w:szCs w:val="22"/>
                <w:highlight w:val="none"/>
              </w:rPr>
            </w:pPr>
            <w:r>
              <w:rPr>
                <w:rFonts w:hint="default" w:ascii="Times New Roman" w:hAnsi="Times New Roman" w:cs="Times New Roman"/>
                <w:color w:val="auto"/>
                <w:szCs w:val="20"/>
                <w:highlight w:val="none"/>
              </w:rPr>
              <w:t>工程</w:t>
            </w:r>
            <w:r>
              <w:rPr>
                <w:rFonts w:hint="default" w:ascii="Times New Roman" w:hAnsi="Times New Roman" w:cs="Times New Roman"/>
                <w:color w:val="auto"/>
                <w:szCs w:val="22"/>
                <w:highlight w:val="none"/>
              </w:rPr>
              <w:t>实施后可</w:t>
            </w:r>
            <w:r>
              <w:rPr>
                <w:rFonts w:hint="eastAsia" w:cs="Times New Roman"/>
                <w:color w:val="auto"/>
                <w:szCs w:val="22"/>
                <w:highlight w:val="none"/>
                <w:lang w:val="en-US" w:eastAsia="zh-CN"/>
              </w:rPr>
              <w:t>实现特色林果业的发展</w:t>
            </w:r>
            <w:r>
              <w:rPr>
                <w:rFonts w:hint="default" w:ascii="Times New Roman" w:hAnsi="Times New Roman" w:cs="Times New Roman"/>
                <w:color w:val="auto"/>
                <w:szCs w:val="22"/>
                <w:highlight w:val="none"/>
              </w:rPr>
              <w:t>，工程建设后不会加剧区域</w:t>
            </w:r>
            <w:r>
              <w:rPr>
                <w:rFonts w:hint="eastAsia" w:cs="Times New Roman"/>
                <w:color w:val="auto"/>
                <w:szCs w:val="22"/>
                <w:highlight w:val="none"/>
                <w:lang w:eastAsia="zh-CN"/>
              </w:rPr>
              <w:t>“</w:t>
            </w:r>
            <w:r>
              <w:rPr>
                <w:rFonts w:hint="default" w:ascii="Times New Roman" w:hAnsi="Times New Roman" w:cs="Times New Roman"/>
                <w:color w:val="auto"/>
                <w:szCs w:val="22"/>
                <w:highlight w:val="none"/>
              </w:rPr>
              <w:t>土壤侵蚀极度敏感，土地沙漠化轻度敏感，土壤盐渍化轻度敏感</w:t>
            </w:r>
            <w:r>
              <w:rPr>
                <w:rFonts w:hint="eastAsia" w:cs="Times New Roman"/>
                <w:color w:val="auto"/>
                <w:szCs w:val="22"/>
                <w:highlight w:val="none"/>
                <w:lang w:eastAsia="zh-CN"/>
              </w:rPr>
              <w:t>”</w:t>
            </w:r>
            <w:r>
              <w:rPr>
                <w:rFonts w:hint="default" w:ascii="Times New Roman" w:hAnsi="Times New Roman" w:cs="Times New Roman"/>
                <w:color w:val="auto"/>
                <w:szCs w:val="22"/>
                <w:highlight w:val="none"/>
              </w:rPr>
              <w:t>等现有生态环境问题。工程建设将永久占压</w:t>
            </w:r>
            <w:r>
              <w:rPr>
                <w:rFonts w:hint="eastAsia" w:cs="Times New Roman"/>
                <w:color w:val="auto"/>
                <w:szCs w:val="22"/>
                <w:highlight w:val="none"/>
                <w:lang w:val="en-US" w:eastAsia="zh-CN"/>
              </w:rPr>
              <w:t>荒地</w:t>
            </w:r>
            <w:r>
              <w:rPr>
                <w:rFonts w:hint="default" w:ascii="Times New Roman" w:hAnsi="Times New Roman" w:cs="Times New Roman"/>
                <w:color w:val="auto"/>
                <w:szCs w:val="22"/>
                <w:highlight w:val="none"/>
              </w:rPr>
              <w:t>，以及对野生动物造成驱赶、惊扰影响。针对以上环境不利影响，本次环评工作提出控制征地范围、植被恢复等相应环境保护对策措施，在采取保护恢复措施后，工程建设对区域生态功能影响不明显。</w:t>
            </w:r>
          </w:p>
          <w:p w14:paraId="0F1623F4">
            <w:pPr>
              <w:autoSpaceDE w:val="0"/>
              <w:autoSpaceDN w:val="0"/>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Cs w:val="22"/>
                <w:highlight w:val="none"/>
              </w:rPr>
              <w:t>综上分析，工程建设运行将对涉及区域生态环境有一定不利影响，但可通过采取相应环境保护措施，将上述不利影响降至区域环境可接受的程度，在此前提下，工程建设实施与</w:t>
            </w:r>
            <w:r>
              <w:rPr>
                <w:rFonts w:hint="eastAsia" w:cs="Times New Roman"/>
                <w:color w:val="auto"/>
                <w:szCs w:val="22"/>
                <w:highlight w:val="none"/>
                <w:lang w:eastAsia="zh-CN"/>
              </w:rPr>
              <w:t>《</w:t>
            </w:r>
            <w:r>
              <w:rPr>
                <w:rFonts w:hint="default" w:ascii="Times New Roman" w:hAnsi="Times New Roman" w:cs="Times New Roman"/>
                <w:color w:val="auto"/>
                <w:szCs w:val="22"/>
                <w:highlight w:val="none"/>
              </w:rPr>
              <w:t>新疆生态功能</w:t>
            </w:r>
            <w:r>
              <w:rPr>
                <w:rFonts w:hint="default" w:ascii="Times New Roman" w:hAnsi="Times New Roman" w:cs="Times New Roman"/>
                <w:color w:val="auto"/>
                <w:highlight w:val="none"/>
              </w:rPr>
              <w:t>区划</w:t>
            </w:r>
            <w:r>
              <w:rPr>
                <w:rFonts w:hint="eastAsia" w:cs="Times New Roman"/>
                <w:color w:val="auto"/>
                <w:highlight w:val="none"/>
                <w:lang w:eastAsia="zh-CN"/>
              </w:rPr>
              <w:t>》</w:t>
            </w:r>
            <w:r>
              <w:rPr>
                <w:rFonts w:hint="default" w:ascii="Times New Roman" w:hAnsi="Times New Roman" w:cs="Times New Roman"/>
                <w:color w:val="auto"/>
                <w:highlight w:val="none"/>
              </w:rPr>
              <w:t>相协调。</w:t>
            </w:r>
          </w:p>
          <w:p w14:paraId="553D2CFD">
            <w:pPr>
              <w:autoSpaceDE w:val="0"/>
              <w:autoSpaceDN w:val="0"/>
              <w:adjustRightInd w:val="0"/>
              <w:snapToGrid w:val="0"/>
              <w:spacing w:line="360" w:lineRule="auto"/>
              <w:ind w:firstLine="482" w:firstLineChars="200"/>
              <w:rPr>
                <w:rFonts w:hint="default" w:ascii="Times New Roman" w:hAnsi="Times New Roman" w:cs="Times New Roman"/>
                <w:b/>
                <w:color w:val="auto"/>
                <w:kern w:val="44"/>
                <w:highlight w:val="none"/>
              </w:rPr>
            </w:pPr>
            <w:bookmarkStart w:id="16" w:name="_Hlk198132737"/>
            <w:r>
              <w:rPr>
                <w:rFonts w:hint="eastAsia" w:cs="Times New Roman"/>
                <w:b/>
                <w:color w:val="auto"/>
                <w:kern w:val="44"/>
                <w:highlight w:val="none"/>
                <w:lang w:val="en-US" w:eastAsia="zh-CN"/>
              </w:rPr>
              <w:t>6</w:t>
            </w:r>
            <w:r>
              <w:rPr>
                <w:rFonts w:hint="default" w:ascii="Times New Roman" w:hAnsi="Times New Roman" w:cs="Times New Roman"/>
                <w:b/>
                <w:color w:val="auto"/>
                <w:kern w:val="44"/>
                <w:highlight w:val="none"/>
              </w:rPr>
              <w:t>、与《新疆维吾尔自治区环境保护条例》的符合性分析</w:t>
            </w:r>
          </w:p>
          <w:p w14:paraId="240C642A">
            <w:pPr>
              <w:autoSpaceDE w:val="0"/>
              <w:autoSpaceDN w:val="0"/>
              <w:adjustRightInd w:val="0"/>
              <w:snapToGrid w:val="0"/>
              <w:spacing w:line="360" w:lineRule="auto"/>
              <w:ind w:firstLine="480" w:firstLineChars="200"/>
              <w:rPr>
                <w:rFonts w:hint="default" w:ascii="Times New Roman" w:hAnsi="Times New Roman" w:cs="Times New Roman"/>
                <w:b/>
                <w:color w:val="auto"/>
                <w:kern w:val="44"/>
                <w:highlight w:val="none"/>
              </w:rPr>
            </w:pPr>
            <w:r>
              <w:rPr>
                <w:rFonts w:hint="default" w:ascii="Times New Roman" w:hAnsi="Times New Roman" w:cs="Times New Roman"/>
                <w:color w:val="auto"/>
                <w:highlight w:val="none"/>
              </w:rPr>
              <w:t>《</w:t>
            </w:r>
            <w:bookmarkStart w:id="17" w:name="_Hlk127296107"/>
            <w:r>
              <w:rPr>
                <w:rFonts w:hint="default" w:ascii="Times New Roman" w:hAnsi="Times New Roman" w:cs="Times New Roman"/>
                <w:color w:val="auto"/>
                <w:highlight w:val="none"/>
              </w:rPr>
              <w:t>新疆维吾尔自治区环境保护条例</w:t>
            </w:r>
            <w:bookmarkEnd w:id="17"/>
            <w:r>
              <w:rPr>
                <w:rFonts w:hint="default" w:ascii="Times New Roman" w:hAnsi="Times New Roman" w:cs="Times New Roman"/>
                <w:color w:val="auto"/>
                <w:highlight w:val="none"/>
              </w:rPr>
              <w:t>》（2018年9月21日自治区第十三届人民代表大会常务委员会第六次会议修正）适用于自治区行政区域内的环境保护以及相关监督管理活动，其中与本工程相关的条款规定及相符性分析列于下表1-</w:t>
            </w:r>
            <w:r>
              <w:rPr>
                <w:rFonts w:hint="eastAsia" w:cs="Times New Roman"/>
                <w:color w:val="auto"/>
                <w:highlight w:val="none"/>
                <w:lang w:val="en-US" w:eastAsia="zh-CN"/>
              </w:rPr>
              <w:t>7</w:t>
            </w:r>
            <w:r>
              <w:rPr>
                <w:rFonts w:hint="default" w:ascii="Times New Roman" w:hAnsi="Times New Roman" w:cs="Times New Roman"/>
                <w:color w:val="auto"/>
                <w:highlight w:val="none"/>
              </w:rPr>
              <w:t>。</w:t>
            </w:r>
          </w:p>
          <w:p w14:paraId="41273C6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Cs/>
                <w:color w:val="auto"/>
                <w:highlight w:val="none"/>
              </w:rPr>
            </w:pPr>
            <w:r>
              <w:rPr>
                <w:rFonts w:hint="default" w:ascii="Times New Roman" w:hAnsi="Times New Roman" w:eastAsia="黑体" w:cs="Times New Roman"/>
                <w:bCs/>
                <w:color w:val="auto"/>
                <w:highlight w:val="none"/>
              </w:rPr>
              <w:t>表1-</w:t>
            </w:r>
            <w:r>
              <w:rPr>
                <w:rFonts w:hint="eastAsia" w:eastAsia="黑体" w:cs="Times New Roman"/>
                <w:bCs/>
                <w:color w:val="auto"/>
                <w:highlight w:val="none"/>
                <w:lang w:val="en-US" w:eastAsia="zh-CN"/>
              </w:rPr>
              <w:t>6</w:t>
            </w:r>
            <w:r>
              <w:rPr>
                <w:rFonts w:hint="default" w:ascii="Times New Roman" w:hAnsi="Times New Roman" w:eastAsia="黑体" w:cs="Times New Roman"/>
                <w:bCs/>
                <w:color w:val="auto"/>
                <w:highlight w:val="none"/>
              </w:rPr>
              <w:t xml:space="preserve">    工程与自治区环境保护条例相符性分析</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158"/>
              <w:gridCol w:w="3561"/>
            </w:tblGrid>
            <w:tr w14:paraId="782A6C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50" w:type="pct"/>
                  <w:shd w:val="clear" w:color="auto" w:fill="auto"/>
                  <w:tcMar>
                    <w:left w:w="28" w:type="dxa"/>
                    <w:right w:w="28" w:type="dxa"/>
                  </w:tcMar>
                  <w:vAlign w:val="center"/>
                </w:tcPr>
                <w:p w14:paraId="4D6828C7">
                  <w:pPr>
                    <w:pStyle w:val="114"/>
                    <w:spacing w:line="200" w:lineRule="exact"/>
                    <w:jc w:val="center"/>
                    <w:rPr>
                      <w:rFonts w:hint="default" w:eastAsia="宋体" w:cs="Times New Roman"/>
                      <w:color w:val="auto"/>
                      <w:sz w:val="18"/>
                      <w:szCs w:val="18"/>
                      <w:highlight w:val="none"/>
                      <w:lang w:val="en-US" w:eastAsia="zh-CN"/>
                    </w:rPr>
                  </w:pPr>
                  <w:r>
                    <w:rPr>
                      <w:rFonts w:hint="default" w:eastAsia="宋体" w:cs="Times New Roman"/>
                      <w:color w:val="auto"/>
                      <w:sz w:val="18"/>
                      <w:szCs w:val="18"/>
                      <w:highlight w:val="none"/>
                      <w:lang w:val="en-US" w:eastAsia="zh-CN"/>
                    </w:rPr>
                    <w:t>条例与本工程相关</w:t>
                  </w:r>
                </w:p>
                <w:p w14:paraId="24C810A3">
                  <w:pPr>
                    <w:pStyle w:val="114"/>
                    <w:spacing w:line="200" w:lineRule="exact"/>
                    <w:jc w:val="center"/>
                    <w:rPr>
                      <w:rFonts w:hint="default" w:eastAsia="宋体" w:cs="Times New Roman"/>
                      <w:color w:val="auto"/>
                      <w:sz w:val="18"/>
                      <w:szCs w:val="18"/>
                      <w:highlight w:val="none"/>
                      <w:lang w:val="en-US" w:eastAsia="zh-CN"/>
                    </w:rPr>
                  </w:pPr>
                  <w:r>
                    <w:rPr>
                      <w:rFonts w:hint="default" w:eastAsia="宋体" w:cs="Times New Roman"/>
                      <w:color w:val="auto"/>
                      <w:sz w:val="18"/>
                      <w:szCs w:val="18"/>
                      <w:highlight w:val="none"/>
                      <w:lang w:val="en-US" w:eastAsia="zh-CN"/>
                    </w:rPr>
                    <w:t>的条款规定</w:t>
                  </w:r>
                </w:p>
              </w:tc>
              <w:tc>
                <w:tcPr>
                  <w:tcW w:w="2649" w:type="pct"/>
                  <w:shd w:val="clear" w:color="auto" w:fill="auto"/>
                  <w:tcMar>
                    <w:left w:w="28" w:type="dxa"/>
                    <w:right w:w="28" w:type="dxa"/>
                  </w:tcMar>
                  <w:vAlign w:val="center"/>
                </w:tcPr>
                <w:p w14:paraId="344B5491">
                  <w:pPr>
                    <w:pStyle w:val="114"/>
                    <w:spacing w:line="200" w:lineRule="exact"/>
                    <w:jc w:val="center"/>
                    <w:rPr>
                      <w:rFonts w:hint="default" w:eastAsia="宋体" w:cs="Times New Roman"/>
                      <w:color w:val="auto"/>
                      <w:sz w:val="18"/>
                      <w:szCs w:val="18"/>
                      <w:highlight w:val="none"/>
                      <w:lang w:val="en-US" w:eastAsia="zh-CN"/>
                    </w:rPr>
                  </w:pPr>
                  <w:r>
                    <w:rPr>
                      <w:rFonts w:hint="default" w:eastAsia="宋体" w:cs="Times New Roman"/>
                      <w:color w:val="auto"/>
                      <w:sz w:val="18"/>
                      <w:szCs w:val="18"/>
                      <w:highlight w:val="none"/>
                      <w:lang w:val="en-US" w:eastAsia="zh-CN"/>
                    </w:rPr>
                    <w:t>相符性分析</w:t>
                  </w:r>
                </w:p>
              </w:tc>
            </w:tr>
            <w:tr w14:paraId="0F312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50" w:type="pct"/>
                  <w:shd w:val="clear" w:color="auto" w:fill="auto"/>
                  <w:tcMar>
                    <w:left w:w="28" w:type="dxa"/>
                    <w:right w:w="28" w:type="dxa"/>
                  </w:tcMar>
                  <w:vAlign w:val="center"/>
                </w:tcPr>
                <w:p w14:paraId="03F700BC">
                  <w:pPr>
                    <w:pStyle w:val="114"/>
                    <w:spacing w:line="200" w:lineRule="exact"/>
                    <w:jc w:val="both"/>
                    <w:rPr>
                      <w:rFonts w:hint="default" w:eastAsia="宋体" w:cs="Times New Roman"/>
                      <w:color w:val="auto"/>
                      <w:sz w:val="18"/>
                      <w:szCs w:val="18"/>
                      <w:highlight w:val="none"/>
                      <w:lang w:val="en-US" w:eastAsia="zh-CN"/>
                    </w:rPr>
                  </w:pPr>
                  <w:r>
                    <w:rPr>
                      <w:rFonts w:hint="default" w:eastAsia="宋体" w:cs="Times New Roman"/>
                      <w:color w:val="auto"/>
                      <w:sz w:val="18"/>
                      <w:szCs w:val="18"/>
                      <w:highlight w:val="none"/>
                      <w:lang w:val="en-US" w:eastAsia="zh-CN"/>
                    </w:rPr>
                    <w:t>第</w:t>
                  </w:r>
                  <w:r>
                    <w:rPr>
                      <w:rFonts w:hint="eastAsia" w:eastAsia="宋体" w:cs="Times New Roman"/>
                      <w:color w:val="auto"/>
                      <w:sz w:val="18"/>
                      <w:szCs w:val="18"/>
                      <w:highlight w:val="none"/>
                      <w:lang w:val="en-US" w:eastAsia="zh-CN"/>
                    </w:rPr>
                    <w:t>三</w:t>
                  </w:r>
                  <w:r>
                    <w:rPr>
                      <w:rFonts w:hint="default" w:eastAsia="宋体" w:cs="Times New Roman"/>
                      <w:color w:val="auto"/>
                      <w:sz w:val="18"/>
                      <w:szCs w:val="18"/>
                      <w:highlight w:val="none"/>
                      <w:lang w:val="en-US" w:eastAsia="zh-CN"/>
                    </w:rPr>
                    <w:t>章保护和改善环境</w:t>
                  </w:r>
                  <w:r>
                    <w:rPr>
                      <w:rFonts w:hint="eastAsia" w:eastAsia="宋体" w:cs="Times New Roman"/>
                      <w:color w:val="auto"/>
                      <w:sz w:val="18"/>
                      <w:szCs w:val="18"/>
                      <w:highlight w:val="none"/>
                      <w:lang w:val="en-US" w:eastAsia="zh-CN"/>
                    </w:rPr>
                    <w:t>“</w:t>
                  </w:r>
                  <w:r>
                    <w:rPr>
                      <w:rFonts w:hint="default" w:eastAsia="宋体" w:cs="Times New Roman"/>
                      <w:color w:val="auto"/>
                      <w:sz w:val="18"/>
                      <w:szCs w:val="18"/>
                      <w:highlight w:val="none"/>
                      <w:lang w:val="en-US" w:eastAsia="zh-CN"/>
                    </w:rPr>
                    <w:t>第三十一条 在城市市区或者居民区进行建筑施工的，应当符合建筑施工场界噪声排放</w:t>
                  </w:r>
                </w:p>
                <w:p w14:paraId="57375ED5">
                  <w:pPr>
                    <w:pStyle w:val="114"/>
                    <w:spacing w:line="200" w:lineRule="exact"/>
                    <w:jc w:val="both"/>
                    <w:rPr>
                      <w:rFonts w:hint="eastAsia" w:eastAsia="宋体" w:cs="Times New Roman"/>
                      <w:color w:val="auto"/>
                      <w:sz w:val="18"/>
                      <w:szCs w:val="18"/>
                      <w:highlight w:val="none"/>
                      <w:lang w:val="en-US" w:eastAsia="zh-CN"/>
                    </w:rPr>
                  </w:pPr>
                  <w:r>
                    <w:rPr>
                      <w:rFonts w:hint="default" w:eastAsia="宋体" w:cs="Times New Roman"/>
                      <w:color w:val="auto"/>
                      <w:sz w:val="18"/>
                      <w:szCs w:val="18"/>
                      <w:highlight w:val="none"/>
                      <w:lang w:val="en-US" w:eastAsia="zh-CN"/>
                    </w:rPr>
                    <w:t>标准，散装物料、建筑垃圾和渣土，应当采用密闭方式运送，不得抛掷、扬撒</w:t>
                  </w:r>
                  <w:r>
                    <w:rPr>
                      <w:rFonts w:hint="eastAsia" w:eastAsia="宋体" w:cs="Times New Roman"/>
                      <w:color w:val="auto"/>
                      <w:sz w:val="18"/>
                      <w:szCs w:val="18"/>
                      <w:highlight w:val="none"/>
                      <w:lang w:val="en-US" w:eastAsia="zh-CN"/>
                    </w:rPr>
                    <w:t>。”</w:t>
                  </w:r>
                </w:p>
              </w:tc>
              <w:tc>
                <w:tcPr>
                  <w:tcW w:w="2649" w:type="pct"/>
                  <w:shd w:val="clear" w:color="auto" w:fill="auto"/>
                  <w:tcMar>
                    <w:left w:w="28" w:type="dxa"/>
                    <w:right w:w="28" w:type="dxa"/>
                  </w:tcMar>
                  <w:vAlign w:val="center"/>
                </w:tcPr>
                <w:p w14:paraId="748AF1A5">
                  <w:pPr>
                    <w:pStyle w:val="114"/>
                    <w:spacing w:line="200" w:lineRule="exact"/>
                    <w:jc w:val="both"/>
                    <w:rPr>
                      <w:rFonts w:hint="default" w:eastAsia="宋体" w:cs="Times New Roman"/>
                      <w:color w:val="auto"/>
                      <w:sz w:val="18"/>
                      <w:szCs w:val="18"/>
                      <w:highlight w:val="none"/>
                      <w:lang w:val="en-US" w:eastAsia="zh-CN"/>
                    </w:rPr>
                  </w:pPr>
                  <w:r>
                    <w:rPr>
                      <w:rFonts w:hint="default" w:eastAsia="宋体" w:cs="Times New Roman"/>
                      <w:color w:val="auto"/>
                      <w:sz w:val="18"/>
                      <w:szCs w:val="18"/>
                      <w:highlight w:val="none"/>
                      <w:lang w:val="en-US" w:eastAsia="zh-CN"/>
                    </w:rPr>
                    <w:t>该条款明确鼓励高耗水企业开展废水深度处理回用，</w:t>
                  </w:r>
                  <w:r>
                    <w:rPr>
                      <w:rFonts w:hint="eastAsia" w:eastAsia="宋体" w:cs="Times New Roman"/>
                      <w:color w:val="auto"/>
                      <w:sz w:val="18"/>
                      <w:szCs w:val="18"/>
                      <w:highlight w:val="none"/>
                      <w:lang w:val="en-US" w:eastAsia="zh-CN"/>
                    </w:rPr>
                    <w:t>本</w:t>
                  </w:r>
                  <w:r>
                    <w:rPr>
                      <w:rFonts w:hint="default" w:eastAsia="宋体" w:cs="Times New Roman"/>
                      <w:color w:val="auto"/>
                      <w:sz w:val="18"/>
                      <w:szCs w:val="18"/>
                      <w:highlight w:val="none"/>
                      <w:lang w:val="en-US" w:eastAsia="zh-CN"/>
                    </w:rPr>
                    <w:t>项目将果汁生产废水处理后用于果园浇灌，属于典型的废水资源化利用，完全契合该条款的政策导向。</w:t>
                  </w:r>
                </w:p>
              </w:tc>
            </w:tr>
            <w:tr w14:paraId="1EDA3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50" w:type="pct"/>
                  <w:shd w:val="clear" w:color="auto" w:fill="auto"/>
                  <w:tcMar>
                    <w:left w:w="28" w:type="dxa"/>
                    <w:right w:w="28" w:type="dxa"/>
                  </w:tcMar>
                  <w:vAlign w:val="center"/>
                </w:tcPr>
                <w:p w14:paraId="79A96BCD">
                  <w:pPr>
                    <w:pStyle w:val="114"/>
                    <w:spacing w:line="200" w:lineRule="exact"/>
                    <w:jc w:val="both"/>
                    <w:rPr>
                      <w:rFonts w:hint="eastAsia" w:eastAsia="宋体" w:cs="Times New Roman"/>
                      <w:color w:val="auto"/>
                      <w:sz w:val="18"/>
                      <w:szCs w:val="18"/>
                      <w:highlight w:val="none"/>
                      <w:lang w:val="en-US" w:eastAsia="zh-CN"/>
                    </w:rPr>
                  </w:pPr>
                  <w:r>
                    <w:rPr>
                      <w:rFonts w:hint="default" w:eastAsia="宋体" w:cs="Times New Roman"/>
                      <w:color w:val="auto"/>
                      <w:sz w:val="18"/>
                      <w:szCs w:val="18"/>
                      <w:highlight w:val="none"/>
                      <w:lang w:val="en-US" w:eastAsia="zh-CN"/>
                    </w:rPr>
                    <w:t>第四章 环境污染防治</w:t>
                  </w:r>
                  <w:r>
                    <w:rPr>
                      <w:rFonts w:hint="eastAsia" w:eastAsia="宋体" w:cs="Times New Roman"/>
                      <w:color w:val="auto"/>
                      <w:sz w:val="18"/>
                      <w:szCs w:val="18"/>
                      <w:highlight w:val="none"/>
                      <w:lang w:val="en-US" w:eastAsia="zh-CN"/>
                    </w:rPr>
                    <w:t>“第三十七条 排污者应当按照国家有关规定取得排污许可证，并按照排污许可证核定的</w:t>
                  </w:r>
                </w:p>
                <w:p w14:paraId="6CF2A015">
                  <w:pPr>
                    <w:pStyle w:val="114"/>
                    <w:spacing w:line="200" w:lineRule="exact"/>
                    <w:jc w:val="both"/>
                    <w:rPr>
                      <w:rFonts w:hint="eastAsia" w:eastAsia="宋体" w:cs="Times New Roman"/>
                      <w:color w:val="auto"/>
                      <w:sz w:val="18"/>
                      <w:szCs w:val="18"/>
                      <w:highlight w:val="none"/>
                      <w:lang w:val="en-US" w:eastAsia="zh-CN"/>
                    </w:rPr>
                  </w:pPr>
                  <w:r>
                    <w:rPr>
                      <w:rFonts w:hint="eastAsia" w:eastAsia="宋体" w:cs="Times New Roman"/>
                      <w:color w:val="auto"/>
                      <w:sz w:val="18"/>
                      <w:szCs w:val="18"/>
                      <w:highlight w:val="none"/>
                      <w:lang w:val="en-US" w:eastAsia="zh-CN"/>
                    </w:rPr>
                    <w:t>污染物种类、控制指标和规定的方式排放污染物。”</w:t>
                  </w:r>
                </w:p>
              </w:tc>
              <w:tc>
                <w:tcPr>
                  <w:tcW w:w="2649" w:type="pct"/>
                  <w:shd w:val="clear" w:color="auto" w:fill="auto"/>
                  <w:tcMar>
                    <w:left w:w="28" w:type="dxa"/>
                    <w:right w:w="28" w:type="dxa"/>
                  </w:tcMar>
                  <w:vAlign w:val="center"/>
                </w:tcPr>
                <w:p w14:paraId="52986E23">
                  <w:pPr>
                    <w:pStyle w:val="114"/>
                    <w:spacing w:line="200" w:lineRule="exact"/>
                    <w:jc w:val="both"/>
                    <w:rPr>
                      <w:rFonts w:hint="default" w:eastAsia="宋体" w:cs="Times New Roman"/>
                      <w:color w:val="auto"/>
                      <w:sz w:val="18"/>
                      <w:szCs w:val="18"/>
                      <w:highlight w:val="none"/>
                      <w:lang w:val="en-US" w:eastAsia="zh-CN"/>
                    </w:rPr>
                  </w:pPr>
                  <w:r>
                    <w:rPr>
                      <w:rFonts w:hint="default" w:eastAsia="宋体" w:cs="Times New Roman"/>
                      <w:color w:val="auto"/>
                      <w:sz w:val="18"/>
                      <w:szCs w:val="18"/>
                      <w:highlight w:val="none"/>
                      <w:lang w:val="en-US" w:eastAsia="zh-CN"/>
                    </w:rPr>
                    <w:t>条例明确厨余类有机废弃物可采用资源化回收利用方式处置，</w:t>
                  </w:r>
                  <w:r>
                    <w:rPr>
                      <w:rFonts w:hint="eastAsia" w:eastAsia="宋体" w:cs="Times New Roman"/>
                      <w:color w:val="auto"/>
                      <w:sz w:val="18"/>
                      <w:szCs w:val="18"/>
                      <w:highlight w:val="none"/>
                      <w:lang w:val="en-US" w:eastAsia="zh-CN"/>
                    </w:rPr>
                    <w:t>本</w:t>
                  </w:r>
                  <w:r>
                    <w:rPr>
                      <w:rFonts w:hint="default" w:eastAsia="宋体" w:cs="Times New Roman"/>
                      <w:color w:val="auto"/>
                      <w:sz w:val="18"/>
                      <w:szCs w:val="18"/>
                      <w:highlight w:val="none"/>
                      <w:lang w:val="en-US" w:eastAsia="zh-CN"/>
                    </w:rPr>
                    <w:t>项目将富含养分的果渣直接送入园区配套饲料加工厂加工，符合该条款中固体废物资源化利用的要求，同时也满足“可回收物采用资源化回收利用”的分类处理规定</w:t>
                  </w:r>
                </w:p>
              </w:tc>
            </w:tr>
            <w:tr w14:paraId="4001FE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50" w:type="pct"/>
                  <w:shd w:val="clear" w:color="auto" w:fill="auto"/>
                  <w:tcMar>
                    <w:left w:w="28" w:type="dxa"/>
                    <w:right w:w="28" w:type="dxa"/>
                  </w:tcMar>
                  <w:vAlign w:val="center"/>
                </w:tcPr>
                <w:p w14:paraId="74D0E4ED">
                  <w:pPr>
                    <w:pStyle w:val="114"/>
                    <w:spacing w:line="200" w:lineRule="exact"/>
                    <w:jc w:val="both"/>
                    <w:rPr>
                      <w:rFonts w:hint="eastAsia" w:eastAsia="宋体" w:cs="Times New Roman"/>
                      <w:color w:val="auto"/>
                      <w:sz w:val="18"/>
                      <w:szCs w:val="18"/>
                      <w:highlight w:val="none"/>
                      <w:lang w:val="en-US" w:eastAsia="zh-CN"/>
                    </w:rPr>
                  </w:pPr>
                  <w:r>
                    <w:rPr>
                      <w:rFonts w:hint="eastAsia" w:eastAsia="宋体" w:cs="Times New Roman"/>
                      <w:color w:val="auto"/>
                      <w:sz w:val="18"/>
                      <w:szCs w:val="18"/>
                      <w:highlight w:val="none"/>
                      <w:lang w:val="en-US" w:eastAsia="zh-CN"/>
                    </w:rPr>
                    <w:t>第五章 法律责任第四十七条 违反本条例第二十二条规定，拒绝噪声污染现场检查，或者在被检查时弄虚。</w:t>
                  </w:r>
                </w:p>
                <w:p w14:paraId="1725E280">
                  <w:pPr>
                    <w:pStyle w:val="114"/>
                    <w:spacing w:line="200" w:lineRule="exact"/>
                    <w:jc w:val="both"/>
                    <w:rPr>
                      <w:rFonts w:hint="eastAsia" w:eastAsia="宋体" w:cs="Times New Roman"/>
                      <w:color w:val="auto"/>
                      <w:sz w:val="18"/>
                      <w:szCs w:val="18"/>
                      <w:highlight w:val="none"/>
                      <w:lang w:val="en-US" w:eastAsia="zh-CN"/>
                    </w:rPr>
                  </w:pPr>
                  <w:r>
                    <w:rPr>
                      <w:rFonts w:hint="eastAsia" w:eastAsia="宋体" w:cs="Times New Roman"/>
                      <w:color w:val="auto"/>
                      <w:sz w:val="18"/>
                      <w:szCs w:val="18"/>
                      <w:highlight w:val="none"/>
                      <w:lang w:val="en-US" w:eastAsia="zh-CN"/>
                    </w:rPr>
                    <w:t>作假的，由县级以上人民政府环境保护行政主管部门责令改正，处二千元以上二万元以下罚款。拒绝大气、水、固体废物、放射性环境污染现场检查的，依照有关法律法规予以处罚。</w:t>
                  </w:r>
                </w:p>
              </w:tc>
              <w:tc>
                <w:tcPr>
                  <w:tcW w:w="2649" w:type="pct"/>
                  <w:shd w:val="clear" w:color="auto" w:fill="auto"/>
                  <w:tcMar>
                    <w:left w:w="28" w:type="dxa"/>
                    <w:right w:w="28" w:type="dxa"/>
                  </w:tcMar>
                  <w:vAlign w:val="center"/>
                </w:tcPr>
                <w:p w14:paraId="102983DF">
                  <w:pPr>
                    <w:pStyle w:val="114"/>
                    <w:spacing w:line="200" w:lineRule="exact"/>
                    <w:jc w:val="both"/>
                    <w:rPr>
                      <w:rFonts w:hint="default" w:eastAsia="宋体" w:cs="Times New Roman"/>
                      <w:color w:val="auto"/>
                      <w:sz w:val="18"/>
                      <w:szCs w:val="18"/>
                      <w:highlight w:val="none"/>
                      <w:lang w:val="en-US" w:eastAsia="zh-CN"/>
                    </w:rPr>
                  </w:pPr>
                  <w:r>
                    <w:rPr>
                      <w:rFonts w:hint="eastAsia" w:eastAsia="宋体" w:cs="Times New Roman"/>
                      <w:color w:val="auto"/>
                      <w:sz w:val="18"/>
                      <w:szCs w:val="18"/>
                      <w:highlight w:val="none"/>
                      <w:lang w:val="en-US" w:eastAsia="zh-CN"/>
                    </w:rPr>
                    <w:t>本</w:t>
                  </w:r>
                  <w:r>
                    <w:rPr>
                      <w:rFonts w:hint="default" w:eastAsia="宋体" w:cs="Times New Roman"/>
                      <w:color w:val="auto"/>
                      <w:sz w:val="18"/>
                      <w:szCs w:val="18"/>
                      <w:highlight w:val="none"/>
                      <w:lang w:val="en-US" w:eastAsia="zh-CN"/>
                    </w:rPr>
                    <w:t>项目对果渣进行规范资源化处置，</w:t>
                  </w:r>
                  <w:r>
                    <w:rPr>
                      <w:rFonts w:hint="eastAsia" w:eastAsia="宋体" w:cs="Times New Roman"/>
                      <w:color w:val="auto"/>
                      <w:sz w:val="18"/>
                      <w:szCs w:val="18"/>
                      <w:highlight w:val="none"/>
                      <w:lang w:val="en-US" w:eastAsia="zh-CN"/>
                    </w:rPr>
                    <w:t>无须设置</w:t>
                  </w:r>
                  <w:r>
                    <w:rPr>
                      <w:rFonts w:hint="default" w:eastAsia="宋体" w:cs="Times New Roman"/>
                      <w:color w:val="auto"/>
                      <w:sz w:val="18"/>
                      <w:szCs w:val="18"/>
                      <w:highlight w:val="none"/>
                      <w:lang w:val="en-US" w:eastAsia="zh-CN"/>
                    </w:rPr>
                    <w:t>大规模堆存场所，可有效避免固废扬散、渗漏等环境风险，符合该条款中固体废物污染防控的相关要求。</w:t>
                  </w:r>
                </w:p>
              </w:tc>
            </w:tr>
            <w:bookmarkEnd w:id="16"/>
          </w:tbl>
          <w:p w14:paraId="37E491DF">
            <w:pPr>
              <w:pStyle w:val="120"/>
              <w:spacing w:line="360" w:lineRule="auto"/>
              <w:ind w:firstLine="480"/>
              <w:rPr>
                <w:rFonts w:hint="default" w:ascii="Times New Roman" w:hAnsi="Times New Roman" w:cs="Times New Roman"/>
                <w:color w:val="auto"/>
                <w:sz w:val="24"/>
                <w:szCs w:val="24"/>
                <w:highlight w:val="none"/>
              </w:rPr>
            </w:pPr>
          </w:p>
          <w:p w14:paraId="6E65B4D0">
            <w:pPr>
              <w:pStyle w:val="120"/>
              <w:spacing w:line="360" w:lineRule="auto"/>
              <w:ind w:firstLine="480"/>
              <w:rPr>
                <w:rFonts w:hint="default" w:ascii="Times New Roman" w:hAnsi="Times New Roman" w:cs="Times New Roman"/>
                <w:color w:val="auto"/>
                <w:sz w:val="24"/>
                <w:szCs w:val="24"/>
                <w:highlight w:val="none"/>
              </w:rPr>
            </w:pPr>
          </w:p>
        </w:tc>
      </w:tr>
    </w:tbl>
    <w:p w14:paraId="72DE8A2F">
      <w:pPr>
        <w:spacing w:line="360" w:lineRule="auto"/>
        <w:ind w:firstLine="600"/>
        <w:rPr>
          <w:rFonts w:hint="default" w:ascii="Times New Roman" w:hAnsi="Times New Roman" w:cs="Times New Roman"/>
          <w:color w:val="auto"/>
          <w:sz w:val="30"/>
          <w:highlight w:val="none"/>
        </w:rPr>
        <w:sectPr>
          <w:footerReference r:id="rId6" w:type="default"/>
          <w:pgSz w:w="11906" w:h="16838"/>
          <w:pgMar w:top="1701" w:right="1361" w:bottom="1701" w:left="1361" w:header="1247" w:footer="1361" w:gutter="0"/>
          <w:pgBorders>
            <w:top w:val="none" w:sz="0" w:space="0"/>
            <w:left w:val="none" w:sz="0" w:space="0"/>
            <w:bottom w:val="none" w:sz="0" w:space="0"/>
            <w:right w:val="none" w:sz="0" w:space="0"/>
          </w:pgBorders>
          <w:pgNumType w:start="1"/>
          <w:cols w:space="720" w:num="1"/>
          <w:docGrid w:linePitch="312" w:charSpace="0"/>
        </w:sectPr>
      </w:pPr>
    </w:p>
    <w:p w14:paraId="63978E89">
      <w:pPr>
        <w:pStyle w:val="26"/>
        <w:numPr>
          <w:ilvl w:val="0"/>
          <w:numId w:val="5"/>
        </w:numPr>
        <w:rPr>
          <w:rFonts w:hint="default" w:ascii="Times New Roman" w:hAnsi="Times New Roman" w:cs="Times New Roman"/>
          <w:b/>
          <w:color w:val="auto"/>
          <w:sz w:val="32"/>
          <w:highlight w:val="none"/>
        </w:rPr>
      </w:pPr>
      <w:bookmarkStart w:id="18" w:name="_Toc24251"/>
      <w:bookmarkStart w:id="19" w:name="_Toc3745"/>
      <w:r>
        <w:rPr>
          <w:rFonts w:hint="default" w:ascii="Times New Roman" w:hAnsi="Times New Roman" w:cs="Times New Roman"/>
          <w:b/>
          <w:color w:val="auto"/>
          <w:sz w:val="32"/>
          <w:highlight w:val="none"/>
        </w:rPr>
        <w:t>建设</w:t>
      </w:r>
      <w:bookmarkEnd w:id="18"/>
      <w:bookmarkEnd w:id="19"/>
      <w:r>
        <w:rPr>
          <w:rFonts w:hint="default" w:ascii="Times New Roman" w:hAnsi="Times New Roman" w:cs="Times New Roman"/>
          <w:b/>
          <w:color w:val="auto"/>
          <w:sz w:val="32"/>
          <w:highlight w:val="none"/>
          <w:lang w:val="en-US" w:eastAsia="zh-CN"/>
        </w:rPr>
        <w:t>项目工程分析</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2"/>
        <w:gridCol w:w="8608"/>
      </w:tblGrid>
      <w:tr w14:paraId="1C469A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00" w:type="dxa"/>
            <w:vAlign w:val="center"/>
          </w:tcPr>
          <w:p w14:paraId="4511DE9A">
            <w:pPr>
              <w:pStyle w:val="26"/>
              <w:keepNext w:val="0"/>
              <w:keepLines w:val="0"/>
              <w:pageBreakBefore w:val="0"/>
              <w:kinsoku/>
              <w:wordWrap/>
              <w:overflowPunct/>
              <w:topLinePunct w:val="0"/>
              <w:bidi w:val="0"/>
              <w:jc w:val="both"/>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val="en-US" w:eastAsia="zh-CN"/>
              </w:rPr>
              <w:t>建设内容</w:t>
            </w:r>
          </w:p>
        </w:tc>
        <w:tc>
          <w:tcPr>
            <w:tcW w:w="8560" w:type="dxa"/>
          </w:tcPr>
          <w:p w14:paraId="6BC3B1D0">
            <w:pPr>
              <w:keepNext w:val="0"/>
              <w:keepLines w:val="0"/>
              <w:pageBreakBefore w:val="0"/>
              <w:kinsoku/>
              <w:wordWrap/>
              <w:overflowPunct/>
              <w:topLinePunct w:val="0"/>
              <w:bidi w:val="0"/>
              <w:adjustRightInd w:val="0"/>
              <w:snapToGrid w:val="0"/>
              <w:spacing w:line="360" w:lineRule="auto"/>
              <w:ind w:firstLine="482" w:firstLineChars="200"/>
              <w:rPr>
                <w:rFonts w:hint="default" w:ascii="Times New Roman" w:hAnsi="Times New Roman" w:cs="Times New Roman"/>
                <w:b/>
                <w:bCs/>
                <w:color w:val="auto"/>
                <w:szCs w:val="32"/>
                <w:highlight w:val="none"/>
              </w:rPr>
            </w:pPr>
            <w:bookmarkStart w:id="20" w:name="_Hlk165197691"/>
            <w:r>
              <w:rPr>
                <w:rFonts w:hint="default" w:ascii="Times New Roman" w:hAnsi="Times New Roman" w:cs="Times New Roman"/>
                <w:b/>
                <w:bCs/>
                <w:color w:val="auto"/>
                <w:szCs w:val="32"/>
                <w:highlight w:val="none"/>
              </w:rPr>
              <w:t>1、项目背景</w:t>
            </w:r>
          </w:p>
          <w:bookmarkEnd w:id="20"/>
          <w:p w14:paraId="5F642369">
            <w:pPr>
              <w:pStyle w:val="76"/>
              <w:keepNext w:val="0"/>
              <w:keepLines w:val="0"/>
              <w:pageBreakBefore w:val="0"/>
              <w:kinsoku/>
              <w:wordWrap/>
              <w:overflowPunct/>
              <w:topLinePunct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民丰产业园位于新疆维吾尔自治区和田地区民丰县，地处昆仑山北麓、塔里木盆地南缘，是典型的暖温带荒漠气候区，光热资源丰富、昼夜温差大，盛产梨、苹果、葡萄、哈密瓜等优质鲜果。然而，长期以来该地区果品产业以鲜果销售和初级加工为主，缺乏深加工能力，产业链条短，鲜果集中上市期存在较大的销售压力和损耗风险。为贯彻落实兵地融合发展战略，推动区域农业产业化转型升级，兵团第七师民丰产业园将农副产品加工作为重点发展方向。</w:t>
            </w:r>
          </w:p>
          <w:p w14:paraId="3C1534EB">
            <w:pPr>
              <w:pStyle w:val="76"/>
              <w:keepNext w:val="0"/>
              <w:keepLines w:val="0"/>
              <w:pageBreakBefore w:val="0"/>
              <w:kinsoku/>
              <w:wordWrap/>
              <w:overflowPunct/>
              <w:topLinePunct w:val="0"/>
              <w:bidi w:val="0"/>
              <w:rPr>
                <w:rFonts w:hint="default" w:cs="Times New Roman"/>
                <w:color w:val="auto"/>
                <w:highlight w:val="none"/>
                <w:lang w:val="en-US" w:eastAsia="zh-CN"/>
              </w:rPr>
            </w:pPr>
            <w:r>
              <w:rPr>
                <w:rFonts w:hint="eastAsia" w:cs="Times New Roman"/>
                <w:color w:val="auto"/>
                <w:highlight w:val="none"/>
                <w:lang w:val="en-US" w:eastAsia="zh-CN"/>
              </w:rPr>
              <w:t>目前本项目已完成一期基础设施建设，现状为羊肚菌烘干厂，暂未投产，包含1栋保鲜库、1栋烘干厂房、1栋配套门卫室、1栋配套配电房及厂区消防管网。</w:t>
            </w:r>
          </w:p>
          <w:p w14:paraId="2174BA35">
            <w:pPr>
              <w:pStyle w:val="76"/>
              <w:keepNext w:val="0"/>
              <w:keepLines w:val="0"/>
              <w:pageBreakBefore w:val="0"/>
              <w:kinsoku/>
              <w:wordWrap/>
              <w:overflowPunct/>
              <w:topLinePunct w:val="0"/>
              <w:bidi w:val="0"/>
              <w:rPr>
                <w:rFonts w:hint="default" w:ascii="Times New Roman" w:hAnsi="Times New Roman" w:cs="Times New Roman"/>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依托园区及周边优质梨、苹果</w:t>
            </w:r>
            <w:r>
              <w:rPr>
                <w:rFonts w:hint="eastAsia" w:cs="Times New Roman"/>
                <w:color w:val="auto"/>
                <w:highlight w:val="none"/>
                <w:lang w:eastAsia="zh-CN"/>
              </w:rPr>
              <w:t>、</w:t>
            </w:r>
            <w:r>
              <w:rPr>
                <w:rFonts w:hint="eastAsia" w:cs="Times New Roman"/>
                <w:color w:val="auto"/>
                <w:highlight w:val="none"/>
                <w:lang w:val="en-US" w:eastAsia="zh-CN"/>
              </w:rPr>
              <w:t>少量葡萄及哈密瓜</w:t>
            </w:r>
            <w:r>
              <w:rPr>
                <w:rFonts w:hint="default" w:ascii="Times New Roman" w:hAnsi="Times New Roman" w:cs="Times New Roman"/>
                <w:color w:val="auto"/>
                <w:highlight w:val="none"/>
              </w:rPr>
              <w:t>等鲜果资源，新建6</w:t>
            </w:r>
            <w:r>
              <w:rPr>
                <w:rFonts w:hint="eastAsia" w:cs="Times New Roman"/>
                <w:color w:val="auto"/>
                <w:highlight w:val="none"/>
                <w:lang w:eastAsia="zh-CN"/>
              </w:rPr>
              <w:t>t/h</w:t>
            </w:r>
            <w:r>
              <w:rPr>
                <w:rFonts w:hint="default" w:ascii="Times New Roman" w:hAnsi="Times New Roman" w:cs="Times New Roman"/>
                <w:color w:val="auto"/>
                <w:highlight w:val="none"/>
              </w:rPr>
              <w:t>高速果品分选线1条和3</w:t>
            </w:r>
            <w:r>
              <w:rPr>
                <w:rFonts w:hint="eastAsia" w:cs="Times New Roman"/>
                <w:color w:val="auto"/>
                <w:highlight w:val="none"/>
                <w:lang w:eastAsia="zh-CN"/>
              </w:rPr>
              <w:t>t/h</w:t>
            </w:r>
            <w:r>
              <w:rPr>
                <w:rFonts w:hint="default" w:ascii="Times New Roman" w:hAnsi="Times New Roman" w:cs="Times New Roman"/>
                <w:color w:val="auto"/>
                <w:highlight w:val="none"/>
              </w:rPr>
              <w:t>NFC（非浓缩还原）果汁生产线1条，配套建设NFC果汁生产车间及冷库2148.23㎡（含速冻库3间、低温冷冻储藏库3间），并</w:t>
            </w:r>
            <w:r>
              <w:rPr>
                <w:rFonts w:hint="eastAsia" w:cs="Times New Roman"/>
                <w:color w:val="auto"/>
                <w:highlight w:val="none"/>
                <w:lang w:val="en-US" w:eastAsia="zh-CN"/>
              </w:rPr>
              <w:t>将</w:t>
            </w:r>
            <w:r>
              <w:rPr>
                <w:rFonts w:hint="default" w:ascii="Times New Roman" w:hAnsi="Times New Roman" w:cs="Times New Roman"/>
                <w:color w:val="auto"/>
                <w:highlight w:val="none"/>
              </w:rPr>
              <w:t>原有烘干厂房局部区域（601.19㎡）改造为果品分选车间。NFC果汁采用鲜果直接榨汁、瞬间杀菌、无菌灌装工艺，100%保留鲜果原有风味与营养，契合消费升级趋势；果品分选线实现按糖度、重量、外观等多维度自动化分级，有效提升果品商品率。项目总投资2164万元，建成后将实现鲜果就地分级加工转化，延伸产业链条，降低采后损耗，对推动当地农业增效、职工群众增收具有积极意义。</w:t>
            </w:r>
          </w:p>
          <w:p w14:paraId="3F2CADD5">
            <w:pPr>
              <w:keepNext w:val="0"/>
              <w:keepLines w:val="0"/>
              <w:pageBreakBefore w:val="0"/>
              <w:kinsoku/>
              <w:wordWrap/>
              <w:overflowPunct/>
              <w:topLinePunct w:val="0"/>
              <w:bidi w:val="0"/>
              <w:adjustRightInd w:val="0"/>
              <w:snapToGrid w:val="0"/>
              <w:spacing w:line="360" w:lineRule="auto"/>
              <w:ind w:firstLine="482" w:firstLineChars="200"/>
              <w:rPr>
                <w:rFonts w:hint="default" w:ascii="Times New Roman" w:hAnsi="Times New Roman" w:cs="Times New Roman"/>
                <w:b/>
                <w:bCs/>
                <w:color w:val="auto"/>
                <w:szCs w:val="32"/>
                <w:highlight w:val="none"/>
              </w:rPr>
            </w:pPr>
            <w:r>
              <w:rPr>
                <w:rFonts w:hint="default" w:ascii="Times New Roman" w:hAnsi="Times New Roman" w:cs="Times New Roman"/>
                <w:b/>
                <w:bCs/>
                <w:color w:val="auto"/>
                <w:szCs w:val="32"/>
                <w:highlight w:val="none"/>
              </w:rPr>
              <w:t>2、项目基本情况</w:t>
            </w:r>
          </w:p>
          <w:p w14:paraId="4DAA4C4E">
            <w:pPr>
              <w:pStyle w:val="76"/>
              <w:keepNext w:val="0"/>
              <w:keepLines w:val="0"/>
              <w:pageBreakBefore w:val="0"/>
              <w:kinsoku/>
              <w:wordWrap/>
              <w:overflowPunct/>
              <w:topLinePunct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项目名称：民丰产业园果品分选线和NFC汁生产线项目</w:t>
            </w:r>
          </w:p>
          <w:p w14:paraId="22A85AA5">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建设性质：</w:t>
            </w:r>
            <w:r>
              <w:rPr>
                <w:rFonts w:hint="eastAsia" w:cs="Times New Roman"/>
                <w:color w:val="auto"/>
                <w:highlight w:val="none"/>
                <w:lang w:val="en-US" w:eastAsia="zh-CN"/>
              </w:rPr>
              <w:t>改扩</w:t>
            </w:r>
            <w:r>
              <w:rPr>
                <w:rFonts w:hint="default" w:ascii="Times New Roman" w:hAnsi="Times New Roman" w:cs="Times New Roman"/>
                <w:color w:val="auto"/>
                <w:highlight w:val="none"/>
                <w:lang w:val="en-US" w:eastAsia="zh-CN"/>
              </w:rPr>
              <w:t>建</w:t>
            </w:r>
          </w:p>
          <w:p w14:paraId="1ACB9C75">
            <w:pPr>
              <w:pStyle w:val="185"/>
              <w:rPr>
                <w:rFonts w:hint="default" w:ascii="Times New Roman" w:hAnsi="Times New Roman" w:cs="Times New Roman"/>
                <w:color w:val="auto"/>
                <w:highlight w:val="none"/>
                <w:lang w:val="zh-CN"/>
              </w:rPr>
            </w:pPr>
            <w:r>
              <w:rPr>
                <w:rFonts w:hint="default" w:ascii="Times New Roman" w:hAnsi="Times New Roman" w:cs="Times New Roman"/>
                <w:color w:val="auto"/>
                <w:highlight w:val="none"/>
              </w:rPr>
              <w:t>建设地点：</w:t>
            </w:r>
            <w:r>
              <w:rPr>
                <w:rFonts w:hint="default" w:ascii="Times New Roman" w:hAnsi="Times New Roman" w:cs="Times New Roman"/>
                <w:color w:val="auto"/>
                <w:highlight w:val="none"/>
                <w:lang w:val="en-US" w:eastAsia="zh-CN"/>
              </w:rPr>
              <w:t>新疆维吾尔自治区和田地区民丰县民丰产业园，</w:t>
            </w:r>
            <w:r>
              <w:rPr>
                <w:rFonts w:hint="default" w:ascii="Times New Roman" w:hAnsi="Times New Roman" w:cs="Times New Roman"/>
                <w:color w:val="auto"/>
                <w:highlight w:val="none"/>
                <w:lang w:val="zh-CN"/>
              </w:rPr>
              <w:t>地理坐标为东经 82°44'51.9673"，北纬37°00'58.0980"。</w:t>
            </w:r>
          </w:p>
          <w:p w14:paraId="6FD80BB4">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eastAsia" w:cs="Times New Roman"/>
                <w:color w:val="auto"/>
                <w:highlight w:val="none"/>
                <w:lang w:val="en-US" w:eastAsia="zh-CN"/>
              </w:rPr>
            </w:pPr>
            <w:r>
              <w:rPr>
                <w:rFonts w:hint="default" w:ascii="Times New Roman" w:hAnsi="Times New Roman" w:cs="Times New Roman"/>
                <w:color w:val="auto"/>
                <w:highlight w:val="none"/>
              </w:rPr>
              <w:t>建设占地：</w:t>
            </w:r>
            <w:r>
              <w:rPr>
                <w:rFonts w:hint="default" w:ascii="Times New Roman" w:hAnsi="Times New Roman" w:cs="Times New Roman"/>
                <w:color w:val="auto"/>
                <w:highlight w:val="none"/>
                <w:lang w:val="en-US" w:eastAsia="zh-CN"/>
              </w:rPr>
              <w:t>总占地面积为4295.86m²</w:t>
            </w:r>
            <w:r>
              <w:rPr>
                <w:rFonts w:hint="eastAsia" w:cs="Times New Roman"/>
                <w:color w:val="auto"/>
                <w:highlight w:val="none"/>
                <w:lang w:val="en-US" w:eastAsia="zh-CN"/>
              </w:rPr>
              <w:t>。</w:t>
            </w:r>
          </w:p>
          <w:p w14:paraId="5FD9397A">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项目投资：总投资</w:t>
            </w:r>
            <w:r>
              <w:rPr>
                <w:rFonts w:hint="default" w:ascii="Times New Roman" w:hAnsi="Times New Roman" w:cs="Times New Roman"/>
                <w:color w:val="auto"/>
                <w:highlight w:val="none"/>
                <w:lang w:val="en-US" w:eastAsia="zh-CN"/>
              </w:rPr>
              <w:t>2164</w:t>
            </w:r>
            <w:r>
              <w:rPr>
                <w:rFonts w:hint="default" w:ascii="Times New Roman" w:hAnsi="Times New Roman" w:cs="Times New Roman"/>
                <w:color w:val="auto"/>
                <w:highlight w:val="none"/>
              </w:rPr>
              <w:t>万元，其中环保投资</w:t>
            </w:r>
            <w:r>
              <w:rPr>
                <w:rFonts w:hint="eastAsia" w:cs="Times New Roman"/>
                <w:color w:val="auto"/>
                <w:highlight w:val="none"/>
                <w:lang w:val="en-US" w:eastAsia="zh-CN"/>
              </w:rPr>
              <w:t>45万元</w:t>
            </w:r>
            <w:r>
              <w:rPr>
                <w:rFonts w:hint="default" w:ascii="Times New Roman" w:hAnsi="Times New Roman" w:cs="Times New Roman"/>
                <w:color w:val="auto"/>
                <w:highlight w:val="none"/>
              </w:rPr>
              <w:t>，占总投资的</w:t>
            </w:r>
            <w:r>
              <w:rPr>
                <w:rFonts w:hint="eastAsia" w:cs="Times New Roman"/>
                <w:color w:val="auto"/>
                <w:highlight w:val="none"/>
                <w:lang w:val="en-US" w:eastAsia="zh-CN"/>
              </w:rPr>
              <w:t>0.21</w:t>
            </w:r>
            <w:r>
              <w:rPr>
                <w:rFonts w:hint="default" w:ascii="Times New Roman" w:hAnsi="Times New Roman" w:cs="Times New Roman"/>
                <w:color w:val="auto"/>
                <w:highlight w:val="none"/>
              </w:rPr>
              <w:t>%。</w:t>
            </w:r>
          </w:p>
          <w:p w14:paraId="34EE68A9">
            <w:pPr>
              <w:keepNext w:val="0"/>
              <w:keepLines w:val="0"/>
              <w:pageBreakBefore w:val="0"/>
              <w:widowControl w:val="0"/>
              <w:kinsoku/>
              <w:wordWrap/>
              <w:overflowPunct/>
              <w:topLinePunct w:val="0"/>
              <w:autoSpaceDE w:val="0"/>
              <w:autoSpaceDN/>
              <w:bidi w:val="0"/>
              <w:adjustRightInd w:val="0"/>
              <w:snapToGrid w:val="0"/>
              <w:spacing w:line="360" w:lineRule="auto"/>
              <w:ind w:firstLine="480" w:firstLineChars="200"/>
              <w:textAlignment w:val="baseline"/>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主要建设内容：建设NFC果汁生产车间2148.23</w:t>
            </w:r>
            <w:r>
              <w:rPr>
                <w:rFonts w:hint="default" w:ascii="Times New Roman" w:hAnsi="Times New Roman" w:cs="Times New Roman"/>
                <w:color w:val="auto"/>
                <w:highlight w:val="none"/>
                <w:lang w:eastAsia="zh-CN"/>
              </w:rPr>
              <w:t>m²</w:t>
            </w:r>
            <w:r>
              <w:rPr>
                <w:rFonts w:hint="default" w:ascii="Times New Roman" w:hAnsi="Times New Roman" w:cs="Times New Roman"/>
                <w:color w:val="auto"/>
                <w:highlight w:val="none"/>
              </w:rPr>
              <w:t>，厂房内配套建设150</w:t>
            </w:r>
            <w:r>
              <w:rPr>
                <w:rFonts w:hint="default" w:ascii="Times New Roman" w:hAnsi="Times New Roman" w:cs="Times New Roman"/>
                <w:color w:val="auto"/>
                <w:highlight w:val="none"/>
                <w:lang w:eastAsia="zh-CN"/>
              </w:rPr>
              <w:t>m²</w:t>
            </w:r>
            <w:r>
              <w:rPr>
                <w:rFonts w:hint="default" w:ascii="Times New Roman" w:hAnsi="Times New Roman" w:cs="Times New Roman"/>
                <w:color w:val="auto"/>
                <w:highlight w:val="none"/>
              </w:rPr>
              <w:t>速冻库和450</w:t>
            </w:r>
            <w:r>
              <w:rPr>
                <w:rFonts w:hint="default" w:ascii="Times New Roman" w:hAnsi="Times New Roman" w:cs="Times New Roman"/>
                <w:color w:val="auto"/>
                <w:highlight w:val="none"/>
                <w:lang w:eastAsia="zh-CN"/>
              </w:rPr>
              <w:t>m²</w:t>
            </w:r>
            <w:r>
              <w:rPr>
                <w:rFonts w:hint="default" w:ascii="Times New Roman" w:hAnsi="Times New Roman" w:cs="Times New Roman"/>
                <w:color w:val="auto"/>
                <w:highlight w:val="none"/>
              </w:rPr>
              <w:t>冻库；建设3</w:t>
            </w:r>
            <w:r>
              <w:rPr>
                <w:rFonts w:hint="eastAsia" w:cs="Times New Roman"/>
                <w:color w:val="auto"/>
                <w:highlight w:val="none"/>
                <w:lang w:eastAsia="zh-CN"/>
              </w:rPr>
              <w:t>t/h</w:t>
            </w:r>
            <w:r>
              <w:rPr>
                <w:rFonts w:hint="default" w:ascii="Times New Roman" w:hAnsi="Times New Roman" w:cs="Times New Roman"/>
                <w:color w:val="auto"/>
                <w:highlight w:val="none"/>
              </w:rPr>
              <w:t>NFC果汁生产线一条，配套建设大罐灌装和小包装盒灌装线。建设6</w:t>
            </w:r>
            <w:r>
              <w:rPr>
                <w:rFonts w:hint="eastAsia" w:cs="Times New Roman"/>
                <w:color w:val="auto"/>
                <w:highlight w:val="none"/>
                <w:lang w:eastAsia="zh-CN"/>
              </w:rPr>
              <w:t>t/h</w:t>
            </w:r>
            <w:r>
              <w:rPr>
                <w:rFonts w:hint="default" w:ascii="Times New Roman" w:hAnsi="Times New Roman" w:cs="Times New Roman"/>
                <w:color w:val="auto"/>
                <w:highlight w:val="none"/>
              </w:rPr>
              <w:t>智能果品分选线1条改造原烘干厂房为果品分选车间601.19</w:t>
            </w:r>
            <w:r>
              <w:rPr>
                <w:rFonts w:hint="default" w:ascii="Times New Roman" w:hAnsi="Times New Roman" w:cs="Times New Roman"/>
                <w:color w:val="auto"/>
                <w:highlight w:val="none"/>
                <w:lang w:eastAsia="zh-CN"/>
              </w:rPr>
              <w:t>m²</w:t>
            </w:r>
            <w:r>
              <w:rPr>
                <w:rFonts w:hint="default" w:ascii="Times New Roman" w:hAnsi="Times New Roman" w:cs="Times New Roman"/>
                <w:color w:val="auto"/>
                <w:highlight w:val="none"/>
              </w:rPr>
              <w:t>。</w:t>
            </w:r>
            <w:r>
              <w:rPr>
                <w:rFonts w:hint="eastAsia"/>
              </w:rPr>
              <w:t>单季加工周期60天，日均加工鲜果45吨，每天3个工作班模式</w:t>
            </w:r>
            <w:r>
              <w:rPr>
                <w:rFonts w:hint="eastAsia"/>
                <w:lang w:eastAsia="zh-CN"/>
              </w:rPr>
              <w:t>。</w:t>
            </w:r>
          </w:p>
          <w:p w14:paraId="54F35D28">
            <w:pPr>
              <w:keepNext w:val="0"/>
              <w:keepLines w:val="0"/>
              <w:pageBreakBefore w:val="0"/>
              <w:kinsoku/>
              <w:wordWrap/>
              <w:overflowPunct/>
              <w:topLinePunct w:val="0"/>
              <w:bidi w:val="0"/>
              <w:adjustRightInd w:val="0"/>
              <w:snapToGrid w:val="0"/>
              <w:spacing w:line="360" w:lineRule="auto"/>
              <w:ind w:firstLine="482" w:firstLineChars="200"/>
              <w:rPr>
                <w:rFonts w:hint="default" w:ascii="Times New Roman" w:hAnsi="Times New Roman" w:cs="Times New Roman"/>
                <w:b/>
                <w:bCs/>
                <w:color w:val="auto"/>
                <w:szCs w:val="32"/>
                <w:highlight w:val="none"/>
              </w:rPr>
            </w:pPr>
            <w:r>
              <w:rPr>
                <w:rFonts w:hint="default" w:ascii="Times New Roman" w:hAnsi="Times New Roman" w:cs="Times New Roman"/>
                <w:b/>
                <w:bCs/>
                <w:color w:val="auto"/>
                <w:szCs w:val="32"/>
                <w:highlight w:val="none"/>
              </w:rPr>
              <w:t>3.建设内容</w:t>
            </w:r>
          </w:p>
          <w:p w14:paraId="7930DDC3">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本项目整体分三期开发建设，一期已竣工投用，包含1栋保鲜库、1栋烘干厂房、1栋配套门卫室、1栋配套配电房及厂区消防管网，总建筑面积2463.81m²。</w:t>
            </w:r>
            <w:r>
              <w:rPr>
                <w:rFonts w:hint="default" w:ascii="Times New Roman" w:hAnsi="Times New Roman" w:cs="Times New Roman"/>
                <w:b/>
                <w:bCs/>
                <w:color w:val="auto"/>
                <w:highlight w:val="none"/>
                <w:lang w:eastAsia="zh-CN"/>
              </w:rPr>
              <w:t>本次仅实施二期建设内容：在场地</w:t>
            </w:r>
            <w:r>
              <w:rPr>
                <w:rFonts w:hint="eastAsia" w:cs="Times New Roman"/>
                <w:b/>
                <w:bCs/>
                <w:color w:val="auto"/>
                <w:highlight w:val="none"/>
                <w:lang w:val="en-US" w:eastAsia="zh-CN"/>
              </w:rPr>
              <w:t>北侧</w:t>
            </w:r>
            <w:r>
              <w:rPr>
                <w:rFonts w:hint="default" w:ascii="Times New Roman" w:hAnsi="Times New Roman" w:cs="Times New Roman"/>
                <w:b/>
                <w:bCs/>
                <w:color w:val="auto"/>
                <w:highlight w:val="none"/>
                <w:lang w:eastAsia="zh-CN"/>
              </w:rPr>
              <w:t>新建1栋生产车间</w:t>
            </w:r>
            <w:r>
              <w:rPr>
                <w:rFonts w:hint="eastAsia" w:cs="Times New Roman"/>
                <w:b/>
                <w:bCs/>
                <w:color w:val="auto"/>
                <w:highlight w:val="none"/>
                <w:lang w:eastAsia="zh-CN"/>
              </w:rPr>
              <w:t>（3t/hNFC果汁生产线）</w:t>
            </w:r>
            <w:r>
              <w:rPr>
                <w:rFonts w:hint="default" w:ascii="Times New Roman" w:hAnsi="Times New Roman" w:cs="Times New Roman"/>
                <w:b/>
                <w:bCs/>
                <w:color w:val="auto"/>
                <w:highlight w:val="none"/>
                <w:lang w:eastAsia="zh-CN"/>
              </w:rPr>
              <w:t>及冷库，新建建筑面积2148.23m²；对原有烘干厂房部分区域实施地面翻新及工艺水电专项改造，改建为果品分选车间，主要配置6</w:t>
            </w:r>
            <w:r>
              <w:rPr>
                <w:rFonts w:hint="eastAsia" w:cs="Times New Roman"/>
                <w:b/>
                <w:bCs/>
                <w:color w:val="auto"/>
                <w:highlight w:val="none"/>
                <w:lang w:eastAsia="zh-CN"/>
              </w:rPr>
              <w:t>t/h</w:t>
            </w:r>
            <w:r>
              <w:rPr>
                <w:rFonts w:hint="default" w:ascii="Times New Roman" w:hAnsi="Times New Roman" w:cs="Times New Roman"/>
                <w:b/>
                <w:bCs/>
                <w:color w:val="auto"/>
                <w:highlight w:val="none"/>
                <w:lang w:eastAsia="zh-CN"/>
              </w:rPr>
              <w:t>果品分选线1条，改造建筑面积601.19m²。</w:t>
            </w:r>
            <w:r>
              <w:rPr>
                <w:rFonts w:hint="default" w:ascii="Times New Roman" w:hAnsi="Times New Roman" w:cs="Times New Roman"/>
                <w:color w:val="auto"/>
                <w:highlight w:val="none"/>
                <w:lang w:eastAsia="zh-CN"/>
              </w:rPr>
              <w:t>三期为研发用房，暂未建设，不在本次设计范围内。</w:t>
            </w:r>
          </w:p>
          <w:p w14:paraId="032C01D4">
            <w:pPr>
              <w:keepNext w:val="0"/>
              <w:keepLines w:val="0"/>
              <w:pageBreakBefore w:val="0"/>
              <w:widowControl w:val="0"/>
              <w:kinsoku/>
              <w:wordWrap/>
              <w:overflowPunct/>
              <w:topLinePunct w:val="0"/>
              <w:autoSpaceDE w:val="0"/>
              <w:autoSpaceDN/>
              <w:bidi w:val="0"/>
              <w:adjustRightInd/>
              <w:snapToGrid/>
              <w:spacing w:line="240" w:lineRule="auto"/>
              <w:jc w:val="center"/>
              <w:textAlignment w:val="baseline"/>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color w:val="auto"/>
                <w:highlight w:val="none"/>
                <w:lang w:val="en-US" w:eastAsia="zh-CN"/>
              </w:rPr>
              <w:t>表2-1  主要设施及规模</w:t>
            </w:r>
          </w:p>
          <w:tbl>
            <w:tblPr>
              <w:tblStyle w:val="31"/>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171"/>
              <w:gridCol w:w="5147"/>
              <w:gridCol w:w="1136"/>
            </w:tblGrid>
            <w:tr w14:paraId="6BEA6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56" w:type="dxa"/>
                  <w:vAlign w:val="center"/>
                </w:tcPr>
                <w:p w14:paraId="5FE9153C">
                  <w:pPr>
                    <w:pStyle w:val="119"/>
                    <w:keepNext w:val="0"/>
                    <w:keepLines w:val="0"/>
                    <w:pageBreakBefore w:val="0"/>
                    <w:widowControl w:val="0"/>
                    <w:kinsoku/>
                    <w:wordWrap/>
                    <w:overflowPunct/>
                    <w:topLinePunct w:val="0"/>
                    <w:autoSpaceDN/>
                    <w:bidi w:val="0"/>
                    <w:adjustRightInd/>
                    <w:snapToGrid/>
                    <w:spacing w:line="200" w:lineRule="exact"/>
                    <w:ind w:left="0" w:leftChars="0" w:firstLine="0" w:firstLineChars="0"/>
                    <w:jc w:val="center"/>
                    <w:rPr>
                      <w:rFonts w:hint="default" w:ascii="Times New Roman" w:hAnsi="Times New Roman" w:cs="Times New Roman"/>
                      <w:b/>
                      <w:bCs/>
                      <w:color w:val="auto"/>
                      <w:sz w:val="18"/>
                      <w:szCs w:val="18"/>
                      <w:highlight w:val="none"/>
                      <w:vertAlign w:val="baseline"/>
                      <w:lang w:val="en-US" w:eastAsia="zh-CN"/>
                    </w:rPr>
                  </w:pPr>
                  <w:r>
                    <w:rPr>
                      <w:rFonts w:hint="default" w:ascii="Times New Roman" w:hAnsi="Times New Roman" w:cs="Times New Roman"/>
                      <w:b/>
                      <w:bCs/>
                      <w:color w:val="auto"/>
                      <w:spacing w:val="7"/>
                      <w:sz w:val="18"/>
                      <w:szCs w:val="18"/>
                      <w:highlight w:val="none"/>
                    </w:rPr>
                    <w:t>类别</w:t>
                  </w:r>
                </w:p>
              </w:tc>
              <w:tc>
                <w:tcPr>
                  <w:tcW w:w="6318" w:type="dxa"/>
                  <w:gridSpan w:val="2"/>
                  <w:vAlign w:val="center"/>
                </w:tcPr>
                <w:p w14:paraId="6787FBA1">
                  <w:pPr>
                    <w:pStyle w:val="119"/>
                    <w:keepNext w:val="0"/>
                    <w:keepLines w:val="0"/>
                    <w:pageBreakBefore w:val="0"/>
                    <w:widowControl w:val="0"/>
                    <w:kinsoku/>
                    <w:wordWrap/>
                    <w:overflowPunct/>
                    <w:topLinePunct w:val="0"/>
                    <w:autoSpaceDN/>
                    <w:bidi w:val="0"/>
                    <w:adjustRightInd/>
                    <w:snapToGrid/>
                    <w:spacing w:line="200" w:lineRule="exact"/>
                    <w:ind w:left="0" w:leftChars="0" w:firstLine="0" w:firstLineChars="0"/>
                    <w:jc w:val="center"/>
                    <w:rPr>
                      <w:rFonts w:hint="default" w:ascii="Times New Roman" w:hAnsi="Times New Roman" w:cs="Times New Roman"/>
                      <w:b/>
                      <w:bCs/>
                      <w:color w:val="auto"/>
                      <w:sz w:val="18"/>
                      <w:szCs w:val="18"/>
                      <w:highlight w:val="none"/>
                      <w:vertAlign w:val="baseline"/>
                      <w:lang w:val="en-US" w:eastAsia="zh-CN"/>
                    </w:rPr>
                  </w:pPr>
                  <w:r>
                    <w:rPr>
                      <w:rFonts w:hint="default" w:ascii="Times New Roman" w:hAnsi="Times New Roman" w:cs="Times New Roman"/>
                      <w:b/>
                      <w:bCs/>
                      <w:color w:val="auto"/>
                      <w:spacing w:val="6"/>
                      <w:sz w:val="18"/>
                      <w:szCs w:val="18"/>
                      <w:highlight w:val="none"/>
                    </w:rPr>
                    <w:t>主要内容</w:t>
                  </w:r>
                </w:p>
              </w:tc>
              <w:tc>
                <w:tcPr>
                  <w:tcW w:w="1136" w:type="dxa"/>
                  <w:vAlign w:val="center"/>
                </w:tcPr>
                <w:p w14:paraId="4F2A9397">
                  <w:pPr>
                    <w:pStyle w:val="119"/>
                    <w:keepNext w:val="0"/>
                    <w:keepLines w:val="0"/>
                    <w:pageBreakBefore w:val="0"/>
                    <w:widowControl w:val="0"/>
                    <w:kinsoku/>
                    <w:wordWrap/>
                    <w:overflowPunct/>
                    <w:topLinePunct w:val="0"/>
                    <w:autoSpaceDN/>
                    <w:bidi w:val="0"/>
                    <w:adjustRightInd/>
                    <w:snapToGrid/>
                    <w:spacing w:line="200" w:lineRule="exact"/>
                    <w:ind w:left="0" w:leftChars="0" w:firstLine="0" w:firstLineChars="0"/>
                    <w:jc w:val="center"/>
                    <w:rPr>
                      <w:rFonts w:hint="default" w:ascii="Times New Roman" w:hAnsi="Times New Roman" w:cs="Times New Roman"/>
                      <w:b/>
                      <w:bCs/>
                      <w:color w:val="auto"/>
                      <w:sz w:val="18"/>
                      <w:szCs w:val="18"/>
                      <w:highlight w:val="none"/>
                      <w:vertAlign w:val="baseline"/>
                      <w:lang w:val="en-US" w:eastAsia="zh-CN"/>
                    </w:rPr>
                  </w:pPr>
                  <w:r>
                    <w:rPr>
                      <w:rFonts w:hint="default" w:ascii="Times New Roman" w:hAnsi="Times New Roman" w:cs="Times New Roman"/>
                      <w:b/>
                      <w:bCs/>
                      <w:color w:val="auto"/>
                      <w:spacing w:val="3"/>
                      <w:sz w:val="18"/>
                      <w:szCs w:val="18"/>
                      <w:highlight w:val="none"/>
                    </w:rPr>
                    <w:t>备注</w:t>
                  </w:r>
                </w:p>
              </w:tc>
            </w:tr>
            <w:tr w14:paraId="560EA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656" w:type="dxa"/>
                  <w:vMerge w:val="restart"/>
                  <w:vAlign w:val="center"/>
                </w:tcPr>
                <w:p w14:paraId="1094225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主体工程</w:t>
                  </w:r>
                </w:p>
              </w:tc>
              <w:tc>
                <w:tcPr>
                  <w:tcW w:w="7454" w:type="dxa"/>
                  <w:gridSpan w:val="3"/>
                  <w:vAlign w:val="center"/>
                </w:tcPr>
                <w:p w14:paraId="35B1C538">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b/>
                      <w:bCs/>
                      <w:color w:val="auto"/>
                      <w:sz w:val="18"/>
                      <w:szCs w:val="18"/>
                      <w:highlight w:val="none"/>
                    </w:rPr>
                  </w:pPr>
                  <w:r>
                    <w:rPr>
                      <w:rFonts w:hint="eastAsia" w:cs="Times New Roman"/>
                      <w:b/>
                      <w:bCs/>
                      <w:color w:val="auto"/>
                      <w:sz w:val="18"/>
                      <w:szCs w:val="18"/>
                      <w:highlight w:val="none"/>
                      <w:lang w:val="en-US" w:eastAsia="zh-CN"/>
                    </w:rPr>
                    <w:t>新建</w:t>
                  </w:r>
                  <w:r>
                    <w:rPr>
                      <w:rFonts w:hint="default" w:ascii="Times New Roman" w:hAnsi="Times New Roman" w:cs="Times New Roman"/>
                      <w:b/>
                      <w:bCs/>
                      <w:color w:val="auto"/>
                      <w:sz w:val="18"/>
                      <w:szCs w:val="18"/>
                      <w:highlight w:val="none"/>
                    </w:rPr>
                    <w:t>NFC果汁生产车间2148.23</w:t>
                  </w:r>
                  <w:r>
                    <w:rPr>
                      <w:rFonts w:hint="default" w:ascii="Times New Roman" w:hAnsi="Times New Roman" w:cs="Times New Roman"/>
                      <w:b/>
                      <w:bCs/>
                      <w:color w:val="auto"/>
                      <w:sz w:val="18"/>
                      <w:szCs w:val="18"/>
                      <w:highlight w:val="none"/>
                      <w:lang w:eastAsia="zh-CN"/>
                    </w:rPr>
                    <w:t>m²</w:t>
                  </w:r>
                  <w:r>
                    <w:rPr>
                      <w:rFonts w:hint="default" w:ascii="Times New Roman" w:hAnsi="Times New Roman" w:cs="Times New Roman"/>
                      <w:b/>
                      <w:bCs/>
                      <w:color w:val="auto"/>
                      <w:sz w:val="18"/>
                      <w:szCs w:val="18"/>
                      <w:highlight w:val="none"/>
                    </w:rPr>
                    <w:t>，厂房内配套建设150</w:t>
                  </w:r>
                  <w:r>
                    <w:rPr>
                      <w:rFonts w:hint="default" w:ascii="Times New Roman" w:hAnsi="Times New Roman" w:cs="Times New Roman"/>
                      <w:b/>
                      <w:bCs/>
                      <w:color w:val="auto"/>
                      <w:sz w:val="18"/>
                      <w:szCs w:val="18"/>
                      <w:highlight w:val="none"/>
                      <w:lang w:eastAsia="zh-CN"/>
                    </w:rPr>
                    <w:t>m²</w:t>
                  </w:r>
                  <w:r>
                    <w:rPr>
                      <w:rFonts w:hint="default" w:ascii="Times New Roman" w:hAnsi="Times New Roman" w:cs="Times New Roman"/>
                      <w:b/>
                      <w:bCs/>
                      <w:color w:val="auto"/>
                      <w:sz w:val="18"/>
                      <w:szCs w:val="18"/>
                      <w:highlight w:val="none"/>
                    </w:rPr>
                    <w:t>速冻库和450</w:t>
                  </w:r>
                  <w:r>
                    <w:rPr>
                      <w:rFonts w:hint="default" w:ascii="Times New Roman" w:hAnsi="Times New Roman" w:cs="Times New Roman"/>
                      <w:b/>
                      <w:bCs/>
                      <w:color w:val="auto"/>
                      <w:sz w:val="18"/>
                      <w:szCs w:val="18"/>
                      <w:highlight w:val="none"/>
                      <w:lang w:eastAsia="zh-CN"/>
                    </w:rPr>
                    <w:t>m²</w:t>
                  </w:r>
                  <w:r>
                    <w:rPr>
                      <w:rFonts w:hint="default" w:ascii="Times New Roman" w:hAnsi="Times New Roman" w:cs="Times New Roman"/>
                      <w:b/>
                      <w:bCs/>
                      <w:color w:val="auto"/>
                      <w:sz w:val="18"/>
                      <w:szCs w:val="18"/>
                      <w:highlight w:val="none"/>
                    </w:rPr>
                    <w:t>冻库；建设3</w:t>
                  </w:r>
                  <w:r>
                    <w:rPr>
                      <w:rFonts w:hint="eastAsia" w:cs="Times New Roman"/>
                      <w:b/>
                      <w:bCs/>
                      <w:color w:val="auto"/>
                      <w:sz w:val="18"/>
                      <w:szCs w:val="18"/>
                      <w:highlight w:val="none"/>
                      <w:lang w:eastAsia="zh-CN"/>
                    </w:rPr>
                    <w:t>t/h</w:t>
                  </w:r>
                  <w:r>
                    <w:rPr>
                      <w:rFonts w:hint="default" w:ascii="Times New Roman" w:hAnsi="Times New Roman" w:cs="Times New Roman"/>
                      <w:b/>
                      <w:bCs/>
                      <w:color w:val="auto"/>
                      <w:sz w:val="18"/>
                      <w:szCs w:val="18"/>
                      <w:highlight w:val="none"/>
                    </w:rPr>
                    <w:t>NFC果汁生产线一条，配套建设大罐灌装和小包装盒灌装线。</w:t>
                  </w:r>
                </w:p>
                <w:p w14:paraId="7F60D403">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rPr>
                    <w:t>改</w:t>
                  </w:r>
                  <w:r>
                    <w:rPr>
                      <w:rFonts w:hint="eastAsia" w:cs="Times New Roman"/>
                      <w:b/>
                      <w:bCs/>
                      <w:color w:val="auto"/>
                      <w:sz w:val="18"/>
                      <w:szCs w:val="18"/>
                      <w:highlight w:val="none"/>
                      <w:lang w:val="en-US" w:eastAsia="zh-CN"/>
                    </w:rPr>
                    <w:t>建</w:t>
                  </w:r>
                  <w:r>
                    <w:rPr>
                      <w:rFonts w:hint="default" w:ascii="Times New Roman" w:hAnsi="Times New Roman" w:cs="Times New Roman"/>
                      <w:b/>
                      <w:bCs/>
                      <w:color w:val="auto"/>
                      <w:sz w:val="18"/>
                      <w:szCs w:val="18"/>
                      <w:highlight w:val="none"/>
                    </w:rPr>
                    <w:t>原烘干厂房建设6</w:t>
                  </w:r>
                  <w:r>
                    <w:rPr>
                      <w:rFonts w:hint="eastAsia" w:cs="Times New Roman"/>
                      <w:b/>
                      <w:bCs/>
                      <w:color w:val="auto"/>
                      <w:sz w:val="18"/>
                      <w:szCs w:val="18"/>
                      <w:highlight w:val="none"/>
                      <w:lang w:eastAsia="zh-CN"/>
                    </w:rPr>
                    <w:t>t/h</w:t>
                  </w:r>
                  <w:r>
                    <w:rPr>
                      <w:rFonts w:hint="default" w:ascii="Times New Roman" w:hAnsi="Times New Roman" w:cs="Times New Roman"/>
                      <w:b/>
                      <w:bCs/>
                      <w:color w:val="auto"/>
                      <w:sz w:val="18"/>
                      <w:szCs w:val="18"/>
                      <w:highlight w:val="none"/>
                    </w:rPr>
                    <w:t>智能果品分选线1条</w:t>
                  </w:r>
                  <w:r>
                    <w:rPr>
                      <w:rFonts w:hint="eastAsia" w:cs="Times New Roman"/>
                      <w:b/>
                      <w:bCs/>
                      <w:color w:val="auto"/>
                      <w:sz w:val="18"/>
                      <w:szCs w:val="18"/>
                      <w:highlight w:val="none"/>
                      <w:lang w:eastAsia="zh-CN"/>
                    </w:rPr>
                    <w:t>，</w:t>
                  </w:r>
                  <w:r>
                    <w:rPr>
                      <w:rFonts w:hint="default" w:ascii="Times New Roman" w:hAnsi="Times New Roman" w:cs="Times New Roman"/>
                      <w:b/>
                      <w:bCs/>
                      <w:color w:val="auto"/>
                      <w:sz w:val="18"/>
                      <w:szCs w:val="18"/>
                      <w:highlight w:val="none"/>
                    </w:rPr>
                    <w:t>车间</w:t>
                  </w:r>
                  <w:r>
                    <w:rPr>
                      <w:rFonts w:hint="eastAsia" w:cs="Times New Roman"/>
                      <w:b/>
                      <w:bCs/>
                      <w:color w:val="auto"/>
                      <w:sz w:val="18"/>
                      <w:szCs w:val="18"/>
                      <w:highlight w:val="none"/>
                      <w:lang w:val="en-US" w:eastAsia="zh-CN"/>
                    </w:rPr>
                    <w:t>面积</w:t>
                  </w:r>
                  <w:r>
                    <w:rPr>
                      <w:rFonts w:hint="default" w:ascii="Times New Roman" w:hAnsi="Times New Roman" w:cs="Times New Roman"/>
                      <w:b/>
                      <w:bCs/>
                      <w:color w:val="auto"/>
                      <w:sz w:val="18"/>
                      <w:szCs w:val="18"/>
                      <w:highlight w:val="none"/>
                    </w:rPr>
                    <w:t>601.19</w:t>
                  </w:r>
                  <w:r>
                    <w:rPr>
                      <w:rFonts w:hint="default" w:ascii="Times New Roman" w:hAnsi="Times New Roman" w:cs="Times New Roman"/>
                      <w:b/>
                      <w:bCs/>
                      <w:color w:val="auto"/>
                      <w:sz w:val="18"/>
                      <w:szCs w:val="18"/>
                      <w:highlight w:val="none"/>
                      <w:lang w:eastAsia="zh-CN"/>
                    </w:rPr>
                    <w:t>m²</w:t>
                  </w:r>
                  <w:r>
                    <w:rPr>
                      <w:rFonts w:hint="default" w:ascii="Times New Roman" w:hAnsi="Times New Roman" w:cs="Times New Roman"/>
                      <w:b/>
                      <w:bCs/>
                      <w:color w:val="auto"/>
                      <w:sz w:val="18"/>
                      <w:szCs w:val="18"/>
                      <w:highlight w:val="none"/>
                    </w:rPr>
                    <w:t>。</w:t>
                  </w:r>
                </w:p>
              </w:tc>
            </w:tr>
            <w:tr w14:paraId="3CAF79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656" w:type="dxa"/>
                  <w:vMerge w:val="continue"/>
                  <w:vAlign w:val="center"/>
                </w:tcPr>
                <w:p w14:paraId="46CE99CA">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highlight w:val="none"/>
                    </w:rPr>
                  </w:pPr>
                </w:p>
              </w:tc>
              <w:tc>
                <w:tcPr>
                  <w:tcW w:w="1171" w:type="dxa"/>
                  <w:vAlign w:val="center"/>
                </w:tcPr>
                <w:p w14:paraId="6F8458D5">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NFC果汁生产线及冷库</w:t>
                  </w:r>
                </w:p>
              </w:tc>
              <w:tc>
                <w:tcPr>
                  <w:tcW w:w="5147" w:type="dxa"/>
                  <w:vAlign w:val="center"/>
                </w:tcPr>
                <w:p w14:paraId="1C45DE6F">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预计加工梨等鲜果2700</w:t>
                  </w:r>
                  <w:r>
                    <w:rPr>
                      <w:rFonts w:hint="eastAsia" w:cs="Times New Roman"/>
                      <w:color w:val="auto"/>
                      <w:sz w:val="18"/>
                      <w:szCs w:val="18"/>
                      <w:highlight w:val="none"/>
                      <w:lang w:val="en-US" w:eastAsia="zh-CN"/>
                    </w:rPr>
                    <w:t>t</w:t>
                  </w:r>
                  <w:r>
                    <w:rPr>
                      <w:rFonts w:hint="default" w:ascii="Times New Roman" w:hAnsi="Times New Roman" w:cs="Times New Roman"/>
                      <w:color w:val="auto"/>
                      <w:sz w:val="18"/>
                      <w:szCs w:val="18"/>
                      <w:highlight w:val="none"/>
                      <w:lang w:eastAsia="zh-CN"/>
                    </w:rPr>
                    <w:t>，单季加工周期60天，日均加工鲜果45</w:t>
                  </w:r>
                  <w:r>
                    <w:rPr>
                      <w:rFonts w:hint="eastAsia" w:cs="Times New Roman"/>
                      <w:color w:val="auto"/>
                      <w:sz w:val="18"/>
                      <w:szCs w:val="18"/>
                      <w:highlight w:val="none"/>
                      <w:lang w:val="en-US" w:eastAsia="zh-CN"/>
                    </w:rPr>
                    <w:t>t</w:t>
                  </w:r>
                  <w:r>
                    <w:rPr>
                      <w:rFonts w:hint="default" w:ascii="Times New Roman" w:hAnsi="Times New Roman" w:cs="Times New Roman"/>
                      <w:color w:val="auto"/>
                      <w:sz w:val="18"/>
                      <w:szCs w:val="18"/>
                      <w:highlight w:val="none"/>
                      <w:lang w:eastAsia="zh-CN"/>
                    </w:rPr>
                    <w:t>，每天3个工作班模式，每小时加工约2</w:t>
                  </w:r>
                  <w:r>
                    <w:rPr>
                      <w:rFonts w:hint="eastAsia" w:cs="Times New Roman"/>
                      <w:color w:val="auto"/>
                      <w:sz w:val="18"/>
                      <w:szCs w:val="18"/>
                      <w:highlight w:val="none"/>
                      <w:lang w:val="en-US" w:eastAsia="zh-CN"/>
                    </w:rPr>
                    <w:t>t</w:t>
                  </w:r>
                  <w:r>
                    <w:rPr>
                      <w:rFonts w:hint="default" w:ascii="Times New Roman" w:hAnsi="Times New Roman" w:cs="Times New Roman"/>
                      <w:color w:val="auto"/>
                      <w:sz w:val="18"/>
                      <w:szCs w:val="18"/>
                      <w:highlight w:val="none"/>
                      <w:lang w:eastAsia="zh-CN"/>
                    </w:rPr>
                    <w:t>鲜果，因需预留生产量空间，因此建设3</w:t>
                  </w:r>
                  <w:r>
                    <w:rPr>
                      <w:rFonts w:hint="eastAsia" w:cs="Times New Roman"/>
                      <w:color w:val="auto"/>
                      <w:sz w:val="18"/>
                      <w:szCs w:val="18"/>
                      <w:highlight w:val="none"/>
                      <w:lang w:eastAsia="zh-CN"/>
                    </w:rPr>
                    <w:t>t/h</w:t>
                  </w:r>
                  <w:r>
                    <w:rPr>
                      <w:rFonts w:hint="default" w:ascii="Times New Roman" w:hAnsi="Times New Roman" w:cs="Times New Roman"/>
                      <w:color w:val="auto"/>
                      <w:sz w:val="18"/>
                      <w:szCs w:val="18"/>
                      <w:highlight w:val="none"/>
                      <w:lang w:eastAsia="zh-CN"/>
                    </w:rPr>
                    <w:t>NFC果汁生产线1条。</w:t>
                  </w:r>
                </w:p>
                <w:p w14:paraId="02D2A0A4">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eastAsia="zh-CN"/>
                    </w:rPr>
                    <w:t>配套建设NFC果汁生产厂房及冷库2148.23m²</w:t>
                  </w:r>
                </w:p>
              </w:tc>
              <w:tc>
                <w:tcPr>
                  <w:tcW w:w="1136" w:type="dxa"/>
                  <w:vAlign w:val="center"/>
                </w:tcPr>
                <w:p w14:paraId="5BECADA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新建</w:t>
                  </w:r>
                </w:p>
              </w:tc>
            </w:tr>
            <w:tr w14:paraId="2CD8A5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656" w:type="dxa"/>
                  <w:vMerge w:val="continue"/>
                  <w:vAlign w:val="center"/>
                </w:tcPr>
                <w:p w14:paraId="0704F099">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rPr>
                  </w:pPr>
                </w:p>
              </w:tc>
              <w:tc>
                <w:tcPr>
                  <w:tcW w:w="1171" w:type="dxa"/>
                  <w:vAlign w:val="center"/>
                </w:tcPr>
                <w:p w14:paraId="17D6ABD6">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果品分选线</w:t>
                  </w:r>
                </w:p>
              </w:tc>
              <w:tc>
                <w:tcPr>
                  <w:tcW w:w="5147" w:type="dxa"/>
                  <w:vAlign w:val="center"/>
                </w:tcPr>
                <w:p w14:paraId="64AD4778">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lang w:eastAsia="zh-CN"/>
                    </w:rPr>
                  </w:pPr>
                  <w:r>
                    <w:rPr>
                      <w:rFonts w:hint="eastAsia" w:cs="Times New Roman"/>
                      <w:color w:val="auto"/>
                      <w:sz w:val="18"/>
                      <w:szCs w:val="18"/>
                      <w:highlight w:val="none"/>
                      <w:lang w:val="en-US" w:eastAsia="zh-CN"/>
                    </w:rPr>
                    <w:t>改</w:t>
                  </w:r>
                  <w:r>
                    <w:rPr>
                      <w:rFonts w:hint="default" w:ascii="Times New Roman" w:hAnsi="Times New Roman" w:cs="Times New Roman"/>
                      <w:color w:val="auto"/>
                      <w:sz w:val="18"/>
                      <w:szCs w:val="18"/>
                      <w:highlight w:val="none"/>
                      <w:lang w:eastAsia="zh-CN"/>
                    </w:rPr>
                    <w:t>建6</w:t>
                  </w:r>
                  <w:r>
                    <w:rPr>
                      <w:rFonts w:hint="eastAsia" w:cs="Times New Roman"/>
                      <w:color w:val="auto"/>
                      <w:sz w:val="18"/>
                      <w:szCs w:val="18"/>
                      <w:highlight w:val="none"/>
                      <w:lang w:eastAsia="zh-CN"/>
                    </w:rPr>
                    <w:t>t/h</w:t>
                  </w:r>
                  <w:r>
                    <w:rPr>
                      <w:rFonts w:hint="default" w:ascii="Times New Roman" w:hAnsi="Times New Roman" w:cs="Times New Roman"/>
                      <w:color w:val="auto"/>
                      <w:sz w:val="18"/>
                      <w:szCs w:val="18"/>
                      <w:highlight w:val="none"/>
                      <w:lang w:eastAsia="zh-CN"/>
                    </w:rPr>
                    <w:t>高速果品分选线1条；</w:t>
                  </w:r>
                </w:p>
                <w:p w14:paraId="7BEC73EA">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eastAsia="zh-CN"/>
                    </w:rPr>
                    <w:t>将原有烘干厂车间部分空间（601.19m²）改造为果品分选车间，其余区域仍保留烘干车间及配套用房功能。</w:t>
                  </w:r>
                </w:p>
              </w:tc>
              <w:tc>
                <w:tcPr>
                  <w:tcW w:w="1136" w:type="dxa"/>
                  <w:vAlign w:val="center"/>
                </w:tcPr>
                <w:p w14:paraId="3EC8A76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改建</w:t>
                  </w:r>
                </w:p>
              </w:tc>
            </w:tr>
            <w:tr w14:paraId="606800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56" w:type="dxa"/>
                  <w:vMerge w:val="restart"/>
                  <w:vAlign w:val="center"/>
                </w:tcPr>
                <w:p w14:paraId="23691F8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辅助工程</w:t>
                  </w:r>
                </w:p>
              </w:tc>
              <w:tc>
                <w:tcPr>
                  <w:tcW w:w="6318" w:type="dxa"/>
                  <w:gridSpan w:val="2"/>
                  <w:vAlign w:val="center"/>
                </w:tcPr>
                <w:p w14:paraId="6F72475C">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保鲜库、烘干厂房、门卫室、配电房及厂区消防管网</w:t>
                  </w:r>
                </w:p>
              </w:tc>
              <w:tc>
                <w:tcPr>
                  <w:tcW w:w="1136" w:type="dxa"/>
                  <w:vAlign w:val="center"/>
                </w:tcPr>
                <w:p w14:paraId="7988765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依托现有</w:t>
                  </w:r>
                </w:p>
              </w:tc>
            </w:tr>
            <w:tr w14:paraId="1422D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56" w:type="dxa"/>
                  <w:vMerge w:val="continue"/>
                  <w:vAlign w:val="center"/>
                </w:tcPr>
                <w:p w14:paraId="0B99DFF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6318" w:type="dxa"/>
                  <w:gridSpan w:val="2"/>
                  <w:vAlign w:val="center"/>
                </w:tcPr>
                <w:p w14:paraId="291D8E4D">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污水处理站、危废暂存库</w:t>
                  </w:r>
                </w:p>
              </w:tc>
              <w:tc>
                <w:tcPr>
                  <w:tcW w:w="1136" w:type="dxa"/>
                  <w:vAlign w:val="center"/>
                </w:tcPr>
                <w:p w14:paraId="5E7A18A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依托番茄酱厂</w:t>
                  </w:r>
                </w:p>
              </w:tc>
            </w:tr>
            <w:tr w14:paraId="5F27D6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56" w:type="dxa"/>
                  <w:vMerge w:val="continue"/>
                  <w:vAlign w:val="center"/>
                </w:tcPr>
                <w:p w14:paraId="1B20D03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6318" w:type="dxa"/>
                  <w:gridSpan w:val="2"/>
                  <w:vAlign w:val="center"/>
                </w:tcPr>
                <w:p w14:paraId="3E381A90">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一般固废退场</w:t>
                  </w:r>
                </w:p>
              </w:tc>
              <w:tc>
                <w:tcPr>
                  <w:tcW w:w="1136" w:type="dxa"/>
                  <w:vAlign w:val="center"/>
                </w:tcPr>
                <w:p w14:paraId="7D0FFC3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新建</w:t>
                  </w:r>
                </w:p>
              </w:tc>
            </w:tr>
            <w:tr w14:paraId="320EF8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56" w:type="dxa"/>
                  <w:vAlign w:val="center"/>
                </w:tcPr>
                <w:p w14:paraId="6197342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储运工程</w:t>
                  </w:r>
                </w:p>
              </w:tc>
              <w:tc>
                <w:tcPr>
                  <w:tcW w:w="6318" w:type="dxa"/>
                  <w:gridSpan w:val="2"/>
                  <w:vAlign w:val="center"/>
                </w:tcPr>
                <w:p w14:paraId="7B2DB6AB">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在NFC果汁生产厂房内配套建设3个速冻和果汁存储的3个冻库。</w:t>
                  </w:r>
                </w:p>
                <w:p w14:paraId="7255E225">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速冻库设计为10-15个小时将10度到13度的NFC果汁迅速降温到零下18度，设计温度：-35℃~-40℃；冻库设计为长期储存NFC果汁，实现6～12个月冷链保质期，设计库温：-18℃~-20℃恒温。</w:t>
                  </w:r>
                </w:p>
              </w:tc>
              <w:tc>
                <w:tcPr>
                  <w:tcW w:w="1136" w:type="dxa"/>
                  <w:vAlign w:val="center"/>
                </w:tcPr>
                <w:p w14:paraId="43CA0F1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新建</w:t>
                  </w:r>
                </w:p>
              </w:tc>
            </w:tr>
            <w:tr w14:paraId="0A5F4C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6" w:type="dxa"/>
                  <w:vAlign w:val="center"/>
                </w:tcPr>
                <w:p w14:paraId="6921DD1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公用工程</w:t>
                  </w:r>
                </w:p>
              </w:tc>
              <w:tc>
                <w:tcPr>
                  <w:tcW w:w="6318" w:type="dxa"/>
                  <w:gridSpan w:val="2"/>
                  <w:vAlign w:val="center"/>
                </w:tcPr>
                <w:p w14:paraId="11DAF7E9">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给水系统</w:t>
                  </w:r>
                  <w:r>
                    <w:rPr>
                      <w:rFonts w:hint="default" w:ascii="Times New Roman" w:hAnsi="Times New Roman" w:cs="Times New Roman"/>
                      <w:color w:val="auto"/>
                      <w:sz w:val="18"/>
                      <w:szCs w:val="18"/>
                      <w:highlight w:val="none"/>
                      <w:vertAlign w:val="baseline"/>
                      <w:lang w:val="en-US" w:eastAsia="zh-CN"/>
                    </w:rPr>
                    <w:t>：水源为市政自来水，供水压力为0.30MPa，平均日用水量</w:t>
                  </w:r>
                  <w:r>
                    <w:rPr>
                      <w:rFonts w:hint="eastAsia" w:cs="Times New Roman"/>
                      <w:color w:val="auto"/>
                      <w:sz w:val="18"/>
                      <w:szCs w:val="18"/>
                      <w:highlight w:val="none"/>
                      <w:vertAlign w:val="baseline"/>
                      <w:lang w:val="en-US" w:eastAsia="zh-CN"/>
                    </w:rPr>
                    <w:t>22</w:t>
                  </w:r>
                  <w:r>
                    <w:rPr>
                      <w:rFonts w:hint="default" w:ascii="Times New Roman" w:hAnsi="Times New Roman" w:cs="Times New Roman"/>
                      <w:color w:val="auto"/>
                      <w:sz w:val="18"/>
                      <w:szCs w:val="18"/>
                      <w:highlight w:val="none"/>
                      <w:vertAlign w:val="baseline"/>
                      <w:lang w:val="en-US" w:eastAsia="zh-CN"/>
                    </w:rPr>
                    <w:t>.75m³。</w:t>
                  </w:r>
                </w:p>
                <w:p w14:paraId="760CF84C">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供电系统</w:t>
                  </w:r>
                  <w:r>
                    <w:rPr>
                      <w:rFonts w:hint="default" w:ascii="Times New Roman" w:hAnsi="Times New Roman" w:cs="Times New Roman"/>
                      <w:color w:val="auto"/>
                      <w:sz w:val="18"/>
                      <w:szCs w:val="18"/>
                      <w:highlight w:val="none"/>
                      <w:vertAlign w:val="baseline"/>
                      <w:lang w:val="en-US" w:eastAsia="zh-CN"/>
                    </w:rPr>
                    <w:t>：由市政10kV电网引入1路专用线路，厂内</w:t>
                  </w:r>
                  <w:r>
                    <w:rPr>
                      <w:rFonts w:hint="default" w:ascii="Times New Roman" w:hAnsi="Times New Roman" w:cs="Times New Roman"/>
                      <w:b/>
                      <w:bCs/>
                      <w:color w:val="auto"/>
                      <w:sz w:val="18"/>
                      <w:szCs w:val="18"/>
                      <w:highlight w:val="none"/>
                      <w:vertAlign w:val="baseline"/>
                      <w:lang w:val="en-US" w:eastAsia="zh-CN"/>
                    </w:rPr>
                    <w:t>新建</w:t>
                  </w:r>
                  <w:r>
                    <w:rPr>
                      <w:rFonts w:hint="default" w:ascii="Times New Roman" w:hAnsi="Times New Roman" w:cs="Times New Roman"/>
                      <w:color w:val="auto"/>
                      <w:sz w:val="18"/>
                      <w:szCs w:val="18"/>
                      <w:highlight w:val="none"/>
                      <w:vertAlign w:val="baseline"/>
                      <w:lang w:val="en-US" w:eastAsia="zh-CN"/>
                    </w:rPr>
                    <w:t>10kV箱式变电站，变压器安装容量为2000kVA，用于满足厂区整体用电负荷供给，保障供电稳定性，室外照明及本次厂区照明采用250变压器供电，保障照明系统稳定运行。</w:t>
                  </w:r>
                </w:p>
                <w:p w14:paraId="324BF9B3">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独立式太阳能光伏发电系统</w:t>
                  </w:r>
                  <w:r>
                    <w:rPr>
                      <w:rFonts w:hint="eastAsia" w:ascii="Times New Roman" w:hAnsi="Times New Roman" w:cs="Times New Roman"/>
                      <w:b/>
                      <w:bCs/>
                      <w:color w:val="auto"/>
                      <w:sz w:val="18"/>
                      <w:szCs w:val="18"/>
                      <w:highlight w:val="none"/>
                      <w:vertAlign w:val="baseline"/>
                      <w:lang w:val="en-US" w:eastAsia="zh-CN"/>
                    </w:rPr>
                    <w:t>：</w:t>
                  </w:r>
                  <w:r>
                    <w:rPr>
                      <w:rFonts w:hint="eastAsia" w:cs="Times New Roman"/>
                      <w:color w:val="auto"/>
                      <w:sz w:val="18"/>
                      <w:szCs w:val="18"/>
                      <w:highlight w:val="none"/>
                      <w:vertAlign w:val="baseline"/>
                      <w:lang w:val="en-US" w:eastAsia="zh-CN"/>
                    </w:rPr>
                    <w:t>同时屋顶设立</w:t>
                  </w:r>
                  <w:r>
                    <w:rPr>
                      <w:rFonts w:hint="default" w:ascii="Times New Roman" w:hAnsi="Times New Roman" w:cs="Times New Roman"/>
                      <w:color w:val="auto"/>
                      <w:sz w:val="18"/>
                      <w:szCs w:val="18"/>
                      <w:highlight w:val="none"/>
                      <w:vertAlign w:val="baseline"/>
                      <w:lang w:val="en-US" w:eastAsia="zh-CN"/>
                    </w:rPr>
                    <w:t>独立式太阳能光伏发电系统，自发自用，带储能装置（储能电池选用锂离子电池，电池容量1MWh），不并网</w:t>
                  </w:r>
                  <w:r>
                    <w:rPr>
                      <w:rFonts w:hint="eastAsia" w:cs="Times New Roman"/>
                      <w:color w:val="auto"/>
                      <w:sz w:val="18"/>
                      <w:szCs w:val="18"/>
                      <w:highlight w:val="none"/>
                      <w:vertAlign w:val="baseline"/>
                      <w:lang w:val="en-US" w:eastAsia="zh-CN"/>
                    </w:rPr>
                    <w:t>，补充厂区用电</w:t>
                  </w:r>
                </w:p>
                <w:p w14:paraId="6610263A">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排水系统</w:t>
                  </w:r>
                  <w:r>
                    <w:rPr>
                      <w:rFonts w:hint="default" w:ascii="Times New Roman" w:hAnsi="Times New Roman" w:cs="Times New Roman"/>
                      <w:color w:val="auto"/>
                      <w:sz w:val="18"/>
                      <w:szCs w:val="18"/>
                      <w:highlight w:val="none"/>
                      <w:vertAlign w:val="baseline"/>
                      <w:lang w:val="en-US" w:eastAsia="zh-CN"/>
                    </w:rPr>
                    <w:t>：本项目东侧设置有化粪池，项目及后期冻库污水排入污水管网，汇合后排入化粪池处理，再排入市政污水管网。</w:t>
                  </w:r>
                </w:p>
                <w:p w14:paraId="33101B50">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供热系统</w:t>
                  </w:r>
                  <w:r>
                    <w:rPr>
                      <w:rFonts w:hint="default" w:ascii="Times New Roman" w:hAnsi="Times New Roman" w:cs="Times New Roman"/>
                      <w:color w:val="auto"/>
                      <w:sz w:val="18"/>
                      <w:szCs w:val="18"/>
                      <w:highlight w:val="none"/>
                      <w:vertAlign w:val="baseline"/>
                      <w:lang w:val="en-US" w:eastAsia="zh-CN"/>
                    </w:rPr>
                    <w:t>：未涉及，无采暖需求。</w:t>
                  </w:r>
                </w:p>
                <w:p w14:paraId="0D88885C">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空调系统</w:t>
                  </w:r>
                  <w:r>
                    <w:rPr>
                      <w:rFonts w:hint="default" w:ascii="Times New Roman" w:hAnsi="Times New Roman" w:cs="Times New Roman"/>
                      <w:color w:val="auto"/>
                      <w:sz w:val="18"/>
                      <w:szCs w:val="18"/>
                      <w:highlight w:val="none"/>
                      <w:vertAlign w:val="baseline"/>
                      <w:lang w:val="en-US" w:eastAsia="zh-CN"/>
                    </w:rPr>
                    <w:t>：部分功能房间设置分体式空调，预留空调用电负荷、空调机组安装位置。</w:t>
                  </w:r>
                </w:p>
                <w:p w14:paraId="418C75B1">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制冷系统</w:t>
                  </w:r>
                  <w:r>
                    <w:rPr>
                      <w:rFonts w:hint="default" w:ascii="Times New Roman" w:hAnsi="Times New Roman" w:cs="Times New Roman"/>
                      <w:color w:val="auto"/>
                      <w:sz w:val="18"/>
                      <w:szCs w:val="18"/>
                      <w:highlight w:val="none"/>
                      <w:vertAlign w:val="baseline"/>
                      <w:lang w:val="en-US" w:eastAsia="zh-CN"/>
                    </w:rPr>
                    <w:t>：采用氟利昂（R507）低温制冷机组，全自动温控、变频节能、温度实时监控。</w:t>
                  </w:r>
                </w:p>
                <w:p w14:paraId="1669A5E0">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CIP清洗系统</w:t>
                  </w:r>
                  <w:r>
                    <w:rPr>
                      <w:rFonts w:hint="default" w:ascii="Times New Roman" w:hAnsi="Times New Roman" w:cs="Times New Roman"/>
                      <w:color w:val="auto"/>
                      <w:sz w:val="18"/>
                      <w:szCs w:val="18"/>
                      <w:highlight w:val="none"/>
                      <w:vertAlign w:val="baseline"/>
                      <w:lang w:val="en-US" w:eastAsia="zh-CN"/>
                    </w:rPr>
                    <w:t>：2000L×3罐，包含酸罐、碱罐、热水罐，CIP清洗罐有效容积为2000L，配备透气孔、CIP喷淋清洗球。</w:t>
                  </w:r>
                </w:p>
              </w:tc>
              <w:tc>
                <w:tcPr>
                  <w:tcW w:w="1136" w:type="dxa"/>
                  <w:vAlign w:val="center"/>
                </w:tcPr>
                <w:p w14:paraId="00B2D3F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rPr>
                    <w:t>NFC果汁生产线及冷库</w:t>
                  </w:r>
                  <w:r>
                    <w:rPr>
                      <w:rFonts w:hint="eastAsia" w:cs="Times New Roman"/>
                      <w:color w:val="auto"/>
                      <w:sz w:val="18"/>
                      <w:szCs w:val="18"/>
                      <w:highlight w:val="none"/>
                      <w:lang w:val="en-US" w:eastAsia="zh-CN"/>
                    </w:rPr>
                    <w:t>所在场地的公用工程</w:t>
                  </w:r>
                  <w:r>
                    <w:rPr>
                      <w:rFonts w:hint="default" w:ascii="Times New Roman" w:hAnsi="Times New Roman" w:cs="Times New Roman"/>
                      <w:color w:val="auto"/>
                      <w:sz w:val="18"/>
                      <w:szCs w:val="18"/>
                      <w:highlight w:val="none"/>
                      <w:vertAlign w:val="baseline"/>
                      <w:lang w:val="en-US" w:eastAsia="zh-CN"/>
                    </w:rPr>
                    <w:t>为新建</w:t>
                  </w:r>
                  <w:r>
                    <w:rPr>
                      <w:rFonts w:hint="eastAsia" w:cs="Times New Roman"/>
                      <w:color w:val="auto"/>
                      <w:sz w:val="18"/>
                      <w:szCs w:val="18"/>
                      <w:highlight w:val="none"/>
                      <w:vertAlign w:val="baseline"/>
                      <w:lang w:val="en-US" w:eastAsia="zh-CN"/>
                    </w:rPr>
                    <w:t>；</w:t>
                  </w:r>
                </w:p>
                <w:p w14:paraId="2536F99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果品分选线</w:t>
                  </w:r>
                  <w:r>
                    <w:rPr>
                      <w:rFonts w:hint="default" w:ascii="Times New Roman" w:hAnsi="Times New Roman" w:cs="Times New Roman"/>
                      <w:color w:val="auto"/>
                      <w:sz w:val="18"/>
                      <w:szCs w:val="18"/>
                      <w:highlight w:val="none"/>
                      <w:vertAlign w:val="baseline"/>
                      <w:lang w:val="en-US" w:eastAsia="zh-CN"/>
                    </w:rPr>
                    <w:t>依托现有</w:t>
                  </w:r>
                  <w:r>
                    <w:rPr>
                      <w:rFonts w:hint="eastAsia" w:cs="Times New Roman"/>
                      <w:color w:val="auto"/>
                      <w:sz w:val="18"/>
                      <w:szCs w:val="18"/>
                      <w:highlight w:val="none"/>
                      <w:vertAlign w:val="baseline"/>
                      <w:lang w:val="en-US" w:eastAsia="zh-CN"/>
                    </w:rPr>
                    <w:t>。</w:t>
                  </w:r>
                </w:p>
              </w:tc>
            </w:tr>
            <w:tr w14:paraId="12928B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56" w:type="dxa"/>
                  <w:vAlign w:val="center"/>
                </w:tcPr>
                <w:p w14:paraId="407C836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环保工程</w:t>
                  </w:r>
                </w:p>
              </w:tc>
              <w:tc>
                <w:tcPr>
                  <w:tcW w:w="6318" w:type="dxa"/>
                  <w:gridSpan w:val="2"/>
                  <w:vAlign w:val="center"/>
                </w:tcPr>
                <w:p w14:paraId="0C90FF35">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废水</w:t>
                  </w:r>
                  <w:r>
                    <w:rPr>
                      <w:rFonts w:hint="default" w:ascii="Times New Roman" w:hAnsi="Times New Roman" w:cs="Times New Roman"/>
                      <w:color w:val="auto"/>
                      <w:sz w:val="18"/>
                      <w:szCs w:val="18"/>
                      <w:highlight w:val="none"/>
                      <w:vertAlign w:val="baseline"/>
                      <w:lang w:val="en-US" w:eastAsia="zh-CN"/>
                    </w:rPr>
                    <w:t>：NFC果汁厂的废水主要有洗果后的废水和清洁厂区用水，经沉砂池沉淀</w:t>
                  </w:r>
                  <w:r>
                    <w:rPr>
                      <w:rFonts w:hint="eastAsia" w:cs="Times New Roman"/>
                      <w:color w:val="auto"/>
                      <w:sz w:val="18"/>
                      <w:szCs w:val="18"/>
                      <w:highlight w:val="none"/>
                      <w:vertAlign w:val="baseline"/>
                      <w:lang w:val="en-US" w:eastAsia="zh-CN"/>
                    </w:rPr>
                    <w:t>送往</w:t>
                  </w:r>
                  <w:r>
                    <w:rPr>
                      <w:rFonts w:hint="default" w:ascii="Times New Roman" w:hAnsi="Times New Roman" w:cs="Times New Roman"/>
                      <w:color w:val="auto"/>
                      <w:sz w:val="18"/>
                      <w:szCs w:val="18"/>
                      <w:highlight w:val="none"/>
                      <w:vertAlign w:val="baseline"/>
                      <w:lang w:val="en-US" w:eastAsia="zh-CN"/>
                    </w:rPr>
                    <w:t>西南方番茄</w:t>
                  </w:r>
                  <w:r>
                    <w:rPr>
                      <w:rFonts w:hint="eastAsia" w:cs="Times New Roman"/>
                      <w:color w:val="auto"/>
                      <w:sz w:val="18"/>
                      <w:szCs w:val="18"/>
                      <w:highlight w:val="none"/>
                      <w:vertAlign w:val="baseline"/>
                      <w:lang w:val="en-US" w:eastAsia="zh-CN"/>
                    </w:rPr>
                    <w:t>酱</w:t>
                  </w:r>
                  <w:r>
                    <w:rPr>
                      <w:rFonts w:hint="default" w:ascii="Times New Roman" w:hAnsi="Times New Roman" w:cs="Times New Roman"/>
                      <w:color w:val="auto"/>
                      <w:sz w:val="18"/>
                      <w:szCs w:val="18"/>
                      <w:highlight w:val="none"/>
                      <w:vertAlign w:val="baseline"/>
                      <w:lang w:val="en-US" w:eastAsia="zh-CN"/>
                    </w:rPr>
                    <w:t>厂污水处理站处理</w:t>
                  </w:r>
                  <w:r>
                    <w:rPr>
                      <w:rFonts w:hint="eastAsia" w:cs="Times New Roman"/>
                      <w:color w:val="auto"/>
                      <w:sz w:val="18"/>
                      <w:szCs w:val="18"/>
                      <w:highlight w:val="none"/>
                      <w:vertAlign w:val="baseline"/>
                      <w:lang w:val="en-US" w:eastAsia="zh-CN"/>
                    </w:rPr>
                    <w:t>，</w:t>
                  </w:r>
                  <w:r>
                    <w:rPr>
                      <w:rFonts w:hint="default" w:ascii="Times New Roman" w:hAnsi="Times New Roman" w:cs="Times New Roman"/>
                      <w:color w:val="auto"/>
                      <w:sz w:val="18"/>
                      <w:szCs w:val="18"/>
                      <w:highlight w:val="none"/>
                      <w:vertAlign w:val="baseline"/>
                      <w:lang w:val="en-US" w:eastAsia="zh-CN"/>
                    </w:rPr>
                    <w:t>满足</w:t>
                  </w:r>
                  <w:r>
                    <w:rPr>
                      <w:rFonts w:hint="eastAsia" w:cs="Times New Roman"/>
                      <w:color w:val="auto"/>
                      <w:sz w:val="18"/>
                      <w:szCs w:val="18"/>
                      <w:highlight w:val="none"/>
                      <w:vertAlign w:val="baseline"/>
                      <w:lang w:val="en-US" w:eastAsia="zh-CN"/>
                    </w:rPr>
                    <w:t>《污水综合排放标准》（GB8978-1996）及修改单</w:t>
                  </w:r>
                  <w:r>
                    <w:rPr>
                      <w:rFonts w:hint="default" w:ascii="Times New Roman" w:hAnsi="Times New Roman" w:cs="Times New Roman"/>
                      <w:color w:val="auto"/>
                      <w:sz w:val="18"/>
                      <w:szCs w:val="18"/>
                      <w:highlight w:val="none"/>
                      <w:vertAlign w:val="baseline"/>
                      <w:lang w:val="en-US" w:eastAsia="zh-CN"/>
                    </w:rPr>
                    <w:t>三级标准及园区废水处理厂进水水质要求后，通过园区污水收集管网，送往农副产品加工基地污水处理厂园区的废水处理厂处理</w:t>
                  </w:r>
                  <w:r>
                    <w:rPr>
                      <w:rFonts w:hint="eastAsia" w:cs="Times New Roman"/>
                      <w:color w:val="auto"/>
                      <w:sz w:val="18"/>
                      <w:szCs w:val="18"/>
                      <w:highlight w:val="none"/>
                      <w:vertAlign w:val="baseline"/>
                      <w:lang w:val="en-US" w:eastAsia="zh-CN"/>
                    </w:rPr>
                    <w:t>，处理水质达到《城市污水再生利用 农田灌溉用水水质》（GB20922-2007）后，</w:t>
                  </w:r>
                  <w:r>
                    <w:rPr>
                      <w:rFonts w:hint="default" w:ascii="Times New Roman" w:hAnsi="Times New Roman" w:cs="Times New Roman"/>
                      <w:color w:val="auto"/>
                      <w:sz w:val="18"/>
                      <w:szCs w:val="18"/>
                      <w:highlight w:val="none"/>
                      <w:vertAlign w:val="baseline"/>
                      <w:lang w:val="en-US" w:eastAsia="zh-CN"/>
                    </w:rPr>
                    <w:t>用于水果园浇灌。</w:t>
                  </w:r>
                </w:p>
                <w:p w14:paraId="1D405FEE">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废气</w:t>
                  </w:r>
                  <w:r>
                    <w:rPr>
                      <w:rFonts w:hint="default" w:ascii="Times New Roman" w:hAnsi="Times New Roman" w:cs="Times New Roman"/>
                      <w:color w:val="auto"/>
                      <w:sz w:val="18"/>
                      <w:szCs w:val="18"/>
                      <w:highlight w:val="none"/>
                      <w:vertAlign w:val="baseline"/>
                      <w:lang w:val="en-US" w:eastAsia="zh-CN"/>
                    </w:rPr>
                    <w:t>：空调用制冷剂采用环保冷媒R134a，减少其对大气臭氧层的破坏。避免卫生间等区域的空气和污染物穿通到室内其他空间或室外主要活动场所。</w:t>
                  </w:r>
                </w:p>
                <w:p w14:paraId="2CBF494C">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噪声</w:t>
                  </w:r>
                  <w:r>
                    <w:rPr>
                      <w:rFonts w:hint="default" w:ascii="Times New Roman" w:hAnsi="Times New Roman" w:cs="Times New Roman"/>
                      <w:color w:val="auto"/>
                      <w:sz w:val="18"/>
                      <w:szCs w:val="18"/>
                      <w:highlight w:val="none"/>
                      <w:vertAlign w:val="baseline"/>
                      <w:lang w:val="en-US" w:eastAsia="zh-CN"/>
                    </w:rPr>
                    <w:t>：采用低噪声设备，隔声、</w:t>
                  </w:r>
                  <w:r>
                    <w:rPr>
                      <w:rFonts w:hint="eastAsia" w:cs="Times New Roman"/>
                      <w:color w:val="auto"/>
                      <w:sz w:val="18"/>
                      <w:szCs w:val="18"/>
                      <w:highlight w:val="none"/>
                      <w:vertAlign w:val="baseline"/>
                      <w:lang w:val="en-US" w:eastAsia="zh-CN"/>
                    </w:rPr>
                    <w:t>减振</w:t>
                  </w:r>
                  <w:r>
                    <w:rPr>
                      <w:rFonts w:hint="default" w:ascii="Times New Roman" w:hAnsi="Times New Roman" w:cs="Times New Roman"/>
                      <w:color w:val="auto"/>
                      <w:sz w:val="18"/>
                      <w:szCs w:val="18"/>
                      <w:highlight w:val="none"/>
                      <w:vertAlign w:val="baseline"/>
                      <w:lang w:val="en-US" w:eastAsia="zh-CN"/>
                    </w:rPr>
                    <w:t>等措施。通风机、空调机组、冷水机组、热水机组和循环水泵等主要设备均选用高效、低噪声及振动小的设备，振动设备基础均设置橡胶或弹簧减振器。吊装于梁下或板下的空调、通风设备均采用弹性支吊架安装，配套电机设隔音罩。振动设备与管道连接处设置软接头。通风机和空调机组进出风管上设置微穿孔板消声器或消声弯头或消声静压箱。</w:t>
                  </w:r>
                </w:p>
                <w:p w14:paraId="064A9B1A">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噪声采取专项治理措施，依托一期现有环保排放路径；</w:t>
                  </w:r>
                </w:p>
                <w:p w14:paraId="34403C3A">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b/>
                      <w:bCs/>
                      <w:color w:val="auto"/>
                      <w:sz w:val="18"/>
                      <w:szCs w:val="18"/>
                      <w:highlight w:val="none"/>
                      <w:vertAlign w:val="baseline"/>
                      <w:lang w:val="en-US" w:eastAsia="zh-CN"/>
                    </w:rPr>
                    <w:t>固体废物</w:t>
                  </w:r>
                  <w:r>
                    <w:rPr>
                      <w:rFonts w:hint="default" w:ascii="Times New Roman" w:hAnsi="Times New Roman" w:cs="Times New Roman"/>
                      <w:color w:val="auto"/>
                      <w:sz w:val="18"/>
                      <w:szCs w:val="18"/>
                      <w:highlight w:val="none"/>
                      <w:vertAlign w:val="baseline"/>
                      <w:lang w:val="en-US" w:eastAsia="zh-CN"/>
                    </w:rPr>
                    <w:t>：</w:t>
                  </w:r>
                  <w:r>
                    <w:rPr>
                      <w:rFonts w:hint="eastAsia" w:cs="Times New Roman"/>
                      <w:color w:val="auto"/>
                      <w:sz w:val="18"/>
                      <w:szCs w:val="18"/>
                      <w:highlight w:val="none"/>
                      <w:vertAlign w:val="baseline"/>
                      <w:lang w:val="en-US" w:eastAsia="zh-CN"/>
                    </w:rPr>
                    <w:t>车</w:t>
                  </w:r>
                  <w:r>
                    <w:rPr>
                      <w:rFonts w:hint="default" w:ascii="Times New Roman" w:hAnsi="Times New Roman" w:cs="Times New Roman"/>
                      <w:color w:val="auto"/>
                      <w:sz w:val="18"/>
                      <w:szCs w:val="18"/>
                      <w:highlight w:val="none"/>
                      <w:vertAlign w:val="baseline"/>
                      <w:lang w:val="en-US" w:eastAsia="zh-CN"/>
                    </w:rPr>
                    <w:t>间内设置专用废弃物收集容器，分类收集果品碎屑、废弃包装等垃圾，每日及时清理出车间，集中</w:t>
                  </w:r>
                  <w:r>
                    <w:rPr>
                      <w:rFonts w:hint="eastAsia" w:cs="Times New Roman"/>
                      <w:color w:val="auto"/>
                      <w:sz w:val="18"/>
                      <w:szCs w:val="18"/>
                      <w:highlight w:val="none"/>
                      <w:vertAlign w:val="baseline"/>
                      <w:lang w:val="en-US" w:eastAsia="zh-CN"/>
                    </w:rPr>
                    <w:t>存放在项目新建的一般固废堆场</w:t>
                  </w:r>
                  <w:r>
                    <w:rPr>
                      <w:rFonts w:hint="default" w:ascii="Times New Roman" w:hAnsi="Times New Roman" w:cs="Times New Roman"/>
                      <w:color w:val="auto"/>
                      <w:sz w:val="18"/>
                      <w:szCs w:val="18"/>
                      <w:highlight w:val="none"/>
                      <w:vertAlign w:val="baseline"/>
                      <w:lang w:val="en-US" w:eastAsia="zh-CN"/>
                    </w:rPr>
                    <w:t>。加工园区已配套建成饲料加工厂，NFC果汁生产后的果皮、果肉等果渣，富含糖和果胶等养分，可直接送入饲料加工厂，用于饲料加工。危险废物：废试剂瓶、实验废物、化验废物</w:t>
                  </w:r>
                  <w:r>
                    <w:rPr>
                      <w:rFonts w:hint="eastAsia" w:cs="Times New Roman"/>
                      <w:color w:val="auto"/>
                      <w:sz w:val="18"/>
                      <w:szCs w:val="18"/>
                      <w:highlight w:val="none"/>
                      <w:vertAlign w:val="baseline"/>
                      <w:lang w:val="en-US" w:eastAsia="zh-CN"/>
                    </w:rPr>
                    <w:t>储存在依托的危废贮存库内。</w:t>
                  </w:r>
                </w:p>
              </w:tc>
              <w:tc>
                <w:tcPr>
                  <w:tcW w:w="1136" w:type="dxa"/>
                  <w:vAlign w:val="center"/>
                </w:tcPr>
                <w:p w14:paraId="6346C4A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固废间、</w:t>
                  </w:r>
                </w:p>
                <w:p w14:paraId="1680577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危废暂存库</w:t>
                  </w:r>
                </w:p>
                <w:p w14:paraId="4FA7B21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新建</w:t>
                  </w:r>
                </w:p>
              </w:tc>
            </w:tr>
          </w:tbl>
          <w:p w14:paraId="464D9C05">
            <w:pPr>
              <w:keepNext w:val="0"/>
              <w:keepLines w:val="0"/>
              <w:pageBreakBefore w:val="0"/>
              <w:kinsoku/>
              <w:wordWrap/>
              <w:overflowPunct/>
              <w:topLinePunct w:val="0"/>
              <w:bidi w:val="0"/>
              <w:adjustRightInd w:val="0"/>
              <w:snapToGrid w:val="0"/>
              <w:spacing w:line="360" w:lineRule="auto"/>
              <w:ind w:firstLine="482" w:firstLineChars="200"/>
              <w:rPr>
                <w:rFonts w:hint="default" w:ascii="Times New Roman" w:hAnsi="Times New Roman" w:cs="Times New Roman"/>
                <w:b/>
                <w:bCs/>
                <w:color w:val="auto"/>
                <w:szCs w:val="32"/>
                <w:highlight w:val="none"/>
              </w:rPr>
            </w:pPr>
            <w:r>
              <w:rPr>
                <w:rFonts w:hint="default" w:ascii="Times New Roman" w:hAnsi="Times New Roman" w:cs="Times New Roman"/>
                <w:b/>
                <w:bCs/>
                <w:color w:val="auto"/>
                <w:szCs w:val="32"/>
                <w:highlight w:val="none"/>
              </w:rPr>
              <w:t>4、</w:t>
            </w:r>
            <w:r>
              <w:rPr>
                <w:rFonts w:hint="default" w:ascii="Times New Roman" w:hAnsi="Times New Roman" w:cs="Times New Roman"/>
                <w:b/>
                <w:bCs/>
                <w:color w:val="auto"/>
                <w:szCs w:val="32"/>
                <w:highlight w:val="none"/>
                <w:lang w:val="en-US" w:eastAsia="zh-CN"/>
              </w:rPr>
              <w:t>产品方案</w:t>
            </w:r>
          </w:p>
          <w:p w14:paraId="05896E5D">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本项目为建设NFC果汁生产车间（厂房内配套建设150m²速冻库和450m²冻库）、建设3</w:t>
            </w:r>
            <w:r>
              <w:rPr>
                <w:rFonts w:hint="eastAsia" w:cs="Times New Roman"/>
                <w:color w:val="auto"/>
                <w:highlight w:val="none"/>
                <w:lang w:val="en-US" w:eastAsia="zh-CN"/>
              </w:rPr>
              <w:t>t/h</w:t>
            </w:r>
            <w:r>
              <w:rPr>
                <w:rFonts w:hint="default" w:ascii="Times New Roman" w:hAnsi="Times New Roman" w:cs="Times New Roman"/>
                <w:color w:val="auto"/>
                <w:highlight w:val="none"/>
                <w:lang w:val="en-US" w:eastAsia="zh-CN"/>
              </w:rPr>
              <w:t>NFC果汁生产线一条（配套建设大罐灌装和小包装盒灌装线）、建设6</w:t>
            </w:r>
            <w:r>
              <w:rPr>
                <w:rFonts w:hint="eastAsia" w:cs="Times New Roman"/>
                <w:color w:val="auto"/>
                <w:highlight w:val="none"/>
                <w:lang w:val="en-US" w:eastAsia="zh-CN"/>
              </w:rPr>
              <w:t>t/h</w:t>
            </w:r>
            <w:r>
              <w:rPr>
                <w:rFonts w:hint="default" w:ascii="Times New Roman" w:hAnsi="Times New Roman" w:cs="Times New Roman"/>
                <w:color w:val="auto"/>
                <w:highlight w:val="none"/>
                <w:lang w:val="en-US" w:eastAsia="zh-CN"/>
              </w:rPr>
              <w:t>智能果品分选线1条（改造原烘干厂房为果品分选车间）的项目。产品方案如下表。</w:t>
            </w:r>
          </w:p>
          <w:p w14:paraId="230DC440">
            <w:pPr>
              <w:keepNext w:val="0"/>
              <w:keepLines w:val="0"/>
              <w:pageBreakBefore w:val="0"/>
              <w:widowControl w:val="0"/>
              <w:kinsoku/>
              <w:wordWrap/>
              <w:overflowPunct/>
              <w:topLinePunct w:val="0"/>
              <w:autoSpaceDE w:val="0"/>
              <w:autoSpaceDN/>
              <w:bidi w:val="0"/>
              <w:adjustRightInd/>
              <w:snapToGrid/>
              <w:spacing w:line="240" w:lineRule="auto"/>
              <w:jc w:val="center"/>
              <w:textAlignment w:val="baseline"/>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color w:val="auto"/>
                <w:highlight w:val="none"/>
                <w:lang w:val="en-US" w:eastAsia="zh-CN"/>
              </w:rPr>
              <w:t>表2-2  产品方案一览表</w:t>
            </w:r>
          </w:p>
          <w:tbl>
            <w:tblPr>
              <w:tblStyle w:val="31"/>
              <w:tblW w:w="4998" w:type="pct"/>
              <w:tblInd w:w="-4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1265"/>
              <w:gridCol w:w="1455"/>
              <w:gridCol w:w="1721"/>
              <w:gridCol w:w="1340"/>
              <w:gridCol w:w="1971"/>
            </w:tblGrid>
            <w:tr w14:paraId="3F24D2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0" w:hRule="atLeast"/>
              </w:trPr>
              <w:tc>
                <w:tcPr>
                  <w:tcW w:w="363" w:type="pct"/>
                  <w:vAlign w:val="center"/>
                </w:tcPr>
                <w:p w14:paraId="4A9423C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序号</w:t>
                  </w:r>
                </w:p>
              </w:tc>
              <w:tc>
                <w:tcPr>
                  <w:tcW w:w="756" w:type="pct"/>
                  <w:vAlign w:val="center"/>
                </w:tcPr>
                <w:p w14:paraId="5C165C4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产品名称</w:t>
                  </w:r>
                </w:p>
              </w:tc>
              <w:tc>
                <w:tcPr>
                  <w:tcW w:w="870" w:type="pct"/>
                  <w:vAlign w:val="center"/>
                </w:tcPr>
                <w:p w14:paraId="1BC9F69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现有项目年产量（t/a）</w:t>
                  </w:r>
                </w:p>
              </w:tc>
              <w:tc>
                <w:tcPr>
                  <w:tcW w:w="1029" w:type="pct"/>
                  <w:vAlign w:val="center"/>
                </w:tcPr>
                <w:p w14:paraId="08633EB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拟建项目年产量（t/a）</w:t>
                  </w:r>
                </w:p>
              </w:tc>
              <w:tc>
                <w:tcPr>
                  <w:tcW w:w="801" w:type="pct"/>
                  <w:vAlign w:val="center"/>
                </w:tcPr>
                <w:p w14:paraId="2512D4E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全厂年产量</w:t>
                  </w:r>
                </w:p>
                <w:p w14:paraId="17AFB16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（t/a）</w:t>
                  </w:r>
                </w:p>
              </w:tc>
              <w:tc>
                <w:tcPr>
                  <w:tcW w:w="1178" w:type="pct"/>
                  <w:vAlign w:val="center"/>
                </w:tcPr>
                <w:p w14:paraId="3B4490E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包装规格</w:t>
                  </w:r>
                </w:p>
              </w:tc>
            </w:tr>
            <w:tr w14:paraId="0A7EE9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63" w:type="pct"/>
                  <w:vAlign w:val="center"/>
                </w:tcPr>
                <w:p w14:paraId="569E472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w:t>
                  </w:r>
                </w:p>
              </w:tc>
              <w:tc>
                <w:tcPr>
                  <w:tcW w:w="756" w:type="pct"/>
                  <w:vAlign w:val="center"/>
                </w:tcPr>
                <w:p w14:paraId="2BBD9D0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NFC</w:t>
                  </w:r>
                  <w:r>
                    <w:rPr>
                      <w:rFonts w:hint="eastAsia" w:cs="Times New Roman"/>
                      <w:color w:val="auto"/>
                      <w:sz w:val="18"/>
                      <w:szCs w:val="18"/>
                      <w:highlight w:val="none"/>
                      <w:vertAlign w:val="baseline"/>
                      <w:lang w:val="en-US" w:eastAsia="zh-CN"/>
                    </w:rPr>
                    <w:t>果汁（</w:t>
                  </w:r>
                  <w:r>
                    <w:rPr>
                      <w:rFonts w:hint="default" w:ascii="Times New Roman" w:hAnsi="Times New Roman" w:cs="Times New Roman"/>
                      <w:color w:val="auto"/>
                      <w:sz w:val="18"/>
                      <w:szCs w:val="18"/>
                      <w:highlight w:val="none"/>
                      <w:vertAlign w:val="baseline"/>
                      <w:lang w:val="en-US" w:eastAsia="zh-CN"/>
                    </w:rPr>
                    <w:t>苹果汁</w:t>
                  </w:r>
                  <w:r>
                    <w:rPr>
                      <w:rFonts w:hint="eastAsia" w:cs="Times New Roman"/>
                      <w:color w:val="auto"/>
                      <w:sz w:val="18"/>
                      <w:szCs w:val="18"/>
                      <w:highlight w:val="none"/>
                      <w:vertAlign w:val="baseline"/>
                      <w:lang w:val="en-US" w:eastAsia="zh-CN"/>
                    </w:rPr>
                    <w:t>、梨汁</w:t>
                  </w:r>
                  <w:r>
                    <w:rPr>
                      <w:rFonts w:hint="eastAsia" w:ascii="Times New Roman" w:hAnsi="Times New Roman" w:cs="Times New Roman"/>
                      <w:color w:val="auto"/>
                      <w:sz w:val="18"/>
                      <w:szCs w:val="18"/>
                      <w:highlight w:val="none"/>
                      <w:vertAlign w:val="baseline"/>
                      <w:lang w:val="en-US" w:eastAsia="zh-CN"/>
                    </w:rPr>
                    <w:t>及少量葡萄和哈密瓜）</w:t>
                  </w:r>
                </w:p>
              </w:tc>
              <w:tc>
                <w:tcPr>
                  <w:tcW w:w="870" w:type="pct"/>
                  <w:vAlign w:val="center"/>
                </w:tcPr>
                <w:p w14:paraId="5171881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0</w:t>
                  </w:r>
                </w:p>
              </w:tc>
              <w:tc>
                <w:tcPr>
                  <w:tcW w:w="1029" w:type="pct"/>
                  <w:vAlign w:val="center"/>
                </w:tcPr>
                <w:p w14:paraId="10640CE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1890</w:t>
                  </w:r>
                </w:p>
              </w:tc>
              <w:tc>
                <w:tcPr>
                  <w:tcW w:w="801" w:type="pct"/>
                  <w:vAlign w:val="center"/>
                </w:tcPr>
                <w:p w14:paraId="73D731A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1890</w:t>
                  </w:r>
                </w:p>
              </w:tc>
              <w:tc>
                <w:tcPr>
                  <w:tcW w:w="1178" w:type="pct"/>
                  <w:vAlign w:val="center"/>
                </w:tcPr>
                <w:p w14:paraId="28147E9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200L/桶</w:t>
                  </w:r>
                </w:p>
                <w:p w14:paraId="27E8247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PET瓶</w:t>
                  </w:r>
                </w:p>
                <w:p w14:paraId="295A565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玻璃瓶</w:t>
                  </w:r>
                </w:p>
                <w:p w14:paraId="434B7F0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125ml/</w:t>
                  </w:r>
                  <w:r>
                    <w:rPr>
                      <w:rFonts w:hint="eastAsia" w:cs="Times New Roman"/>
                      <w:color w:val="auto"/>
                      <w:sz w:val="18"/>
                      <w:szCs w:val="18"/>
                      <w:highlight w:val="none"/>
                      <w:vertAlign w:val="baseline"/>
                      <w:lang w:val="en-US" w:eastAsia="zh-CN"/>
                    </w:rPr>
                    <w:t>纸</w:t>
                  </w:r>
                  <w:r>
                    <w:rPr>
                      <w:rFonts w:hint="default" w:ascii="Times New Roman" w:hAnsi="Times New Roman" w:cs="Times New Roman"/>
                      <w:color w:val="auto"/>
                      <w:sz w:val="18"/>
                      <w:szCs w:val="18"/>
                      <w:highlight w:val="none"/>
                      <w:vertAlign w:val="baseline"/>
                      <w:lang w:val="en-US" w:eastAsia="zh-CN"/>
                    </w:rPr>
                    <w:t>盒</w:t>
                  </w:r>
                </w:p>
              </w:tc>
            </w:tr>
          </w:tbl>
          <w:p w14:paraId="58865328">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NFC原汁执行标准为《果蔬汁类及其饮料》（GB/T 31121-2014）。具体如下：</w:t>
            </w:r>
          </w:p>
          <w:p w14:paraId="2B05D417">
            <w:pPr>
              <w:keepNext w:val="0"/>
              <w:keepLines w:val="0"/>
              <w:pageBreakBefore w:val="0"/>
              <w:widowControl w:val="0"/>
              <w:kinsoku/>
              <w:wordWrap/>
              <w:overflowPunct/>
              <w:topLinePunct w:val="0"/>
              <w:autoSpaceDE w:val="0"/>
              <w:autoSpaceDN/>
              <w:bidi w:val="0"/>
              <w:adjustRightInd/>
              <w:snapToGrid/>
              <w:spacing w:line="240" w:lineRule="auto"/>
              <w:jc w:val="center"/>
              <w:textAlignment w:val="baseline"/>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color w:val="auto"/>
                <w:highlight w:val="none"/>
                <w:lang w:val="en-US" w:eastAsia="zh-CN"/>
              </w:rPr>
              <w:t>表2-3  《果蔬汁类及其饮料》（GB/T 31121-2014）</w:t>
            </w:r>
          </w:p>
          <w:tbl>
            <w:tblPr>
              <w:tblStyle w:val="31"/>
              <w:tblW w:w="4998" w:type="pct"/>
              <w:tblInd w:w="-4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2112"/>
              <w:gridCol w:w="1254"/>
              <w:gridCol w:w="1004"/>
              <w:gridCol w:w="2163"/>
            </w:tblGrid>
            <w:tr w14:paraId="35C8AC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136" w:type="dxa"/>
                  <w:gridSpan w:val="5"/>
                  <w:vAlign w:val="center"/>
                </w:tcPr>
                <w:p w14:paraId="231EAC4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感官要求</w:t>
                  </w:r>
                </w:p>
              </w:tc>
            </w:tr>
            <w:tr w14:paraId="1BFA88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014B6EF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项目</w:t>
                  </w:r>
                </w:p>
              </w:tc>
              <w:tc>
                <w:tcPr>
                  <w:tcW w:w="6359" w:type="dxa"/>
                  <w:gridSpan w:val="4"/>
                  <w:vAlign w:val="center"/>
                </w:tcPr>
                <w:p w14:paraId="635740A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要求</w:t>
                  </w:r>
                </w:p>
              </w:tc>
            </w:tr>
            <w:tr w14:paraId="4E994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7EF939B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色泽</w:t>
                  </w:r>
                </w:p>
              </w:tc>
              <w:tc>
                <w:tcPr>
                  <w:tcW w:w="6359" w:type="dxa"/>
                  <w:gridSpan w:val="4"/>
                  <w:vAlign w:val="center"/>
                </w:tcPr>
                <w:p w14:paraId="53985B5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具有所标示的该种（或几种）水果、蔬菜制成的汁液（浆）相符的色泽，</w:t>
                  </w:r>
                </w:p>
                <w:p w14:paraId="09ECC00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或具有与添加成分相符的色泽</w:t>
                  </w:r>
                </w:p>
              </w:tc>
            </w:tr>
            <w:tr w14:paraId="6D1C1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383958C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滋味和气味</w:t>
                  </w:r>
                </w:p>
              </w:tc>
              <w:tc>
                <w:tcPr>
                  <w:tcW w:w="6359" w:type="dxa"/>
                  <w:gridSpan w:val="4"/>
                  <w:vAlign w:val="center"/>
                </w:tcPr>
                <w:p w14:paraId="4D10ED3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具有所标示的该种（或几种）水果、蔬菜制成的汁液（浆）应有的滋味和气味，或具有与添加成分相符的滋味和气味；无异味</w:t>
                  </w:r>
                </w:p>
              </w:tc>
            </w:tr>
            <w:tr w14:paraId="5538E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5AA36B7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组织状态</w:t>
                  </w:r>
                </w:p>
              </w:tc>
              <w:tc>
                <w:tcPr>
                  <w:tcW w:w="6359" w:type="dxa"/>
                  <w:gridSpan w:val="4"/>
                  <w:vAlign w:val="center"/>
                </w:tcPr>
                <w:p w14:paraId="398579F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无外来杂质</w:t>
                  </w:r>
                </w:p>
              </w:tc>
            </w:tr>
            <w:tr w14:paraId="7C79F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136" w:type="dxa"/>
                  <w:gridSpan w:val="5"/>
                  <w:vAlign w:val="center"/>
                </w:tcPr>
                <w:p w14:paraId="7D65136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理化要求</w:t>
                  </w:r>
                </w:p>
              </w:tc>
            </w:tr>
            <w:tr w14:paraId="72EDD0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213EB16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产品类别</w:t>
                  </w:r>
                </w:p>
              </w:tc>
              <w:tc>
                <w:tcPr>
                  <w:tcW w:w="2056" w:type="dxa"/>
                  <w:vAlign w:val="center"/>
                </w:tcPr>
                <w:p w14:paraId="57AAD1B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项目</w:t>
                  </w:r>
                </w:p>
              </w:tc>
              <w:tc>
                <w:tcPr>
                  <w:tcW w:w="2198" w:type="dxa"/>
                  <w:gridSpan w:val="2"/>
                  <w:vAlign w:val="center"/>
                </w:tcPr>
                <w:p w14:paraId="6A1BD27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指标或要求</w:t>
                  </w:r>
                </w:p>
              </w:tc>
              <w:tc>
                <w:tcPr>
                  <w:tcW w:w="2105" w:type="dxa"/>
                  <w:vAlign w:val="center"/>
                </w:tcPr>
                <w:p w14:paraId="6F65892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备注</w:t>
                  </w:r>
                </w:p>
              </w:tc>
            </w:tr>
            <w:tr w14:paraId="475D4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77" w:type="dxa"/>
                  <w:vMerge w:val="restart"/>
                  <w:vAlign w:val="center"/>
                </w:tcPr>
                <w:p w14:paraId="59C3B63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果蔬汁（浆）</w:t>
                  </w:r>
                </w:p>
              </w:tc>
              <w:tc>
                <w:tcPr>
                  <w:tcW w:w="2056" w:type="dxa"/>
                  <w:vAlign w:val="center"/>
                </w:tcPr>
                <w:p w14:paraId="304E468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果汁（浆）或蔬菜汁（浆）含量（质量分数）/%</w:t>
                  </w:r>
                </w:p>
              </w:tc>
              <w:tc>
                <w:tcPr>
                  <w:tcW w:w="2198" w:type="dxa"/>
                  <w:gridSpan w:val="2"/>
                  <w:vAlign w:val="center"/>
                </w:tcPr>
                <w:p w14:paraId="5DC215D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100</w:t>
                  </w:r>
                </w:p>
              </w:tc>
              <w:tc>
                <w:tcPr>
                  <w:tcW w:w="2105" w:type="dxa"/>
                  <w:vMerge w:val="restart"/>
                  <w:vAlign w:val="center"/>
                </w:tcPr>
                <w:p w14:paraId="131AF21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至少符合一项要求</w:t>
                  </w:r>
                </w:p>
              </w:tc>
            </w:tr>
            <w:tr w14:paraId="36F2FA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14:paraId="3D0CAF6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2056" w:type="dxa"/>
                  <w:vMerge w:val="restart"/>
                  <w:vAlign w:val="center"/>
                </w:tcPr>
                <w:p w14:paraId="70379BF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可溶性固形物含量/%</w:t>
                  </w:r>
                </w:p>
              </w:tc>
              <w:tc>
                <w:tcPr>
                  <w:tcW w:w="1221" w:type="dxa"/>
                  <w:vAlign w:val="center"/>
                </w:tcPr>
                <w:p w14:paraId="7B195FF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苹果</w:t>
                  </w:r>
                </w:p>
              </w:tc>
              <w:tc>
                <w:tcPr>
                  <w:tcW w:w="977" w:type="dxa"/>
                  <w:vAlign w:val="center"/>
                </w:tcPr>
                <w:p w14:paraId="1ECFFA2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10.0</w:t>
                  </w:r>
                </w:p>
              </w:tc>
              <w:tc>
                <w:tcPr>
                  <w:tcW w:w="2105" w:type="dxa"/>
                  <w:vMerge w:val="continue"/>
                  <w:vAlign w:val="center"/>
                </w:tcPr>
                <w:p w14:paraId="3827E01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r>
            <w:tr w14:paraId="7D0E3B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77" w:type="dxa"/>
                  <w:vMerge w:val="continue"/>
                  <w:vAlign w:val="center"/>
                </w:tcPr>
                <w:p w14:paraId="31CB63B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2056" w:type="dxa"/>
                  <w:vMerge w:val="continue"/>
                  <w:vAlign w:val="center"/>
                </w:tcPr>
                <w:p w14:paraId="217BCD1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1221" w:type="dxa"/>
                  <w:vAlign w:val="center"/>
                </w:tcPr>
                <w:p w14:paraId="5F6A887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梨</w:t>
                  </w:r>
                </w:p>
              </w:tc>
              <w:tc>
                <w:tcPr>
                  <w:tcW w:w="977" w:type="dxa"/>
                  <w:vAlign w:val="center"/>
                </w:tcPr>
                <w:p w14:paraId="23E7B4A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10.0</w:t>
                  </w:r>
                </w:p>
              </w:tc>
              <w:tc>
                <w:tcPr>
                  <w:tcW w:w="2105" w:type="dxa"/>
                  <w:vMerge w:val="continue"/>
                  <w:vAlign w:val="center"/>
                </w:tcPr>
                <w:p w14:paraId="6CDEE6F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r>
          </w:tbl>
          <w:p w14:paraId="3CBCC9A2">
            <w:pPr>
              <w:keepNext w:val="0"/>
              <w:keepLines w:val="0"/>
              <w:pageBreakBefore w:val="0"/>
              <w:kinsoku/>
              <w:wordWrap/>
              <w:overflowPunct/>
              <w:topLinePunct w:val="0"/>
              <w:bidi w:val="0"/>
              <w:adjustRightInd w:val="0"/>
              <w:snapToGrid w:val="0"/>
              <w:spacing w:line="360" w:lineRule="auto"/>
              <w:ind w:firstLine="482" w:firstLineChars="200"/>
              <w:rPr>
                <w:rFonts w:hint="default" w:ascii="Times New Roman" w:hAnsi="Times New Roman" w:eastAsia="宋体" w:cs="Times New Roman"/>
                <w:b/>
                <w:bCs/>
                <w:color w:val="auto"/>
                <w:szCs w:val="32"/>
                <w:highlight w:val="none"/>
                <w:lang w:val="en-US" w:eastAsia="zh-CN"/>
              </w:rPr>
            </w:pPr>
            <w:r>
              <w:rPr>
                <w:rFonts w:hint="default" w:ascii="Times New Roman" w:hAnsi="Times New Roman" w:cs="Times New Roman"/>
                <w:b/>
                <w:bCs/>
                <w:color w:val="auto"/>
                <w:szCs w:val="32"/>
                <w:highlight w:val="none"/>
              </w:rPr>
              <w:t>5、</w:t>
            </w:r>
            <w:r>
              <w:rPr>
                <w:rFonts w:hint="default" w:ascii="Times New Roman" w:hAnsi="Times New Roman" w:cs="Times New Roman"/>
                <w:b/>
                <w:bCs/>
                <w:color w:val="auto"/>
                <w:szCs w:val="32"/>
                <w:highlight w:val="none"/>
                <w:lang w:val="en-US" w:eastAsia="zh-CN"/>
              </w:rPr>
              <w:t>主要设备</w:t>
            </w:r>
          </w:p>
          <w:p w14:paraId="0041DE0E">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本项目主要设备见下表。</w:t>
            </w:r>
          </w:p>
          <w:p w14:paraId="57586879">
            <w:pPr>
              <w:keepNext w:val="0"/>
              <w:keepLines w:val="0"/>
              <w:pageBreakBefore w:val="0"/>
              <w:widowControl w:val="0"/>
              <w:kinsoku/>
              <w:wordWrap/>
              <w:overflowPunct/>
              <w:topLinePunct w:val="0"/>
              <w:autoSpaceDE w:val="0"/>
              <w:autoSpaceDN/>
              <w:bidi w:val="0"/>
              <w:adjustRightInd/>
              <w:snapToGrid/>
              <w:spacing w:line="240" w:lineRule="auto"/>
              <w:jc w:val="center"/>
              <w:textAlignment w:val="baseline"/>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color w:val="auto"/>
                <w:highlight w:val="none"/>
                <w:lang w:val="en-US" w:eastAsia="zh-CN"/>
              </w:rPr>
              <w:t>表2-4  项目主要设备清单一览表</w:t>
            </w:r>
          </w:p>
          <w:tbl>
            <w:tblPr>
              <w:tblStyle w:val="31"/>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952"/>
              <w:gridCol w:w="6011"/>
              <w:gridCol w:w="396"/>
              <w:gridCol w:w="520"/>
            </w:tblGrid>
            <w:tr w14:paraId="78553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4E16B2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序号</w:t>
                  </w:r>
                </w:p>
              </w:tc>
              <w:tc>
                <w:tcPr>
                  <w:tcW w:w="569" w:type="pct"/>
                  <w:vAlign w:val="center"/>
                </w:tcPr>
                <w:p w14:paraId="7601923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名称</w:t>
                  </w:r>
                </w:p>
              </w:tc>
              <w:tc>
                <w:tcPr>
                  <w:tcW w:w="3594" w:type="pct"/>
                  <w:vAlign w:val="center"/>
                </w:tcPr>
                <w:p w14:paraId="4181889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规格型号</w:t>
                  </w:r>
                </w:p>
              </w:tc>
              <w:tc>
                <w:tcPr>
                  <w:tcW w:w="237" w:type="pct"/>
                  <w:vAlign w:val="center"/>
                </w:tcPr>
                <w:p w14:paraId="4173DA8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单位</w:t>
                  </w:r>
                </w:p>
              </w:tc>
              <w:tc>
                <w:tcPr>
                  <w:tcW w:w="308" w:type="pct"/>
                  <w:vAlign w:val="center"/>
                </w:tcPr>
                <w:p w14:paraId="72EA7B1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数量</w:t>
                  </w:r>
                </w:p>
              </w:tc>
            </w:tr>
            <w:tr w14:paraId="3F26C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45776BC9">
                  <w:pPr>
                    <w:keepNext w:val="0"/>
                    <w:keepLines w:val="0"/>
                    <w:pageBreakBefore w:val="0"/>
                    <w:widowControl w:val="0"/>
                    <w:kinsoku/>
                    <w:wordWrap/>
                    <w:overflowPunct/>
                    <w:topLinePunct w:val="0"/>
                    <w:autoSpaceDE w:val="0"/>
                    <w:autoSpaceDN/>
                    <w:bidi w:val="0"/>
                    <w:adjustRightInd/>
                    <w:snapToGrid/>
                    <w:spacing w:line="200" w:lineRule="exact"/>
                    <w:jc w:val="left"/>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b/>
                      <w:bCs/>
                      <w:color w:val="auto"/>
                      <w:sz w:val="15"/>
                      <w:szCs w:val="15"/>
                      <w:highlight w:val="none"/>
                      <w:vertAlign w:val="baseline"/>
                      <w:lang w:val="en-US" w:eastAsia="zh-CN"/>
                    </w:rPr>
                    <w:t>果品分选线设备配置表</w:t>
                  </w:r>
                </w:p>
              </w:tc>
            </w:tr>
            <w:tr w14:paraId="0FBD43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072D38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c>
                <w:tcPr>
                  <w:tcW w:w="569" w:type="pct"/>
                  <w:vAlign w:val="center"/>
                </w:tcPr>
                <w:p w14:paraId="61A7857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原料滚筒输送机</w:t>
                  </w:r>
                </w:p>
              </w:tc>
              <w:tc>
                <w:tcPr>
                  <w:tcW w:w="3594" w:type="pct"/>
                  <w:vAlign w:val="center"/>
                </w:tcPr>
                <w:p w14:paraId="2F82B4D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侧板、支腿、连杆采用优质碳钢烤漆配无动力滚筒1米用途：对原果上料框进行输送</w:t>
                  </w:r>
                </w:p>
              </w:tc>
              <w:tc>
                <w:tcPr>
                  <w:tcW w:w="237" w:type="pct"/>
                  <w:vAlign w:val="center"/>
                </w:tcPr>
                <w:p w14:paraId="4367D73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69219FA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8</w:t>
                  </w:r>
                </w:p>
              </w:tc>
            </w:tr>
            <w:tr w14:paraId="3E7B8E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9" w:type="pct"/>
                  <w:vAlign w:val="center"/>
                </w:tcPr>
                <w:p w14:paraId="381F997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c>
                <w:tcPr>
                  <w:tcW w:w="569" w:type="pct"/>
                  <w:vAlign w:val="center"/>
                </w:tcPr>
                <w:p w14:paraId="407AC2C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上料皮带输送机</w:t>
                  </w:r>
                </w:p>
              </w:tc>
              <w:tc>
                <w:tcPr>
                  <w:tcW w:w="3594" w:type="pct"/>
                  <w:vAlign w:val="center"/>
                </w:tcPr>
                <w:p w14:paraId="2E7BC56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机身：优质碳钢烤漆侧板、支腿，镀锌滚筒</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PVC输送皮带（5条）驱动：进口减速电机（0.37</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*4台、0.75</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*1台/380V/50Hz）用途：人工上果输送</w:t>
                  </w:r>
                </w:p>
              </w:tc>
              <w:tc>
                <w:tcPr>
                  <w:tcW w:w="237" w:type="pct"/>
                  <w:vAlign w:val="center"/>
                </w:tcPr>
                <w:p w14:paraId="4FC1A97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49EDB3B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419B7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41878A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3</w:t>
                  </w:r>
                </w:p>
              </w:tc>
              <w:tc>
                <w:tcPr>
                  <w:tcW w:w="569" w:type="pct"/>
                  <w:vAlign w:val="center"/>
                </w:tcPr>
                <w:p w14:paraId="4FB7C16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重量检测单元</w:t>
                  </w:r>
                </w:p>
              </w:tc>
              <w:tc>
                <w:tcPr>
                  <w:tcW w:w="3594" w:type="pct"/>
                  <w:vAlign w:val="center"/>
                </w:tcPr>
                <w:p w14:paraId="2951870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称重支架HBM高精度称重传感器</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2个</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称重控制模块用途：用于水果重量等级分拣</w:t>
                  </w:r>
                </w:p>
              </w:tc>
              <w:tc>
                <w:tcPr>
                  <w:tcW w:w="237" w:type="pct"/>
                  <w:vAlign w:val="center"/>
                </w:tcPr>
                <w:p w14:paraId="09BE28F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16079F8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7BDA2D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794558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4</w:t>
                  </w:r>
                </w:p>
              </w:tc>
              <w:tc>
                <w:tcPr>
                  <w:tcW w:w="569" w:type="pct"/>
                  <w:vAlign w:val="center"/>
                </w:tcPr>
                <w:p w14:paraId="6382C1A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外部品质检测单元</w:t>
                  </w:r>
                </w:p>
              </w:tc>
              <w:tc>
                <w:tcPr>
                  <w:tcW w:w="3594" w:type="pct"/>
                  <w:vAlign w:val="center"/>
                </w:tcPr>
                <w:p w14:paraId="36AF737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相机为500万像素工业相机（3颗）镜头为高分辨率镜头（3颗）高亮度LED频闪光源：用于给外部检测单元打光的高亮频闪LED，寿命10万小时以上；1台光源控制器：用于驱动光源高频屏闪外部检测结构</w:t>
                  </w:r>
                  <w:r>
                    <w:rPr>
                      <w:rFonts w:hint="eastAsia" w:cs="Times New Roman"/>
                      <w:color w:val="auto"/>
                      <w:sz w:val="15"/>
                      <w:szCs w:val="15"/>
                      <w:highlight w:val="none"/>
                      <w:vertAlign w:val="baseline"/>
                      <w:lang w:val="en-US" w:eastAsia="zh-CN"/>
                    </w:rPr>
                    <w:t>框架</w:t>
                  </w:r>
                  <w:r>
                    <w:rPr>
                      <w:rFonts w:hint="default" w:ascii="Times New Roman" w:hAnsi="Times New Roman" w:cs="Times New Roman"/>
                      <w:color w:val="auto"/>
                      <w:sz w:val="15"/>
                      <w:szCs w:val="15"/>
                      <w:highlight w:val="none"/>
                      <w:vertAlign w:val="baseline"/>
                      <w:lang w:val="en-US" w:eastAsia="zh-CN"/>
                    </w:rPr>
                    <w:t>：优质合金钣金箱体（喷涂防锈漆面漆）；内置镀膜遮光板用途：对水果外观进行检测，可分选颜色、形状、大小、瑕疵等</w:t>
                  </w:r>
                </w:p>
              </w:tc>
              <w:tc>
                <w:tcPr>
                  <w:tcW w:w="237" w:type="pct"/>
                  <w:vAlign w:val="center"/>
                </w:tcPr>
                <w:p w14:paraId="1EDF6B8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16A207E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16C85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A2500E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w:t>
                  </w:r>
                </w:p>
              </w:tc>
              <w:tc>
                <w:tcPr>
                  <w:tcW w:w="569" w:type="pct"/>
                  <w:vAlign w:val="center"/>
                </w:tcPr>
                <w:p w14:paraId="1A5A31D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自由式单通道分选线主机--主线</w:t>
                  </w:r>
                </w:p>
              </w:tc>
              <w:tc>
                <w:tcPr>
                  <w:tcW w:w="3594" w:type="pct"/>
                  <w:vAlign w:val="center"/>
                </w:tcPr>
                <w:p w14:paraId="386991F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机架：主机架采用60</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60优质碳钢，表面喷涂防锈漆面漆机架分段组合，标准机型总长约35.38米，实际长度根据用户需求进行组合机架带万向滚轮，便于设备移动，输送面高度750±30可调传动机构：采用进口柔性工程链板驱动：进口减速电机（2.2KW/380V/50Hz,1台</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水果分选专用电磁阀控制装置（16套）用途：对经过检测后的果子进行输送分级</w:t>
                  </w:r>
                </w:p>
              </w:tc>
              <w:tc>
                <w:tcPr>
                  <w:tcW w:w="237" w:type="pct"/>
                  <w:vAlign w:val="center"/>
                </w:tcPr>
                <w:p w14:paraId="374C715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4FBC524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7E14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7B5A84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6</w:t>
                  </w:r>
                </w:p>
              </w:tc>
              <w:tc>
                <w:tcPr>
                  <w:tcW w:w="569" w:type="pct"/>
                  <w:vAlign w:val="center"/>
                </w:tcPr>
                <w:p w14:paraId="46B17CE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自由式单通道分选线主机--果杯回流</w:t>
                  </w:r>
                </w:p>
              </w:tc>
              <w:tc>
                <w:tcPr>
                  <w:tcW w:w="3594" w:type="pct"/>
                  <w:vAlign w:val="center"/>
                </w:tcPr>
                <w:p w14:paraId="07C3C8E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机身：优质合金钣金侧板</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喷涂防锈漆面漆，敷设防磕碰伤缓冲棉</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优质抗静电皮带（2条）机身：优质合金钣金侧板</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喷涂防锈漆面漆，敷设防磕碰伤缓冲棉</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优质抗静电皮带（2条）驱动：进口减速电机（0.37</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/380V/50Hz，1台）用途：将溢流脱离果杯的水果返回</w:t>
                  </w:r>
                </w:p>
              </w:tc>
              <w:tc>
                <w:tcPr>
                  <w:tcW w:w="237" w:type="pct"/>
                  <w:vAlign w:val="center"/>
                </w:tcPr>
                <w:p w14:paraId="42133F7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6C76375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7AE3C7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A09A4B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7</w:t>
                  </w:r>
                </w:p>
              </w:tc>
              <w:tc>
                <w:tcPr>
                  <w:tcW w:w="569" w:type="pct"/>
                  <w:vAlign w:val="center"/>
                </w:tcPr>
                <w:p w14:paraId="143C141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自由式单通道分选线主机--等级出口</w:t>
                  </w:r>
                </w:p>
              </w:tc>
              <w:tc>
                <w:tcPr>
                  <w:tcW w:w="3594" w:type="pct"/>
                  <w:vAlign w:val="center"/>
                </w:tcPr>
                <w:p w14:paraId="76F1799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机身：优质碳钢烤漆侧板、支腿，镀锌滚筒</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PVC输送皮带（1条），含两侧不锈钢包装台板驱动：进口减速电机（0.55</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/380V/50Hz，1台）用途：承接输送包装好的果箱至辊道。</w:t>
                  </w:r>
                </w:p>
              </w:tc>
              <w:tc>
                <w:tcPr>
                  <w:tcW w:w="237" w:type="pct"/>
                  <w:vAlign w:val="center"/>
                </w:tcPr>
                <w:p w14:paraId="2DFB4A4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7D91DFF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6CE5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F958E2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8</w:t>
                  </w:r>
                </w:p>
              </w:tc>
              <w:tc>
                <w:tcPr>
                  <w:tcW w:w="569" w:type="pct"/>
                  <w:vAlign w:val="center"/>
                </w:tcPr>
                <w:p w14:paraId="0693583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空果盘双向汇流输送机</w:t>
                  </w:r>
                </w:p>
              </w:tc>
              <w:tc>
                <w:tcPr>
                  <w:tcW w:w="3594" w:type="pct"/>
                  <w:vAlign w:val="center"/>
                </w:tcPr>
                <w:p w14:paraId="1CEFC9C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机身：优质碳钢烤漆侧板、支腿，镀锌滚筒</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PVC输送皮带（2条）驱动：进口减速电机（2.2KW/380V/50Hz，2台）驱动：进口减速电机（1.5</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/380V/50Hz，3台）用途：将空果盘通过皮带传动汇集排列起来供二次上果用。</w:t>
                  </w:r>
                </w:p>
              </w:tc>
              <w:tc>
                <w:tcPr>
                  <w:tcW w:w="237" w:type="pct"/>
                  <w:vAlign w:val="center"/>
                </w:tcPr>
                <w:p w14:paraId="70D3094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4DFD363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48E26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F7701F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9</w:t>
                  </w:r>
                </w:p>
              </w:tc>
              <w:tc>
                <w:tcPr>
                  <w:tcW w:w="569" w:type="pct"/>
                  <w:vAlign w:val="center"/>
                </w:tcPr>
                <w:p w14:paraId="6D8AE8C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内部品质检测单元</w:t>
                  </w:r>
                </w:p>
              </w:tc>
              <w:tc>
                <w:tcPr>
                  <w:tcW w:w="3594" w:type="pct"/>
                  <w:vAlign w:val="center"/>
                </w:tcPr>
                <w:p w14:paraId="2395848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卤素灯、高灵敏度光谱仪、光学耦合准直镜、红外增透石英光纤、散热风扇该系统为本公司自主研发产品，用于检测水果糖酸度及内部病变用途：对水果内部糖度、水心病、霉心等进行检测分级</w:t>
                  </w:r>
                </w:p>
              </w:tc>
              <w:tc>
                <w:tcPr>
                  <w:tcW w:w="237" w:type="pct"/>
                  <w:vAlign w:val="center"/>
                </w:tcPr>
                <w:p w14:paraId="371B633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5591DC6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20BB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2F5C57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w:t>
                  </w:r>
                </w:p>
              </w:tc>
              <w:tc>
                <w:tcPr>
                  <w:tcW w:w="569" w:type="pct"/>
                  <w:vAlign w:val="center"/>
                </w:tcPr>
                <w:p w14:paraId="3F63E56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多功能包装台</w:t>
                  </w:r>
                </w:p>
              </w:tc>
              <w:tc>
                <w:tcPr>
                  <w:tcW w:w="3594" w:type="pct"/>
                  <w:vAlign w:val="center"/>
                </w:tcPr>
                <w:p w14:paraId="179AEF0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机架：优质型钢焊接喷涂防锈漆面漆，可调蹄脚，便于机架调平移动（高度可调范围0-100mm）优质型钢焊接喷涂防锈漆面漆，敷设防水果磕碰伤的保护层，食品级PU皮带（2条）优质型钢焊接喷涂防锈漆面漆驱动：进口减速电机（0.75</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/380V/50Hz，2台）用途：用于工人对分选好的水果装箱</w:t>
                  </w:r>
                </w:p>
              </w:tc>
              <w:tc>
                <w:tcPr>
                  <w:tcW w:w="237" w:type="pct"/>
                  <w:vAlign w:val="center"/>
                </w:tcPr>
                <w:p w14:paraId="0FA90A9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5904CDF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w:t>
                  </w:r>
                </w:p>
              </w:tc>
            </w:tr>
            <w:tr w14:paraId="2B62C9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0FF7A7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11</w:t>
                  </w:r>
                </w:p>
              </w:tc>
              <w:tc>
                <w:tcPr>
                  <w:tcW w:w="569" w:type="pct"/>
                  <w:vAlign w:val="center"/>
                </w:tcPr>
                <w:p w14:paraId="24A3E04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空箱悬挂输送机</w:t>
                  </w:r>
                </w:p>
              </w:tc>
              <w:tc>
                <w:tcPr>
                  <w:tcW w:w="3594" w:type="pct"/>
                  <w:vAlign w:val="center"/>
                </w:tcPr>
                <w:p w14:paraId="6199BDF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驱动：0-8m/min，电机2.2KW变频轨道、立柱材质优质型钢焊接喷涂防锈漆面漆输送长度：80M吊篮：80个</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长度和吊篮数可根据客户实际需求制定</w:t>
                  </w:r>
                  <w:r>
                    <w:rPr>
                      <w:rFonts w:hint="eastAsia" w:cs="Times New Roman"/>
                      <w:color w:val="auto"/>
                      <w:sz w:val="15"/>
                      <w:szCs w:val="15"/>
                      <w:highlight w:val="none"/>
                      <w:vertAlign w:val="baseline"/>
                      <w:lang w:val="en-US" w:eastAsia="zh-CN"/>
                    </w:rPr>
                    <w:t>）</w:t>
                  </w:r>
                </w:p>
              </w:tc>
              <w:tc>
                <w:tcPr>
                  <w:tcW w:w="237" w:type="pct"/>
                  <w:vAlign w:val="center"/>
                </w:tcPr>
                <w:p w14:paraId="74A00E2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2399FA6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7ADB1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11B6E0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12</w:t>
                  </w:r>
                </w:p>
              </w:tc>
              <w:tc>
                <w:tcPr>
                  <w:tcW w:w="569" w:type="pct"/>
                  <w:vAlign w:val="center"/>
                </w:tcPr>
                <w:p w14:paraId="64ADFCA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空压机、过滤器、储气罐</w:t>
                  </w:r>
                </w:p>
              </w:tc>
              <w:tc>
                <w:tcPr>
                  <w:tcW w:w="3594" w:type="pct"/>
                  <w:vAlign w:val="center"/>
                </w:tcPr>
                <w:p w14:paraId="161BA19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空压机0.9-8（11.5kw）</w:t>
                  </w:r>
                </w:p>
              </w:tc>
              <w:tc>
                <w:tcPr>
                  <w:tcW w:w="237" w:type="pct"/>
                  <w:vAlign w:val="center"/>
                </w:tcPr>
                <w:p w14:paraId="556E788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2D0F5D8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7235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3CC72D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13</w:t>
                  </w:r>
                </w:p>
              </w:tc>
              <w:tc>
                <w:tcPr>
                  <w:tcW w:w="569" w:type="pct"/>
                  <w:vAlign w:val="center"/>
                </w:tcPr>
                <w:p w14:paraId="66EDF29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电气控制系统</w:t>
                  </w:r>
                </w:p>
              </w:tc>
              <w:tc>
                <w:tcPr>
                  <w:tcW w:w="3594" w:type="pct"/>
                  <w:vAlign w:val="center"/>
                </w:tcPr>
                <w:p w14:paraId="5184855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包含：系统电气控制、设备运行软件、网络集成前处理，内部品质，外部品质，剔除系统，主线+等级输出系统，包装系统，设备线路及桥架等。软件系统分为内部品质检测，外部品质检测，总控系统；内部品质工控机采集光谱仪数据分析得到苹果糖度信息，外部品质得到苹果表面瑕疵信息，通过总控系统整合重量后，根据分选等级指标进行分级</w:t>
                  </w:r>
                </w:p>
              </w:tc>
              <w:tc>
                <w:tcPr>
                  <w:tcW w:w="237" w:type="pct"/>
                  <w:vAlign w:val="center"/>
                </w:tcPr>
                <w:p w14:paraId="6BBB8D2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1C07993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5459E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BA185C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14</w:t>
                  </w:r>
                </w:p>
              </w:tc>
              <w:tc>
                <w:tcPr>
                  <w:tcW w:w="569" w:type="pct"/>
                  <w:vAlign w:val="center"/>
                </w:tcPr>
                <w:p w14:paraId="3FECD47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中控室平台</w:t>
                  </w:r>
                </w:p>
              </w:tc>
              <w:tc>
                <w:tcPr>
                  <w:tcW w:w="3594" w:type="pct"/>
                  <w:vAlign w:val="center"/>
                </w:tcPr>
                <w:p w14:paraId="2294D12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优质碳钢烤漆材质制作用途：整机设备的操作控制区域，放置中央控制单元和操作电脑的位置，</w:t>
                  </w:r>
                  <w:r>
                    <w:rPr>
                      <w:rFonts w:hint="eastAsia" w:cs="Times New Roman"/>
                      <w:color w:val="auto"/>
                      <w:sz w:val="15"/>
                      <w:szCs w:val="15"/>
                      <w:highlight w:val="none"/>
                      <w:vertAlign w:val="baseline"/>
                      <w:lang w:val="en-US" w:eastAsia="zh-CN"/>
                    </w:rPr>
                    <w:t>便</w:t>
                  </w:r>
                  <w:r>
                    <w:rPr>
                      <w:rFonts w:hint="default" w:ascii="Times New Roman" w:hAnsi="Times New Roman" w:cs="Times New Roman"/>
                      <w:color w:val="auto"/>
                      <w:sz w:val="15"/>
                      <w:szCs w:val="15"/>
                      <w:highlight w:val="none"/>
                      <w:vertAlign w:val="baseline"/>
                      <w:lang w:val="en-US" w:eastAsia="zh-CN"/>
                    </w:rPr>
                    <w:t>于人工巡检和观察整条设备运行状况，在此位置可选配数字大屏机显示</w:t>
                  </w:r>
                </w:p>
              </w:tc>
              <w:tc>
                <w:tcPr>
                  <w:tcW w:w="237" w:type="pct"/>
                  <w:vAlign w:val="center"/>
                </w:tcPr>
                <w:p w14:paraId="3B60E55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22C263E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E97B5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9A7C7A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15</w:t>
                  </w:r>
                </w:p>
              </w:tc>
              <w:tc>
                <w:tcPr>
                  <w:tcW w:w="569" w:type="pct"/>
                  <w:vAlign w:val="center"/>
                </w:tcPr>
                <w:p w14:paraId="6E53164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成品滚筒输送机</w:t>
                  </w:r>
                </w:p>
              </w:tc>
              <w:tc>
                <w:tcPr>
                  <w:tcW w:w="3594" w:type="pct"/>
                  <w:vAlign w:val="center"/>
                </w:tcPr>
                <w:p w14:paraId="1EDCCCB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侧板、支腿、连杆采用优质碳钢烤漆配无动力滚筒3米</w:t>
                  </w:r>
                </w:p>
                <w:p w14:paraId="2F937E1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用途：对原果上料框进行输送</w:t>
                  </w:r>
                </w:p>
              </w:tc>
              <w:tc>
                <w:tcPr>
                  <w:tcW w:w="237" w:type="pct"/>
                  <w:vAlign w:val="center"/>
                </w:tcPr>
                <w:p w14:paraId="77CF783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1419675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w:t>
                  </w:r>
                </w:p>
              </w:tc>
            </w:tr>
            <w:tr w14:paraId="1AB4B6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0BE40DB1">
                  <w:pPr>
                    <w:keepNext w:val="0"/>
                    <w:keepLines w:val="0"/>
                    <w:pageBreakBefore w:val="0"/>
                    <w:widowControl w:val="0"/>
                    <w:kinsoku/>
                    <w:wordWrap/>
                    <w:overflowPunct/>
                    <w:topLinePunct w:val="0"/>
                    <w:autoSpaceDE w:val="0"/>
                    <w:autoSpaceDN/>
                    <w:bidi w:val="0"/>
                    <w:adjustRightInd/>
                    <w:snapToGrid/>
                    <w:spacing w:line="200" w:lineRule="exact"/>
                    <w:jc w:val="left"/>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b/>
                      <w:bCs/>
                      <w:color w:val="auto"/>
                      <w:sz w:val="15"/>
                      <w:szCs w:val="15"/>
                      <w:highlight w:val="none"/>
                      <w:vertAlign w:val="baseline"/>
                      <w:lang w:val="en-US" w:eastAsia="zh-CN"/>
                    </w:rPr>
                    <w:t>果品NFC汁生产线设备配置表</w:t>
                  </w:r>
                </w:p>
              </w:tc>
            </w:tr>
            <w:tr w14:paraId="4786C0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4B99007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b/>
                      <w:bCs/>
                      <w:color w:val="auto"/>
                      <w:sz w:val="15"/>
                      <w:szCs w:val="15"/>
                      <w:highlight w:val="none"/>
                      <w:vertAlign w:val="baseline"/>
                      <w:lang w:val="en-US" w:eastAsia="zh-CN"/>
                    </w:rPr>
                  </w:pPr>
                  <w:r>
                    <w:rPr>
                      <w:rFonts w:hint="default" w:ascii="Times New Roman" w:hAnsi="Times New Roman" w:cs="Times New Roman"/>
                      <w:b/>
                      <w:bCs/>
                      <w:color w:val="auto"/>
                      <w:sz w:val="15"/>
                      <w:szCs w:val="15"/>
                      <w:highlight w:val="none"/>
                      <w:vertAlign w:val="baseline"/>
                      <w:lang w:val="en-US" w:eastAsia="zh-CN"/>
                    </w:rPr>
                    <w:t>R：预处理工段</w:t>
                  </w:r>
                </w:p>
              </w:tc>
            </w:tr>
            <w:tr w14:paraId="2D7E9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A05BA7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R01</w:t>
                  </w:r>
                </w:p>
              </w:tc>
              <w:tc>
                <w:tcPr>
                  <w:tcW w:w="569" w:type="pct"/>
                  <w:vAlign w:val="center"/>
                </w:tcPr>
                <w:p w14:paraId="256BE33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葡萄上料提升机</w:t>
                  </w:r>
                </w:p>
              </w:tc>
              <w:tc>
                <w:tcPr>
                  <w:tcW w:w="3594" w:type="pct"/>
                  <w:vAlign w:val="center"/>
                </w:tcPr>
                <w:p w14:paraId="40E658F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1.机架采用304材质制作，板厚2.0mm；2.2Cr13材质主、从动轴；3.采用刮板输送结构；4.标准带座轴承，国产知名品牌变频减速电机</w:t>
                  </w:r>
                </w:p>
              </w:tc>
              <w:tc>
                <w:tcPr>
                  <w:tcW w:w="237" w:type="pct"/>
                  <w:vAlign w:val="center"/>
                </w:tcPr>
                <w:p w14:paraId="6EC23BB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484A395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3736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6A6F49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R02</w:t>
                  </w:r>
                </w:p>
              </w:tc>
              <w:tc>
                <w:tcPr>
                  <w:tcW w:w="569" w:type="pct"/>
                  <w:vAlign w:val="center"/>
                </w:tcPr>
                <w:p w14:paraId="55675CF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葡萄去梗机</w:t>
                  </w:r>
                </w:p>
              </w:tc>
              <w:tc>
                <w:tcPr>
                  <w:tcW w:w="3594" w:type="pct"/>
                  <w:vAlign w:val="center"/>
                </w:tcPr>
                <w:p w14:paraId="2469053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1.机架采用304材质；2.进料螺旋推进装置，内部柔性击打去梗机构；3.内侧带有加强型筛网，筛网孔径：25~35mm；4.通力或同等品牌变频减速电机，功率7.5</w:t>
                  </w:r>
                  <w:r>
                    <w:rPr>
                      <w:rFonts w:hint="eastAsia" w:cs="Times New Roman"/>
                      <w:color w:val="auto"/>
                      <w:sz w:val="15"/>
                      <w:szCs w:val="15"/>
                      <w:highlight w:val="none"/>
                      <w:vertAlign w:val="baseline"/>
                      <w:lang w:val="en-US" w:eastAsia="zh-CN"/>
                    </w:rPr>
                    <w:t>kW</w:t>
                  </w:r>
                </w:p>
              </w:tc>
              <w:tc>
                <w:tcPr>
                  <w:tcW w:w="237" w:type="pct"/>
                  <w:vAlign w:val="center"/>
                </w:tcPr>
                <w:p w14:paraId="28C60AA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7CC269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0C5292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5AF433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R03</w:t>
                  </w:r>
                </w:p>
              </w:tc>
              <w:tc>
                <w:tcPr>
                  <w:tcW w:w="569" w:type="pct"/>
                  <w:vAlign w:val="center"/>
                </w:tcPr>
                <w:p w14:paraId="617C186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葡萄果收集输送机</w:t>
                  </w:r>
                </w:p>
              </w:tc>
              <w:tc>
                <w:tcPr>
                  <w:tcW w:w="3594" w:type="pct"/>
                  <w:vAlign w:val="center"/>
                </w:tcPr>
                <w:p w14:paraId="3F3E4EF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1.侧板采用304材质；2.主、从动辊表面覆胶处理；3.快拆式结构设计；4.食品级皮带；5.底部带有积水盘；6.国产品牌减速电机，功率1.1</w:t>
                  </w:r>
                  <w:r>
                    <w:rPr>
                      <w:rFonts w:hint="eastAsia" w:cs="Times New Roman"/>
                      <w:color w:val="auto"/>
                      <w:sz w:val="15"/>
                      <w:szCs w:val="15"/>
                      <w:highlight w:val="none"/>
                      <w:vertAlign w:val="baseline"/>
                      <w:lang w:val="en-US" w:eastAsia="zh-CN"/>
                    </w:rPr>
                    <w:t>kW</w:t>
                  </w:r>
                </w:p>
              </w:tc>
              <w:tc>
                <w:tcPr>
                  <w:tcW w:w="237" w:type="pct"/>
                  <w:vAlign w:val="center"/>
                </w:tcPr>
                <w:p w14:paraId="440D204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24C5409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C5DF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888568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R04</w:t>
                  </w:r>
                </w:p>
              </w:tc>
              <w:tc>
                <w:tcPr>
                  <w:tcW w:w="569" w:type="pct"/>
                  <w:vAlign w:val="center"/>
                </w:tcPr>
                <w:p w14:paraId="32D1C1E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控制柜</w:t>
                  </w:r>
                </w:p>
              </w:tc>
              <w:tc>
                <w:tcPr>
                  <w:tcW w:w="3594" w:type="pct"/>
                  <w:vAlign w:val="center"/>
                </w:tcPr>
                <w:p w14:paraId="4D65F76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1.电柜采用304材质；2.变频器采用丹佛斯品牌；3.低压元器件采用施耐德品牌</w:t>
                  </w:r>
                </w:p>
              </w:tc>
              <w:tc>
                <w:tcPr>
                  <w:tcW w:w="237" w:type="pct"/>
                  <w:vAlign w:val="center"/>
                </w:tcPr>
                <w:p w14:paraId="2D209D8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4EF48DB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68FFA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59E475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A01</w:t>
                  </w:r>
                </w:p>
              </w:tc>
              <w:tc>
                <w:tcPr>
                  <w:tcW w:w="569" w:type="pct"/>
                  <w:vAlign w:val="center"/>
                </w:tcPr>
                <w:p w14:paraId="66E6E44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大筐液压翻筐机</w:t>
                  </w:r>
                </w:p>
              </w:tc>
              <w:tc>
                <w:tcPr>
                  <w:tcW w:w="3594" w:type="pct"/>
                  <w:vAlign w:val="center"/>
                </w:tcPr>
                <w:p w14:paraId="424647B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1.侧板采用304材质制作，表面喷砂处理；2.采用不锈钢304材质翻筐链条；3.导向管采用304材质，带有可调装置；4.国产品牌减速电机，功率2.2KW</w:t>
                  </w:r>
                </w:p>
              </w:tc>
              <w:tc>
                <w:tcPr>
                  <w:tcW w:w="237" w:type="pct"/>
                  <w:vAlign w:val="center"/>
                </w:tcPr>
                <w:p w14:paraId="6EF76DE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961252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859E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BD5A9D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A02</w:t>
                  </w:r>
                </w:p>
              </w:tc>
              <w:tc>
                <w:tcPr>
                  <w:tcW w:w="569" w:type="pct"/>
                  <w:vAlign w:val="center"/>
                </w:tcPr>
                <w:p w14:paraId="54AE274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卸果池</w:t>
                  </w:r>
                </w:p>
              </w:tc>
              <w:tc>
                <w:tcPr>
                  <w:tcW w:w="3594" w:type="pct"/>
                  <w:vAlign w:val="center"/>
                </w:tcPr>
                <w:p w14:paraId="13DB492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1.不锈钢304材质，厚度2.0mm；2.带有循环水泵，功率2.2kW</w:t>
                  </w:r>
                </w:p>
              </w:tc>
              <w:tc>
                <w:tcPr>
                  <w:tcW w:w="237" w:type="pct"/>
                  <w:vAlign w:val="center"/>
                </w:tcPr>
                <w:p w14:paraId="6F4628E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1914023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786A06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474401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A03</w:t>
                  </w:r>
                </w:p>
              </w:tc>
              <w:tc>
                <w:tcPr>
                  <w:tcW w:w="569" w:type="pct"/>
                  <w:vAlign w:val="center"/>
                </w:tcPr>
                <w:p w14:paraId="43FCF0F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上料提升机</w:t>
                  </w:r>
                </w:p>
              </w:tc>
              <w:tc>
                <w:tcPr>
                  <w:tcW w:w="3594" w:type="pct"/>
                  <w:vAlign w:val="center"/>
                </w:tcPr>
                <w:p w14:paraId="3F2F47C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1.机架采用304材质制作，板厚2.0mm；2.2Cr13材质主、从动轴；3.采用刮板输送结构；4.标准带座轴承，国产知名品牌变频减速电机</w:t>
                  </w:r>
                </w:p>
              </w:tc>
              <w:tc>
                <w:tcPr>
                  <w:tcW w:w="237" w:type="pct"/>
                  <w:vAlign w:val="center"/>
                </w:tcPr>
                <w:p w14:paraId="6145798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406E944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02B843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41563D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A04</w:t>
                  </w:r>
                </w:p>
              </w:tc>
              <w:tc>
                <w:tcPr>
                  <w:tcW w:w="569" w:type="pct"/>
                  <w:vAlign w:val="center"/>
                </w:tcPr>
                <w:p w14:paraId="6873434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拣选输送机</w:t>
                  </w:r>
                </w:p>
              </w:tc>
              <w:tc>
                <w:tcPr>
                  <w:tcW w:w="3594" w:type="pct"/>
                  <w:vAlign w:val="center"/>
                </w:tcPr>
                <w:p w14:paraId="16075F4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1.机架采用304材质制作，板厚2.0mm；2.2Cr13材质主、从动轴；3.采用食品级PVC网带输送结构，配套拣选照明灯组；4.配套不锈钢拣选平台；5.标准带座轴承，国产知名品牌变频减速电机</w:t>
                  </w:r>
                </w:p>
              </w:tc>
              <w:tc>
                <w:tcPr>
                  <w:tcW w:w="237" w:type="pct"/>
                  <w:vAlign w:val="center"/>
                </w:tcPr>
                <w:p w14:paraId="106214D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DF846E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5177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restart"/>
                  <w:vAlign w:val="center"/>
                </w:tcPr>
                <w:p w14:paraId="3124A90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A05</w:t>
                  </w:r>
                </w:p>
              </w:tc>
              <w:tc>
                <w:tcPr>
                  <w:tcW w:w="569" w:type="pct"/>
                  <w:vAlign w:val="center"/>
                </w:tcPr>
                <w:p w14:paraId="4C47D8F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eastAsia" w:cs="Times New Roman"/>
                      <w:color w:val="auto"/>
                      <w:sz w:val="15"/>
                      <w:szCs w:val="15"/>
                      <w:highlight w:val="none"/>
                      <w:vertAlign w:val="baseline"/>
                      <w:lang w:val="en-US" w:eastAsia="zh-CN"/>
                    </w:rPr>
                    <w:t>一级</w:t>
                  </w:r>
                  <w:r>
                    <w:rPr>
                      <w:rFonts w:hint="default" w:ascii="Times New Roman" w:hAnsi="Times New Roman" w:cs="Times New Roman"/>
                      <w:color w:val="auto"/>
                      <w:sz w:val="15"/>
                      <w:szCs w:val="15"/>
                      <w:highlight w:val="none"/>
                      <w:vertAlign w:val="baseline"/>
                      <w:lang w:val="en-US" w:eastAsia="zh-CN"/>
                    </w:rPr>
                    <w:t>鼓泡清洗机（含提升）</w:t>
                  </w:r>
                </w:p>
              </w:tc>
              <w:tc>
                <w:tcPr>
                  <w:tcW w:w="3594" w:type="pct"/>
                  <w:vAlign w:val="center"/>
                </w:tcPr>
                <w:p w14:paraId="23CC44F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1.槽体采用SUS304材质，板厚2.0mm；2.循环泵采用管道式卫生泵；3.配有旋涡气泵；4.配有单独过滤装置，过滤装置配有双层过滤网；5.槽体两侧配有清杂人孔，人孔孔径300mm</w:t>
                  </w:r>
                </w:p>
              </w:tc>
              <w:tc>
                <w:tcPr>
                  <w:tcW w:w="237" w:type="pct"/>
                  <w:vAlign w:val="center"/>
                </w:tcPr>
                <w:p w14:paraId="0D1D341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31141C8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0F10F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continue"/>
                  <w:vAlign w:val="center"/>
                </w:tcPr>
                <w:p w14:paraId="410D65C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569" w:type="pct"/>
                  <w:vAlign w:val="center"/>
                </w:tcPr>
                <w:p w14:paraId="28261C2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消毒剂添加装置</w:t>
                  </w:r>
                </w:p>
              </w:tc>
              <w:tc>
                <w:tcPr>
                  <w:tcW w:w="3594" w:type="pct"/>
                  <w:vAlign w:val="center"/>
                </w:tcPr>
                <w:p w14:paraId="4740BF6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1.罐体容积200；2.罐体材质为PE；3.配有计量泵</w:t>
                  </w:r>
                </w:p>
              </w:tc>
              <w:tc>
                <w:tcPr>
                  <w:tcW w:w="237" w:type="pct"/>
                  <w:vAlign w:val="center"/>
                </w:tcPr>
                <w:p w14:paraId="6FEC0D8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48159CE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08C37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11AC58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A06</w:t>
                  </w:r>
                </w:p>
              </w:tc>
              <w:tc>
                <w:tcPr>
                  <w:tcW w:w="569" w:type="pct"/>
                  <w:vAlign w:val="center"/>
                </w:tcPr>
                <w:p w14:paraId="306C696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双层清洗机</w:t>
                  </w:r>
                </w:p>
              </w:tc>
              <w:tc>
                <w:tcPr>
                  <w:tcW w:w="3594" w:type="pct"/>
                  <w:vAlign w:val="center"/>
                </w:tcPr>
                <w:p w14:paraId="567A06C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双层结构，上层毛刷清洗，下层网带清洗；2.机架采用304材质制作而成，表面拉丝处理；3.带有手动排空装置，采用不锈钢304链条；4.配有循环水喷淋过滤及降级利用喷淋，循环水泵采用无堵塞排污泵，单独过滤装置，过滤装置配有双层过滤网；5.采用带座轴承，轴承座采用304材质；6.通力品牌减速电机，功率3.0Kw，变频调速，带有防水护罩与接油盘</w:t>
                  </w:r>
                </w:p>
              </w:tc>
              <w:tc>
                <w:tcPr>
                  <w:tcW w:w="237" w:type="pct"/>
                  <w:vAlign w:val="center"/>
                </w:tcPr>
                <w:p w14:paraId="2A69DBF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D6DF60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056C6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A72DA3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A07</w:t>
                  </w:r>
                </w:p>
              </w:tc>
              <w:tc>
                <w:tcPr>
                  <w:tcW w:w="569" w:type="pct"/>
                  <w:vAlign w:val="center"/>
                </w:tcPr>
                <w:p w14:paraId="4E99D40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二级鼓泡清洗机（含提升）</w:t>
                  </w:r>
                </w:p>
              </w:tc>
              <w:tc>
                <w:tcPr>
                  <w:tcW w:w="3594" w:type="pct"/>
                  <w:vAlign w:val="center"/>
                </w:tcPr>
                <w:p w14:paraId="14074D1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1.槽体采用SUS304材质，板厚2.0mm；2.循环泵采用管道式卫生泵；3.配有旋涡气泵；4.配有单独过滤装置，过滤装置配有双层过滤网；5.槽体两侧配有清杂人孔，人孔孔径300mm</w:t>
                  </w:r>
                </w:p>
              </w:tc>
              <w:tc>
                <w:tcPr>
                  <w:tcW w:w="237" w:type="pct"/>
                  <w:vAlign w:val="center"/>
                </w:tcPr>
                <w:p w14:paraId="4044E38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343CF5F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C563D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AC5321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A08</w:t>
                  </w:r>
                </w:p>
              </w:tc>
              <w:tc>
                <w:tcPr>
                  <w:tcW w:w="569" w:type="pct"/>
                  <w:vAlign w:val="center"/>
                </w:tcPr>
                <w:p w14:paraId="0F24734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网带去水机</w:t>
                  </w:r>
                </w:p>
              </w:tc>
              <w:tc>
                <w:tcPr>
                  <w:tcW w:w="3594" w:type="pct"/>
                  <w:vAlign w:val="center"/>
                </w:tcPr>
                <w:p w14:paraId="66AA8F6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1.机架采用304材质制作，板厚2.0mm；2.2Cr13材质、从动轴；3.采用聚酯网带输送形式；4.配套不锈钢拣选平台；5.标准带座轴承，国产知名品牌变频减速电机</w:t>
                  </w:r>
                </w:p>
              </w:tc>
              <w:tc>
                <w:tcPr>
                  <w:tcW w:w="237" w:type="pct"/>
                  <w:vAlign w:val="center"/>
                </w:tcPr>
                <w:p w14:paraId="5DBE6C8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2618245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679B8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72D598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A09</w:t>
                  </w:r>
                </w:p>
              </w:tc>
              <w:tc>
                <w:tcPr>
                  <w:tcW w:w="569" w:type="pct"/>
                  <w:vAlign w:val="center"/>
                </w:tcPr>
                <w:p w14:paraId="0DCAF73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二级刮板提升机（含去水）</w:t>
                  </w:r>
                </w:p>
              </w:tc>
              <w:tc>
                <w:tcPr>
                  <w:tcW w:w="3594" w:type="pct"/>
                  <w:vAlign w:val="center"/>
                </w:tcPr>
                <w:p w14:paraId="16A0A56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1.机架采用304材质制作，板厚2.0mm；2.2Cr13材质、从动轴；3.采用刮板输送结构；4.标准带座轴承，国产知名品牌变频减速电机，电机功率：2.2KW；5.配2台0.55</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沥干风机</w:t>
                  </w:r>
                </w:p>
              </w:tc>
              <w:tc>
                <w:tcPr>
                  <w:tcW w:w="237" w:type="pct"/>
                  <w:vAlign w:val="center"/>
                </w:tcPr>
                <w:p w14:paraId="08D486B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619F230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2F34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restart"/>
                  <w:vAlign w:val="center"/>
                </w:tcPr>
                <w:p w14:paraId="25E1AC6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A10</w:t>
                  </w:r>
                </w:p>
              </w:tc>
              <w:tc>
                <w:tcPr>
                  <w:tcW w:w="569" w:type="pct"/>
                  <w:vAlign w:val="center"/>
                </w:tcPr>
                <w:p w14:paraId="11DCE3D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A段控制柜</w:t>
                  </w:r>
                </w:p>
              </w:tc>
              <w:tc>
                <w:tcPr>
                  <w:tcW w:w="3594" w:type="pct"/>
                  <w:vAlign w:val="center"/>
                </w:tcPr>
                <w:p w14:paraId="037C2E6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电气柜：仿威图，304材质，门板厚度2.0，柜体1.5，配有散热系统，照明系统；2.PLC：西门子系列；3.触摸屏：MCGS品牌；4.变频器：使用西门子、ABB或丹弗斯品牌，总线设置频率，电流监控；5.低压元器件：施耐德，配有过载反馈；6.报警灯：配有三色，根据不同报警进行频闪提示；7.预留PROFINET接口（预留一个工业交换机便于扩展集成），便于系统集成</w:t>
                  </w:r>
                </w:p>
              </w:tc>
              <w:tc>
                <w:tcPr>
                  <w:tcW w:w="237" w:type="pct"/>
                  <w:vAlign w:val="center"/>
                </w:tcPr>
                <w:p w14:paraId="4E81B51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2451617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593DE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continue"/>
                  <w:vAlign w:val="center"/>
                </w:tcPr>
                <w:p w14:paraId="393A8EB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569" w:type="pct"/>
                  <w:vAlign w:val="center"/>
                </w:tcPr>
                <w:p w14:paraId="5AE9F7D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A段控制软件</w:t>
                  </w:r>
                </w:p>
              </w:tc>
              <w:tc>
                <w:tcPr>
                  <w:tcW w:w="3594" w:type="pct"/>
                  <w:vAlign w:val="center"/>
                </w:tcPr>
                <w:p w14:paraId="192C1E6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基于A段的工艺逻辑、控制要求定制出的人机操作界面的操作控制程序</w:t>
                  </w:r>
                </w:p>
              </w:tc>
              <w:tc>
                <w:tcPr>
                  <w:tcW w:w="237" w:type="pct"/>
                  <w:vAlign w:val="center"/>
                </w:tcPr>
                <w:p w14:paraId="3B970D2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D71E46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B407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2FE984C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B：榨汁打浆分离工段</w:t>
                  </w:r>
                </w:p>
              </w:tc>
            </w:tr>
            <w:tr w14:paraId="06FCB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7CA2DB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B01</w:t>
                  </w:r>
                </w:p>
              </w:tc>
              <w:tc>
                <w:tcPr>
                  <w:tcW w:w="569" w:type="pct"/>
                  <w:vAlign w:val="center"/>
                </w:tcPr>
                <w:p w14:paraId="34E043B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锤式破碎机</w:t>
                  </w:r>
                </w:p>
              </w:tc>
              <w:tc>
                <w:tcPr>
                  <w:tcW w:w="3594" w:type="pct"/>
                  <w:vAlign w:val="center"/>
                </w:tcPr>
                <w:p w14:paraId="33C5A69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1.主机采用SUS304材质制作；2.主轴采用高精度动平衡检测，运转更平稳；耐磨锤片，坚固耐用；3.操作门开启方便，且设有安全保护开关，密封性好，不漏料；4.贝德或同等品牌电机</w:t>
                  </w:r>
                </w:p>
              </w:tc>
              <w:tc>
                <w:tcPr>
                  <w:tcW w:w="237" w:type="pct"/>
                  <w:vAlign w:val="center"/>
                </w:tcPr>
                <w:p w14:paraId="5FA8D77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499A74D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61DAE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restart"/>
                  <w:vAlign w:val="center"/>
                </w:tcPr>
                <w:p w14:paraId="408D1C4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B02</w:t>
                  </w:r>
                </w:p>
              </w:tc>
              <w:tc>
                <w:tcPr>
                  <w:tcW w:w="569" w:type="pct"/>
                  <w:vAlign w:val="center"/>
                </w:tcPr>
                <w:p w14:paraId="297C0BA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果浆缓存罐</w:t>
                  </w:r>
                </w:p>
              </w:tc>
              <w:tc>
                <w:tcPr>
                  <w:tcW w:w="3594" w:type="pct"/>
                  <w:vAlign w:val="center"/>
                </w:tcPr>
                <w:p w14:paraId="4EB5831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1.槽体采用SUS304材质制作，板厚2.5mm，内外抛光至300目；2.单层结构；3.可调支脚</w:t>
                  </w:r>
                </w:p>
              </w:tc>
              <w:tc>
                <w:tcPr>
                  <w:tcW w:w="237" w:type="pct"/>
                  <w:vAlign w:val="center"/>
                </w:tcPr>
                <w:p w14:paraId="429762C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107298E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0E86E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continue"/>
                  <w:vAlign w:val="center"/>
                </w:tcPr>
                <w:p w14:paraId="4BF420D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569" w:type="pct"/>
                  <w:vAlign w:val="center"/>
                </w:tcPr>
                <w:p w14:paraId="249758E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液位检测</w:t>
                  </w:r>
                </w:p>
              </w:tc>
              <w:tc>
                <w:tcPr>
                  <w:tcW w:w="3594" w:type="pct"/>
                  <w:vAlign w:val="center"/>
                </w:tcPr>
                <w:p w14:paraId="5B8B29E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1.电子压力传感器PM1689+EVC811接头；2.不锈钢外壳适用于食品和饮料工业；-0.005...0.1bar，螺纹连接G1、果汁液位检测1m；3.配螺纹连接G1外螺纹接头</w:t>
                  </w:r>
                </w:p>
              </w:tc>
              <w:tc>
                <w:tcPr>
                  <w:tcW w:w="237" w:type="pct"/>
                  <w:vAlign w:val="center"/>
                </w:tcPr>
                <w:p w14:paraId="08642DA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1A592EC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F2F4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FA5153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B03</w:t>
                  </w:r>
                </w:p>
              </w:tc>
              <w:tc>
                <w:tcPr>
                  <w:tcW w:w="569" w:type="pct"/>
                  <w:vAlign w:val="center"/>
                </w:tcPr>
                <w:p w14:paraId="56F4D40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螺杆泵</w:t>
                  </w:r>
                </w:p>
              </w:tc>
              <w:tc>
                <w:tcPr>
                  <w:tcW w:w="3594" w:type="pct"/>
                  <w:vAlign w:val="center"/>
                </w:tcPr>
                <w:p w14:paraId="4414166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流量：5T/h</w:t>
                  </w:r>
                </w:p>
              </w:tc>
              <w:tc>
                <w:tcPr>
                  <w:tcW w:w="237" w:type="pct"/>
                  <w:vAlign w:val="center"/>
                </w:tcPr>
                <w:p w14:paraId="1B8E8ED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8C407D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C8E10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463DD0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B04</w:t>
                  </w:r>
                </w:p>
              </w:tc>
              <w:tc>
                <w:tcPr>
                  <w:tcW w:w="569" w:type="pct"/>
                  <w:vAlign w:val="center"/>
                </w:tcPr>
                <w:p w14:paraId="1097AEC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清洗泵</w:t>
                  </w:r>
                </w:p>
              </w:tc>
              <w:tc>
                <w:tcPr>
                  <w:tcW w:w="3594" w:type="pct"/>
                  <w:vAlign w:val="center"/>
                </w:tcPr>
                <w:p w14:paraId="2BE844D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1.过流材质304；2.流量10T/h；3.扬程24米</w:t>
                  </w:r>
                </w:p>
              </w:tc>
              <w:tc>
                <w:tcPr>
                  <w:tcW w:w="237" w:type="pct"/>
                  <w:vAlign w:val="center"/>
                </w:tcPr>
                <w:p w14:paraId="3395FFD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13C46C0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09FEE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restart"/>
                  <w:vAlign w:val="center"/>
                </w:tcPr>
                <w:p w14:paraId="6505721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B05</w:t>
                  </w:r>
                </w:p>
              </w:tc>
              <w:tc>
                <w:tcPr>
                  <w:tcW w:w="569" w:type="pct"/>
                  <w:vAlign w:val="center"/>
                </w:tcPr>
                <w:p w14:paraId="5FE8F66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Vc添加系统</w:t>
                  </w:r>
                </w:p>
              </w:tc>
              <w:tc>
                <w:tcPr>
                  <w:tcW w:w="3594" w:type="pct"/>
                  <w:vAlign w:val="center"/>
                </w:tcPr>
                <w:p w14:paraId="666DC64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1.罐体材质：304；2.罐体有效容积：200L，顶部进水阀、翻盖式人孔，底部排空阀；3.配套卧式搅拌装置；4.配套计量泵</w:t>
                  </w:r>
                </w:p>
              </w:tc>
              <w:tc>
                <w:tcPr>
                  <w:tcW w:w="237" w:type="pct"/>
                  <w:vAlign w:val="center"/>
                </w:tcPr>
                <w:p w14:paraId="4180E86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3094F8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A15F0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continue"/>
                  <w:vAlign w:val="center"/>
                </w:tcPr>
                <w:p w14:paraId="23AFE633">
                  <w:pPr>
                    <w:keepNext w:val="0"/>
                    <w:keepLines w:val="0"/>
                    <w:pageBreakBefore w:val="0"/>
                    <w:widowControl w:val="0"/>
                    <w:kinsoku/>
                    <w:wordWrap/>
                    <w:overflowPunct/>
                    <w:topLinePunct w:val="0"/>
                    <w:autoSpaceDE w:val="0"/>
                    <w:autoSpaceDN/>
                    <w:bidi w:val="0"/>
                    <w:adjustRightInd/>
                    <w:snapToGrid/>
                    <w:spacing w:line="200" w:lineRule="exact"/>
                    <w:jc w:val="both"/>
                    <w:textAlignment w:val="baseline"/>
                    <w:rPr>
                      <w:rFonts w:hint="default" w:ascii="Times New Roman" w:hAnsi="Times New Roman" w:cs="Times New Roman"/>
                      <w:color w:val="auto"/>
                      <w:sz w:val="15"/>
                      <w:szCs w:val="15"/>
                      <w:highlight w:val="none"/>
                      <w:vertAlign w:val="baseline"/>
                      <w:lang w:val="en-US" w:eastAsia="zh-CN"/>
                    </w:rPr>
                  </w:pPr>
                </w:p>
              </w:tc>
              <w:tc>
                <w:tcPr>
                  <w:tcW w:w="569" w:type="pct"/>
                  <w:vAlign w:val="center"/>
                </w:tcPr>
                <w:p w14:paraId="4C3B276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机械隔膜计量泵</w:t>
                  </w:r>
                </w:p>
              </w:tc>
              <w:tc>
                <w:tcPr>
                  <w:tcW w:w="3594" w:type="pct"/>
                  <w:vAlign w:val="center"/>
                </w:tcPr>
                <w:p w14:paraId="28BA48D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1.流量：50L/H；2.过流材质PVC，进出口PVC内管口硬管插管接口</w:t>
                  </w:r>
                </w:p>
              </w:tc>
              <w:tc>
                <w:tcPr>
                  <w:tcW w:w="237" w:type="pct"/>
                  <w:vAlign w:val="center"/>
                </w:tcPr>
                <w:p w14:paraId="666FC89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16DCBD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F07C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03A40E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B06</w:t>
                  </w:r>
                </w:p>
              </w:tc>
              <w:tc>
                <w:tcPr>
                  <w:tcW w:w="569" w:type="pct"/>
                  <w:vAlign w:val="center"/>
                </w:tcPr>
                <w:p w14:paraId="417D20D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预热器</w:t>
                  </w:r>
                </w:p>
              </w:tc>
              <w:tc>
                <w:tcPr>
                  <w:tcW w:w="3594" w:type="pct"/>
                  <w:vAlign w:val="center"/>
                </w:tcPr>
                <w:p w14:paraId="0A9D09D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1.处理：5m³/h；2.预热温度：75~95℃（可调），30s；3.出料温度≤50℃；4.用热水加热；5.套管式结构；6.包含一组蒸汽阀组</w:t>
                  </w:r>
                </w:p>
              </w:tc>
              <w:tc>
                <w:tcPr>
                  <w:tcW w:w="237" w:type="pct"/>
                  <w:vAlign w:val="center"/>
                </w:tcPr>
                <w:p w14:paraId="140FF5A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EBC19A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DCB20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CD00D1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B07</w:t>
                  </w:r>
                </w:p>
              </w:tc>
              <w:tc>
                <w:tcPr>
                  <w:tcW w:w="569" w:type="pct"/>
                  <w:vAlign w:val="center"/>
                </w:tcPr>
                <w:p w14:paraId="4DA62C5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双道打浆机</w:t>
                  </w:r>
                </w:p>
              </w:tc>
              <w:tc>
                <w:tcPr>
                  <w:tcW w:w="3594" w:type="pct"/>
                  <w:vAlign w:val="center"/>
                </w:tcPr>
                <w:p w14:paraId="4556F0B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1.整机采用304材质制造；2.定制专用筛网；3.设计多组CIP清洗喷头；4.采用中高速双级打浆，一级中速常规打浆、二级高速定制打浆；5.配有华力或贝德或皖南变频电机</w:t>
                  </w:r>
                </w:p>
              </w:tc>
              <w:tc>
                <w:tcPr>
                  <w:tcW w:w="237" w:type="pct"/>
                  <w:vAlign w:val="center"/>
                </w:tcPr>
                <w:p w14:paraId="12D76D4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36CB75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A208C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restart"/>
                  <w:vAlign w:val="center"/>
                </w:tcPr>
                <w:p w14:paraId="75E9A83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B08</w:t>
                  </w:r>
                </w:p>
              </w:tc>
              <w:tc>
                <w:tcPr>
                  <w:tcW w:w="569" w:type="pct"/>
                  <w:vAlign w:val="center"/>
                </w:tcPr>
                <w:p w14:paraId="5FE14BF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果浆暂存罐</w:t>
                  </w:r>
                </w:p>
              </w:tc>
              <w:tc>
                <w:tcPr>
                  <w:tcW w:w="3594" w:type="pct"/>
                  <w:vAlign w:val="center"/>
                </w:tcPr>
                <w:p w14:paraId="4332B9C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1.罐体采用304材质制作而成，板厚2.0mm；2.带有垂直搅拌装置；3.带有清洗人孔；4.带有清洗球、呼吸器</w:t>
                  </w:r>
                </w:p>
              </w:tc>
              <w:tc>
                <w:tcPr>
                  <w:tcW w:w="237" w:type="pct"/>
                  <w:vAlign w:val="center"/>
                </w:tcPr>
                <w:p w14:paraId="06C102F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980764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C7E5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continue"/>
                  <w:vAlign w:val="center"/>
                </w:tcPr>
                <w:p w14:paraId="7BCB003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569" w:type="pct"/>
                  <w:vAlign w:val="center"/>
                </w:tcPr>
                <w:p w14:paraId="7256E7E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液位检测</w:t>
                  </w:r>
                </w:p>
              </w:tc>
              <w:tc>
                <w:tcPr>
                  <w:tcW w:w="3594" w:type="pct"/>
                  <w:vAlign w:val="center"/>
                </w:tcPr>
                <w:p w14:paraId="261F7D2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1.电子压力传感器PM1689+EVC811接头；2.不锈钢外壳适用于食品和饮料工业；-0.005...0.1bar，螺纹连接G1、果汁液位检测1m；3.配螺纹连接G1外螺纹接头</w:t>
                  </w:r>
                </w:p>
              </w:tc>
              <w:tc>
                <w:tcPr>
                  <w:tcW w:w="237" w:type="pct"/>
                  <w:vAlign w:val="center"/>
                </w:tcPr>
                <w:p w14:paraId="5D4D287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F58172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C78E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CD6905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B09</w:t>
                  </w:r>
                </w:p>
              </w:tc>
              <w:tc>
                <w:tcPr>
                  <w:tcW w:w="569" w:type="pct"/>
                  <w:vAlign w:val="center"/>
                </w:tcPr>
                <w:p w14:paraId="1BC2A3C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螺杆泵</w:t>
                  </w:r>
                </w:p>
              </w:tc>
              <w:tc>
                <w:tcPr>
                  <w:tcW w:w="3594" w:type="pct"/>
                  <w:vAlign w:val="center"/>
                </w:tcPr>
                <w:p w14:paraId="0610BF6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流量：5T/h</w:t>
                  </w:r>
                </w:p>
              </w:tc>
              <w:tc>
                <w:tcPr>
                  <w:tcW w:w="237" w:type="pct"/>
                  <w:vAlign w:val="center"/>
                </w:tcPr>
                <w:p w14:paraId="1E5DCE3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5D6A00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AEDF5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AEC69D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B10</w:t>
                  </w:r>
                </w:p>
              </w:tc>
              <w:tc>
                <w:tcPr>
                  <w:tcW w:w="569" w:type="pct"/>
                  <w:vAlign w:val="center"/>
                </w:tcPr>
                <w:p w14:paraId="18AF3D8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清洗泵</w:t>
                  </w:r>
                </w:p>
              </w:tc>
              <w:tc>
                <w:tcPr>
                  <w:tcW w:w="3594" w:type="pct"/>
                  <w:vAlign w:val="center"/>
                </w:tcPr>
                <w:p w14:paraId="57D79D1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1.过流材质304；2.流量10T/h；3.扬程24米</w:t>
                  </w:r>
                </w:p>
              </w:tc>
              <w:tc>
                <w:tcPr>
                  <w:tcW w:w="237" w:type="pct"/>
                  <w:vAlign w:val="center"/>
                </w:tcPr>
                <w:p w14:paraId="265C1F4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FDEB96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FCFA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EBF18A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B11</w:t>
                  </w:r>
                </w:p>
              </w:tc>
              <w:tc>
                <w:tcPr>
                  <w:tcW w:w="569" w:type="pct"/>
                  <w:vAlign w:val="center"/>
                </w:tcPr>
                <w:p w14:paraId="56A40DF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带式榨汁机</w:t>
                  </w:r>
                </w:p>
              </w:tc>
              <w:tc>
                <w:tcPr>
                  <w:tcW w:w="3594" w:type="pct"/>
                  <w:vAlign w:val="center"/>
                </w:tcPr>
                <w:p w14:paraId="5AA90E5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生产能力：3-5T/H（以破碎苹果、梨原料计）；1.主机功率：3kW变频调速；布料电机功率：0.37kW；2.榨带规格：11800×1200mm，宽度1200mm，有效压榨宽度：1000mm；3.榨带运行速度：1.5-5m/min；4.带布料系统，进料果浆厚度≤25mm；5.机架：全不锈钢304，厚度为5mm的圆角矩形管、方管焊接后喷砂处理；6.辊子轴头为锻造件，辊身为经探伤检验合格的不锈钢焊管，每根辊均</w:t>
                  </w:r>
                  <w:r>
                    <w:rPr>
                      <w:rFonts w:hint="eastAsia" w:cs="Times New Roman"/>
                      <w:color w:val="auto"/>
                      <w:sz w:val="15"/>
                      <w:szCs w:val="15"/>
                      <w:highlight w:val="none"/>
                      <w:vertAlign w:val="baseline"/>
                      <w:lang w:val="en-US" w:eastAsia="zh-CN"/>
                    </w:rPr>
                    <w:t>做</w:t>
                  </w:r>
                  <w:r>
                    <w:rPr>
                      <w:rFonts w:hint="default" w:ascii="Times New Roman" w:hAnsi="Times New Roman" w:cs="Times New Roman"/>
                      <w:color w:val="auto"/>
                      <w:sz w:val="15"/>
                      <w:szCs w:val="15"/>
                      <w:highlight w:val="none"/>
                      <w:vertAlign w:val="baseline"/>
                      <w:lang w:val="en-US" w:eastAsia="zh-CN"/>
                    </w:rPr>
                    <w:t>静平衡试验；7.榨带：国产品牌；8.减速电机：国内品牌，IP56，变频调速；9.气囊：进口CONTITECH品牌；10.网带清洗水系统：南方泵业高压泵，流量</w:t>
                  </w:r>
                  <w:bookmarkStart w:id="42" w:name="_GoBack"/>
                  <w:r>
                    <w:rPr>
                      <w:rFonts w:hint="default" w:ascii="Times New Roman" w:hAnsi="Times New Roman" w:cs="Times New Roman"/>
                      <w:color w:val="auto"/>
                      <w:sz w:val="15"/>
                      <w:szCs w:val="15"/>
                      <w:highlight w:val="none"/>
                      <w:vertAlign w:val="baseline"/>
                      <w:lang w:val="en-US" w:eastAsia="zh-CN"/>
                    </w:rPr>
                    <w:t>15m</w:t>
                  </w:r>
                  <w:bookmarkEnd w:id="42"/>
                  <w:r>
                    <w:rPr>
                      <w:rFonts w:hint="default" w:ascii="Times New Roman" w:hAnsi="Times New Roman" w:cs="Times New Roman"/>
                      <w:color w:val="auto"/>
                      <w:sz w:val="15"/>
                      <w:szCs w:val="15"/>
                      <w:highlight w:val="none"/>
                      <w:vertAlign w:val="baseline"/>
                      <w:lang w:val="en-US" w:eastAsia="zh-CN"/>
                    </w:rPr>
                    <w:t>³/h；11.不锈钢曲面筛，不锈钢循环水罐</w:t>
                  </w:r>
                </w:p>
              </w:tc>
              <w:tc>
                <w:tcPr>
                  <w:tcW w:w="237" w:type="pct"/>
                  <w:vAlign w:val="center"/>
                </w:tcPr>
                <w:p w14:paraId="46FB767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D947BC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12210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restart"/>
                  <w:vAlign w:val="center"/>
                </w:tcPr>
                <w:p w14:paraId="0E8D46A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B12</w:t>
                  </w:r>
                </w:p>
              </w:tc>
              <w:tc>
                <w:tcPr>
                  <w:tcW w:w="569" w:type="pct"/>
                  <w:vAlign w:val="center"/>
                </w:tcPr>
                <w:p w14:paraId="3B8234E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果汁暂存罐</w:t>
                  </w:r>
                </w:p>
              </w:tc>
              <w:tc>
                <w:tcPr>
                  <w:tcW w:w="3594" w:type="pct"/>
                  <w:vAlign w:val="center"/>
                </w:tcPr>
                <w:p w14:paraId="4B985DF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1.罐体采用304材质制作而成，板厚2.0mm；2.带有垂直搅拌装置；3.带有清洗人孔；4.带有清洗球、呼吸器</w:t>
                  </w:r>
                </w:p>
              </w:tc>
              <w:tc>
                <w:tcPr>
                  <w:tcW w:w="237" w:type="pct"/>
                  <w:vAlign w:val="center"/>
                </w:tcPr>
                <w:p w14:paraId="4FF1BD1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2224753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D094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continue"/>
                  <w:vAlign w:val="center"/>
                </w:tcPr>
                <w:p w14:paraId="46D50C9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569" w:type="pct"/>
                  <w:vAlign w:val="center"/>
                </w:tcPr>
                <w:p w14:paraId="0B54B68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液位检测</w:t>
                  </w:r>
                </w:p>
              </w:tc>
              <w:tc>
                <w:tcPr>
                  <w:tcW w:w="3594" w:type="pct"/>
                  <w:vAlign w:val="center"/>
                </w:tcPr>
                <w:p w14:paraId="40E773C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1.电子压力传感器PM1689+EVC811接头；2.不锈钢外壳适用于食品和饮料工业；-0.005...0.1bar，螺纹连接G1、果汁液位检测1m；3.配螺纹连接G1外螺纹接头</w:t>
                  </w:r>
                </w:p>
              </w:tc>
              <w:tc>
                <w:tcPr>
                  <w:tcW w:w="237" w:type="pct"/>
                  <w:vAlign w:val="center"/>
                </w:tcPr>
                <w:p w14:paraId="0E37402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1B68B8B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7236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DF9C82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B13</w:t>
                  </w:r>
                </w:p>
              </w:tc>
              <w:tc>
                <w:tcPr>
                  <w:tcW w:w="569" w:type="pct"/>
                  <w:vAlign w:val="center"/>
                </w:tcPr>
                <w:p w14:paraId="73A8479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果汁泵</w:t>
                  </w:r>
                </w:p>
              </w:tc>
              <w:tc>
                <w:tcPr>
                  <w:tcW w:w="3594" w:type="pct"/>
                  <w:vAlign w:val="center"/>
                </w:tcPr>
                <w:p w14:paraId="40931E8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流量：5T/h</w:t>
                  </w:r>
                </w:p>
              </w:tc>
              <w:tc>
                <w:tcPr>
                  <w:tcW w:w="237" w:type="pct"/>
                  <w:vAlign w:val="center"/>
                </w:tcPr>
                <w:p w14:paraId="68BEEC8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E7B72F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84863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048CD0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B14</w:t>
                  </w:r>
                </w:p>
              </w:tc>
              <w:tc>
                <w:tcPr>
                  <w:tcW w:w="569" w:type="pct"/>
                  <w:vAlign w:val="center"/>
                </w:tcPr>
                <w:p w14:paraId="6E8349C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排渣螺旋</w:t>
                  </w:r>
                </w:p>
              </w:tc>
              <w:tc>
                <w:tcPr>
                  <w:tcW w:w="3594" w:type="pct"/>
                  <w:vAlign w:val="center"/>
                </w:tcPr>
                <w:p w14:paraId="5AA9129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1.壳体材质304材质；2.螺旋直径250mm；3.旋压式螺旋叶片；4.国产品牌减速电机</w:t>
                  </w:r>
                </w:p>
              </w:tc>
              <w:tc>
                <w:tcPr>
                  <w:tcW w:w="237" w:type="pct"/>
                  <w:vAlign w:val="center"/>
                </w:tcPr>
                <w:p w14:paraId="21A0896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279EBB7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34A4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249FA1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B15</w:t>
                  </w:r>
                </w:p>
              </w:tc>
              <w:tc>
                <w:tcPr>
                  <w:tcW w:w="569" w:type="pct"/>
                  <w:vAlign w:val="center"/>
                </w:tcPr>
                <w:p w14:paraId="6BE21D9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果渣仓</w:t>
                  </w:r>
                </w:p>
              </w:tc>
              <w:tc>
                <w:tcPr>
                  <w:tcW w:w="3594" w:type="pct"/>
                  <w:vAlign w:val="center"/>
                </w:tcPr>
                <w:p w14:paraId="50C5B08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壳体材质304材质</w:t>
                  </w:r>
                </w:p>
              </w:tc>
              <w:tc>
                <w:tcPr>
                  <w:tcW w:w="237" w:type="pct"/>
                  <w:vAlign w:val="center"/>
                </w:tcPr>
                <w:p w14:paraId="4A80E6B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454615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D5AFD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C8B79A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B16</w:t>
                  </w:r>
                </w:p>
              </w:tc>
              <w:tc>
                <w:tcPr>
                  <w:tcW w:w="569" w:type="pct"/>
                  <w:vAlign w:val="center"/>
                </w:tcPr>
                <w:p w14:paraId="01069C3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卧式离心机</w:t>
                  </w:r>
                </w:p>
              </w:tc>
              <w:tc>
                <w:tcPr>
                  <w:tcW w:w="3594" w:type="pct"/>
                  <w:vAlign w:val="center"/>
                </w:tcPr>
                <w:p w14:paraId="1D89425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处理能力：3~5t/h；2.电机采用皖南或其他同等品牌；3.螺旋采用304不锈钢+螺旋叶片推料面外圆喷涂耐磨层，其他食品接触部分采用304材质；4.主轴承采用SKF/NSK品牌；5.主轴承用高精度动平衡检测，运转更平稳；6.西门子系列PLC及电控触摸屏，主要低压元件为施耐德品牌，变频器为ABB品牌；7.离心机保护：</w:t>
                  </w:r>
                  <w:r>
                    <w:rPr>
                      <w:rFonts w:hint="eastAsia" w:cs="Times New Roman"/>
                      <w:color w:val="auto"/>
                      <w:sz w:val="15"/>
                      <w:szCs w:val="15"/>
                      <w:highlight w:val="none"/>
                      <w:vertAlign w:val="baseline"/>
                      <w:lang w:val="en-US" w:eastAsia="zh-CN"/>
                    </w:rPr>
                    <w:t>振动</w:t>
                  </w:r>
                  <w:r>
                    <w:rPr>
                      <w:rFonts w:hint="default" w:ascii="Times New Roman" w:hAnsi="Times New Roman" w:cs="Times New Roman"/>
                      <w:color w:val="auto"/>
                      <w:sz w:val="15"/>
                      <w:szCs w:val="15"/>
                      <w:highlight w:val="none"/>
                      <w:vertAlign w:val="baseline"/>
                      <w:lang w:val="en-US" w:eastAsia="zh-CN"/>
                    </w:rPr>
                    <w:t>、温度、扭矩等参数实时监控、报警</w:t>
                  </w:r>
                </w:p>
              </w:tc>
              <w:tc>
                <w:tcPr>
                  <w:tcW w:w="237" w:type="pct"/>
                  <w:vAlign w:val="center"/>
                </w:tcPr>
                <w:p w14:paraId="4BCF016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697BC02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7B357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restart"/>
                  <w:vAlign w:val="center"/>
                </w:tcPr>
                <w:p w14:paraId="362732B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B17</w:t>
                  </w:r>
                </w:p>
              </w:tc>
              <w:tc>
                <w:tcPr>
                  <w:tcW w:w="569" w:type="pct"/>
                  <w:vAlign w:val="center"/>
                </w:tcPr>
                <w:p w14:paraId="71CC565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果汁暂存罐</w:t>
                  </w:r>
                </w:p>
              </w:tc>
              <w:tc>
                <w:tcPr>
                  <w:tcW w:w="3594" w:type="pct"/>
                  <w:vAlign w:val="center"/>
                </w:tcPr>
                <w:p w14:paraId="649E5A2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1.罐体采用304材质制作而成，板厚3.0mm；2.带有垂直搅拌装置；3.带有清洗人孔；4.带有清洗球、呼吸器</w:t>
                  </w:r>
                </w:p>
              </w:tc>
              <w:tc>
                <w:tcPr>
                  <w:tcW w:w="237" w:type="pct"/>
                  <w:vAlign w:val="center"/>
                </w:tcPr>
                <w:p w14:paraId="47EA095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4F484FB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71268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continue"/>
                  <w:vAlign w:val="center"/>
                </w:tcPr>
                <w:p w14:paraId="2190C03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569" w:type="pct"/>
                  <w:vAlign w:val="center"/>
                </w:tcPr>
                <w:p w14:paraId="0346F23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液位检测</w:t>
                  </w:r>
                </w:p>
              </w:tc>
              <w:tc>
                <w:tcPr>
                  <w:tcW w:w="3594" w:type="pct"/>
                  <w:vAlign w:val="center"/>
                </w:tcPr>
                <w:p w14:paraId="777C445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1.电子压力传感器PM1689+EVC811接头；2.不锈钢外壳适用于食品和饮料工业；-0.005...0.1bar，螺纹连接G1、果汁液位检测1m；3.配螺纹连接G1外螺纹接头</w:t>
                  </w:r>
                </w:p>
              </w:tc>
              <w:tc>
                <w:tcPr>
                  <w:tcW w:w="237" w:type="pct"/>
                  <w:vAlign w:val="center"/>
                </w:tcPr>
                <w:p w14:paraId="126782B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23950D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2660D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21DD92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B18</w:t>
                  </w:r>
                </w:p>
              </w:tc>
              <w:tc>
                <w:tcPr>
                  <w:tcW w:w="569" w:type="pct"/>
                  <w:vAlign w:val="center"/>
                </w:tcPr>
                <w:p w14:paraId="3EFC5A7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果汁泵</w:t>
                  </w:r>
                </w:p>
              </w:tc>
              <w:tc>
                <w:tcPr>
                  <w:tcW w:w="3594" w:type="pct"/>
                  <w:vAlign w:val="center"/>
                </w:tcPr>
                <w:p w14:paraId="199F1AE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流量：5T/h</w:t>
                  </w:r>
                </w:p>
              </w:tc>
              <w:tc>
                <w:tcPr>
                  <w:tcW w:w="237" w:type="pct"/>
                  <w:vAlign w:val="center"/>
                </w:tcPr>
                <w:p w14:paraId="24C2014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3B6314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1F91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E876D8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B19</w:t>
                  </w:r>
                </w:p>
              </w:tc>
              <w:tc>
                <w:tcPr>
                  <w:tcW w:w="569" w:type="pct"/>
                  <w:vAlign w:val="center"/>
                </w:tcPr>
                <w:p w14:paraId="68646DB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榨汁、打浆、卧螺综合平台</w:t>
                  </w:r>
                </w:p>
              </w:tc>
              <w:tc>
                <w:tcPr>
                  <w:tcW w:w="3594" w:type="pct"/>
                  <w:vAlign w:val="center"/>
                </w:tcPr>
                <w:p w14:paraId="2E355A0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1.立柱采用碳钢材质制作而成；2.表面铺有花纹板，材质304，板厚3.0mm；3.扶手、护栏均采用304材质制作；4.带有多组大孔格栅地漏</w:t>
                  </w:r>
                </w:p>
              </w:tc>
              <w:tc>
                <w:tcPr>
                  <w:tcW w:w="237" w:type="pct"/>
                  <w:vAlign w:val="center"/>
                </w:tcPr>
                <w:p w14:paraId="16FCC4A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8AD28F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C2DCE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FC7634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B20</w:t>
                  </w:r>
                </w:p>
              </w:tc>
              <w:tc>
                <w:tcPr>
                  <w:tcW w:w="569" w:type="pct"/>
                  <w:vAlign w:val="center"/>
                </w:tcPr>
                <w:p w14:paraId="7B20CFC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蝶式离心机</w:t>
                  </w:r>
                </w:p>
              </w:tc>
              <w:tc>
                <w:tcPr>
                  <w:tcW w:w="3594" w:type="pct"/>
                  <w:vAlign w:val="center"/>
                </w:tcPr>
                <w:p w14:paraId="1603097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1.处理量：3~5m³/h</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实际处理量取决于物料中固形物含量</w:t>
                  </w:r>
                  <w:r>
                    <w:rPr>
                      <w:rFonts w:hint="eastAsia" w:cs="Times New Roman"/>
                      <w:color w:val="auto"/>
                      <w:sz w:val="15"/>
                      <w:szCs w:val="15"/>
                      <w:highlight w:val="none"/>
                      <w:vertAlign w:val="baseline"/>
                      <w:lang w:val="en-US" w:eastAsia="zh-CN"/>
                    </w:rPr>
                    <w:t>）</w:t>
                  </w:r>
                  <w:r>
                    <w:rPr>
                      <w:rFonts w:hint="default" w:ascii="Times New Roman" w:hAnsi="Times New Roman" w:cs="Times New Roman"/>
                      <w:color w:val="auto"/>
                      <w:sz w:val="15"/>
                      <w:szCs w:val="15"/>
                      <w:highlight w:val="none"/>
                      <w:vertAlign w:val="baseline"/>
                      <w:lang w:val="en-US" w:eastAsia="zh-CN"/>
                    </w:rPr>
                    <w:t>；2.国产优质电机；3.主轴承采用SKF/NSK品牌；4.主轴采用高精度动平衡检测，运转更平稳；5.西门子系列PLC及电控触摸屏，主要低压元件为施耐德品牌，变频器为ABB品牌；6.离心机保护：</w:t>
                  </w:r>
                  <w:r>
                    <w:rPr>
                      <w:rFonts w:hint="eastAsia" w:cs="Times New Roman"/>
                      <w:color w:val="auto"/>
                      <w:sz w:val="15"/>
                      <w:szCs w:val="15"/>
                      <w:highlight w:val="none"/>
                      <w:vertAlign w:val="baseline"/>
                      <w:lang w:val="en-US" w:eastAsia="zh-CN"/>
                    </w:rPr>
                    <w:t>振动</w:t>
                  </w:r>
                  <w:r>
                    <w:rPr>
                      <w:rFonts w:hint="default" w:ascii="Times New Roman" w:hAnsi="Times New Roman" w:cs="Times New Roman"/>
                      <w:color w:val="auto"/>
                      <w:sz w:val="15"/>
                      <w:szCs w:val="15"/>
                      <w:highlight w:val="none"/>
                      <w:vertAlign w:val="baseline"/>
                      <w:lang w:val="en-US" w:eastAsia="zh-CN"/>
                    </w:rPr>
                    <w:t>、温度、扭矩等参数实时监控、报警</w:t>
                  </w:r>
                </w:p>
              </w:tc>
              <w:tc>
                <w:tcPr>
                  <w:tcW w:w="237" w:type="pct"/>
                  <w:vAlign w:val="center"/>
                </w:tcPr>
                <w:p w14:paraId="7E7BCF4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12126B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B28B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570097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B21</w:t>
                  </w:r>
                </w:p>
              </w:tc>
              <w:tc>
                <w:tcPr>
                  <w:tcW w:w="569" w:type="pct"/>
                  <w:vAlign w:val="center"/>
                </w:tcPr>
                <w:p w14:paraId="48200F4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碟分排渣泵</w:t>
                  </w:r>
                </w:p>
              </w:tc>
              <w:tc>
                <w:tcPr>
                  <w:tcW w:w="3594" w:type="pct"/>
                  <w:vAlign w:val="center"/>
                </w:tcPr>
                <w:p w14:paraId="50A9A6D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1.流量：3T/h；2.出口压力：0.3Mpa</w:t>
                  </w:r>
                </w:p>
              </w:tc>
              <w:tc>
                <w:tcPr>
                  <w:tcW w:w="237" w:type="pct"/>
                  <w:vAlign w:val="center"/>
                </w:tcPr>
                <w:p w14:paraId="770BCE1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34505B4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9DC5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restart"/>
                  <w:vAlign w:val="center"/>
                </w:tcPr>
                <w:p w14:paraId="55AADF5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B22</w:t>
                  </w:r>
                </w:p>
              </w:tc>
              <w:tc>
                <w:tcPr>
                  <w:tcW w:w="569" w:type="pct"/>
                  <w:vAlign w:val="center"/>
                </w:tcPr>
                <w:p w14:paraId="2DF9176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B段控制柜</w:t>
                  </w:r>
                </w:p>
              </w:tc>
              <w:tc>
                <w:tcPr>
                  <w:tcW w:w="3594" w:type="pct"/>
                  <w:vAlign w:val="center"/>
                </w:tcPr>
                <w:p w14:paraId="58033E3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电气柜：仿威图，304材质，门板厚度2.0，柜体1.5，配有散热系统，照明系统；2.PLC：西门子系列；3.触摸屏：MCGS品牌；4.变频器：使用西门子、ABB或丹弗斯品牌，总线设置频率，电流监控；5.低压元器件：施耐德，配有过载反馈；6.报警灯：配有三色，根据不同报警进行频闪提示；7.预留PROFINET接口（预留一个工业交换机便于扩展集成），便于系统集成</w:t>
                  </w:r>
                </w:p>
              </w:tc>
              <w:tc>
                <w:tcPr>
                  <w:tcW w:w="237" w:type="pct"/>
                  <w:vAlign w:val="center"/>
                </w:tcPr>
                <w:p w14:paraId="7B838A5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62ABAD9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75BBA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continue"/>
                  <w:vAlign w:val="center"/>
                </w:tcPr>
                <w:p w14:paraId="21EBA3C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569" w:type="pct"/>
                  <w:vAlign w:val="center"/>
                </w:tcPr>
                <w:p w14:paraId="716AE76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B段控制软件</w:t>
                  </w:r>
                </w:p>
              </w:tc>
              <w:tc>
                <w:tcPr>
                  <w:tcW w:w="3594" w:type="pct"/>
                  <w:vAlign w:val="center"/>
                </w:tcPr>
                <w:p w14:paraId="0C1F9AD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基于B段的工艺逻辑、控制要求定制出的人机操作界面的操作控制程序</w:t>
                  </w:r>
                </w:p>
              </w:tc>
              <w:tc>
                <w:tcPr>
                  <w:tcW w:w="237" w:type="pct"/>
                  <w:vAlign w:val="center"/>
                </w:tcPr>
                <w:p w14:paraId="468AD67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1B9AC83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C2BA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1F60366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C：杀菌灌装工段</w:t>
                  </w:r>
                </w:p>
              </w:tc>
            </w:tr>
            <w:tr w14:paraId="45DB18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restart"/>
                  <w:vAlign w:val="center"/>
                </w:tcPr>
                <w:p w14:paraId="48207A6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C01</w:t>
                  </w:r>
                </w:p>
              </w:tc>
              <w:tc>
                <w:tcPr>
                  <w:tcW w:w="569" w:type="pct"/>
                  <w:vAlign w:val="center"/>
                </w:tcPr>
                <w:p w14:paraId="65F0A42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标准化罐</w:t>
                  </w:r>
                </w:p>
              </w:tc>
              <w:tc>
                <w:tcPr>
                  <w:tcW w:w="3594" w:type="pct"/>
                  <w:vAlign w:val="center"/>
                </w:tcPr>
                <w:p w14:paraId="5346BFD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有效容积：3000L；1.罐体SUS304材质，三层夹套搅拌罐，内胆δ=2.5mm，PU保温，外包层材质304，板厚1.5mm；2.配套卧式搅拌电机，中心搅拌机构，功率4</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；3.配常压人孔、呼吸阀、取样阀、CIP清洗头、数显温度表，进料回流料口，底部出料口；4.配套液位传感器接口</w:t>
                  </w:r>
                </w:p>
              </w:tc>
              <w:tc>
                <w:tcPr>
                  <w:tcW w:w="237" w:type="pct"/>
                  <w:vAlign w:val="center"/>
                </w:tcPr>
                <w:p w14:paraId="72A28C4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2BE8465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79F44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continue"/>
                  <w:vAlign w:val="center"/>
                </w:tcPr>
                <w:p w14:paraId="0E3EDFE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569" w:type="pct"/>
                  <w:vAlign w:val="center"/>
                </w:tcPr>
                <w:p w14:paraId="744B686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液位检测</w:t>
                  </w:r>
                </w:p>
              </w:tc>
              <w:tc>
                <w:tcPr>
                  <w:tcW w:w="3594" w:type="pct"/>
                  <w:vAlign w:val="center"/>
                </w:tcPr>
                <w:p w14:paraId="188C3A8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1.电子压力传感器PM1689+EVC811接头；2.不锈钢外壳适用于食品和饮料工业；-0.005...0.25bar，螺纹连接G1、果汁液位检测2.5m；3.配螺纹连接G1外螺纹接头</w:t>
                  </w:r>
                </w:p>
              </w:tc>
              <w:tc>
                <w:tcPr>
                  <w:tcW w:w="237" w:type="pct"/>
                  <w:vAlign w:val="center"/>
                </w:tcPr>
                <w:p w14:paraId="0C824AA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3226B80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79FC04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D1F6C1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C02</w:t>
                  </w:r>
                </w:p>
              </w:tc>
              <w:tc>
                <w:tcPr>
                  <w:tcW w:w="569" w:type="pct"/>
                  <w:vAlign w:val="center"/>
                </w:tcPr>
                <w:p w14:paraId="5BCFFF9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果汁泵</w:t>
                  </w:r>
                </w:p>
              </w:tc>
              <w:tc>
                <w:tcPr>
                  <w:tcW w:w="3594" w:type="pct"/>
                  <w:vAlign w:val="center"/>
                </w:tcPr>
                <w:p w14:paraId="1591601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1.流量：5T/h；2.过流部件304不锈钢材质</w:t>
                  </w:r>
                </w:p>
              </w:tc>
              <w:tc>
                <w:tcPr>
                  <w:tcW w:w="237" w:type="pct"/>
                  <w:vAlign w:val="center"/>
                </w:tcPr>
                <w:p w14:paraId="7BFE510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203AE61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F0E0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FD0109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C04</w:t>
                  </w:r>
                </w:p>
              </w:tc>
              <w:tc>
                <w:tcPr>
                  <w:tcW w:w="569" w:type="pct"/>
                  <w:vAlign w:val="center"/>
                </w:tcPr>
                <w:p w14:paraId="0A46015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标准化罐平台</w:t>
                  </w:r>
                </w:p>
              </w:tc>
              <w:tc>
                <w:tcPr>
                  <w:tcW w:w="3594" w:type="pct"/>
                  <w:vAlign w:val="center"/>
                </w:tcPr>
                <w:p w14:paraId="3B865A2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1.立柱采用不锈钢材质制作而成；2.表面铺有花纹板，材质304，板厚3.0mm；3.扶手、护栏均采用304材质制作；4.带有多组大孔格栅地漏</w:t>
                  </w:r>
                </w:p>
              </w:tc>
              <w:tc>
                <w:tcPr>
                  <w:tcW w:w="237" w:type="pct"/>
                  <w:vAlign w:val="center"/>
                </w:tcPr>
                <w:p w14:paraId="75FA3EB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424E425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A7A90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802310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C05</w:t>
                  </w:r>
                </w:p>
              </w:tc>
              <w:tc>
                <w:tcPr>
                  <w:tcW w:w="569" w:type="pct"/>
                  <w:vAlign w:val="center"/>
                </w:tcPr>
                <w:p w14:paraId="3034D83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双联过滤器</w:t>
                  </w:r>
                </w:p>
              </w:tc>
              <w:tc>
                <w:tcPr>
                  <w:tcW w:w="3594" w:type="pct"/>
                  <w:vAlign w:val="center"/>
                </w:tcPr>
                <w:p w14:paraId="5D3A2F6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1.整体采用304材质，内外抛光；2.双筒体，上盖采用锁紧式结构；3.内网为尼龙网，有不锈钢304衬网；4.带有排空阀与压力表</w:t>
                  </w:r>
                </w:p>
              </w:tc>
              <w:tc>
                <w:tcPr>
                  <w:tcW w:w="237" w:type="pct"/>
                  <w:vAlign w:val="center"/>
                </w:tcPr>
                <w:p w14:paraId="72031C1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370158A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C7B55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A96E9B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C06</w:t>
                  </w:r>
                </w:p>
              </w:tc>
              <w:tc>
                <w:tcPr>
                  <w:tcW w:w="569" w:type="pct"/>
                  <w:vAlign w:val="center"/>
                </w:tcPr>
                <w:p w14:paraId="50E495C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强磁过滤器</w:t>
                  </w:r>
                </w:p>
              </w:tc>
              <w:tc>
                <w:tcPr>
                  <w:tcW w:w="3594" w:type="pct"/>
                  <w:vAlign w:val="center"/>
                </w:tcPr>
                <w:p w14:paraId="322A20B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1.采用304材质制作而成；2.快拆式结构；3.磁通量12000GS</w:t>
                  </w:r>
                </w:p>
              </w:tc>
              <w:tc>
                <w:tcPr>
                  <w:tcW w:w="237" w:type="pct"/>
                  <w:vAlign w:val="center"/>
                </w:tcPr>
                <w:p w14:paraId="01E4DB3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27E3A74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93163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17AC43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C07</w:t>
                  </w:r>
                </w:p>
              </w:tc>
              <w:tc>
                <w:tcPr>
                  <w:tcW w:w="569" w:type="pct"/>
                  <w:vAlign w:val="center"/>
                </w:tcPr>
                <w:p w14:paraId="202ECED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高压均质机</w:t>
                  </w:r>
                </w:p>
              </w:tc>
              <w:tc>
                <w:tcPr>
                  <w:tcW w:w="3594" w:type="pct"/>
                  <w:vAlign w:val="center"/>
                </w:tcPr>
                <w:p w14:paraId="2370428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1.流量：4000L/h；2.最高压力：30Mpa；3.使用压力：0-24Mpa；4.国产优质变频电机，电机功率：37</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；5.配套ABB变频控制系统</w:t>
                  </w:r>
                </w:p>
              </w:tc>
              <w:tc>
                <w:tcPr>
                  <w:tcW w:w="237" w:type="pct"/>
                  <w:vAlign w:val="center"/>
                </w:tcPr>
                <w:p w14:paraId="2D9666F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6B2661A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425F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EFBA59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C08</w:t>
                  </w:r>
                </w:p>
              </w:tc>
              <w:tc>
                <w:tcPr>
                  <w:tcW w:w="569" w:type="pct"/>
                  <w:vAlign w:val="center"/>
                </w:tcPr>
                <w:p w14:paraId="3701CFA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UHT杀菌机</w:t>
                  </w:r>
                </w:p>
              </w:tc>
              <w:tc>
                <w:tcPr>
                  <w:tcW w:w="3594" w:type="pct"/>
                  <w:vAlign w:val="center"/>
                </w:tcPr>
                <w:p w14:paraId="3D00BC7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处理能力：4T/h；2.杀菌温度75~105℃、脱气温度65~70℃、杀菌时间30/60，出料温度≤25℃；3.杀菌机与物料接触部分为316材质，其余部分为304材质；4.物料泵采用耐驰或同级别品牌螺杆泵，热水泵采用南方或同级别品牌；5.蒸汽阀组采用整套斯派萨克（包含减压阀、调节阀、疏水阀等）；6.真空系统采用水环式真空泵；7.配套破真空、不锈钢抗震真空表；8.流量计采用E+H品牌电磁流量计</w:t>
                  </w:r>
                </w:p>
              </w:tc>
              <w:tc>
                <w:tcPr>
                  <w:tcW w:w="237" w:type="pct"/>
                  <w:vAlign w:val="center"/>
                </w:tcPr>
                <w:p w14:paraId="33CC891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387A7F1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A27BF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D33B40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C09</w:t>
                  </w:r>
                </w:p>
              </w:tc>
              <w:tc>
                <w:tcPr>
                  <w:tcW w:w="569" w:type="pct"/>
                  <w:vAlign w:val="center"/>
                </w:tcPr>
                <w:p w14:paraId="0DDAD86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无菌灌装机</w:t>
                  </w:r>
                </w:p>
              </w:tc>
              <w:tc>
                <w:tcPr>
                  <w:tcW w:w="3594" w:type="pct"/>
                  <w:vAlign w:val="center"/>
                </w:tcPr>
                <w:p w14:paraId="562C352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和前端杀菌机联机控制，实现CIP和SIP；2.双头无菌灌装为220L大桶无菌灌装，兼顾20L；3.西门子人机界面控制，配套托利多品牌称重，实时显示和自动控制；4.欧姆龙或同级品牌温度传感器、亚德客或同级品牌气动元器件，施耐德品牌电气元器件；5.自动重量计量偏差0.5-1%；6.实现无菌灌装的目的：</w:t>
                  </w:r>
                  <w:r>
                    <w:rPr>
                      <w:rFonts w:hint="eastAsia" w:cs="Times New Roman"/>
                      <w:color w:val="auto"/>
                      <w:sz w:val="15"/>
                      <w:szCs w:val="15"/>
                      <w:highlight w:val="none"/>
                      <w:vertAlign w:val="baseline"/>
                      <w:lang w:val="en-US" w:eastAsia="zh-CN"/>
                    </w:rPr>
                    <w:t>使用</w:t>
                  </w:r>
                  <w:r>
                    <w:rPr>
                      <w:rFonts w:hint="default" w:ascii="Times New Roman" w:hAnsi="Times New Roman" w:cs="Times New Roman"/>
                      <w:color w:val="auto"/>
                      <w:sz w:val="15"/>
                      <w:szCs w:val="15"/>
                      <w:highlight w:val="none"/>
                      <w:vertAlign w:val="baseline"/>
                      <w:lang w:val="en-US" w:eastAsia="zh-CN"/>
                    </w:rPr>
                    <w:t>蒸汽喷射方式对袋口和灌装室进行杀菌，以确保灌装室始终是无菌状态的；重量计量系统调整灌装量和精度；灌装误差小于0.5%；7.无菌室工作温度：90~95℃；8.功率：2.0</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；9.蒸汽耗量：100KG/H；10.独立控制系统，自动完成全部生产过程</w:t>
                  </w:r>
                </w:p>
              </w:tc>
              <w:tc>
                <w:tcPr>
                  <w:tcW w:w="237" w:type="pct"/>
                  <w:vAlign w:val="center"/>
                </w:tcPr>
                <w:p w14:paraId="03C0037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1E77C63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E9AC0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54FCE2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C10</w:t>
                  </w:r>
                </w:p>
              </w:tc>
              <w:tc>
                <w:tcPr>
                  <w:tcW w:w="569" w:type="pct"/>
                  <w:vAlign w:val="center"/>
                </w:tcPr>
                <w:p w14:paraId="7C99A23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空桶实桶输送机</w:t>
                  </w:r>
                </w:p>
              </w:tc>
              <w:tc>
                <w:tcPr>
                  <w:tcW w:w="3594" w:type="pct"/>
                  <w:vAlign w:val="center"/>
                </w:tcPr>
                <w:p w14:paraId="125E7D5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1.机架采用304材质，动力滚杠304材质；2.配套优质光电检测开关；3.配套国产品牌减速电机</w:t>
                  </w:r>
                </w:p>
              </w:tc>
              <w:tc>
                <w:tcPr>
                  <w:tcW w:w="237" w:type="pct"/>
                  <w:vAlign w:val="center"/>
                </w:tcPr>
                <w:p w14:paraId="4036FAB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6F93AB2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84CB6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1CFCE0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C11</w:t>
                  </w:r>
                </w:p>
              </w:tc>
              <w:tc>
                <w:tcPr>
                  <w:tcW w:w="569" w:type="pct"/>
                  <w:vAlign w:val="center"/>
                </w:tcPr>
                <w:p w14:paraId="3DC6F07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全自动无菌纸盒灌装机（利乐砖）</w:t>
                  </w:r>
                </w:p>
              </w:tc>
              <w:tc>
                <w:tcPr>
                  <w:tcW w:w="3594" w:type="pct"/>
                  <w:vAlign w:val="center"/>
                </w:tcPr>
                <w:p w14:paraId="7E14500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1.产能：3600盒/h；2.灌装量：125ml；3.包装材料：PET/PAPER/PE/AL；4.功率：15</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；5.电压：220V/380V 50</w:t>
                  </w:r>
                  <w:r>
                    <w:rPr>
                      <w:rFonts w:hint="eastAsia" w:cs="Times New Roman"/>
                      <w:color w:val="auto"/>
                      <w:sz w:val="15"/>
                      <w:szCs w:val="15"/>
                      <w:highlight w:val="none"/>
                      <w:vertAlign w:val="baseline"/>
                      <w:lang w:val="en-US" w:eastAsia="zh-CN"/>
                    </w:rPr>
                    <w:t>Hz</w:t>
                  </w:r>
                  <w:r>
                    <w:rPr>
                      <w:rFonts w:hint="default" w:ascii="Times New Roman" w:hAnsi="Times New Roman" w:cs="Times New Roman"/>
                      <w:color w:val="auto"/>
                      <w:sz w:val="15"/>
                      <w:szCs w:val="15"/>
                      <w:highlight w:val="none"/>
                      <w:vertAlign w:val="baseline"/>
                      <w:lang w:val="en-US" w:eastAsia="zh-CN"/>
                    </w:rPr>
                    <w:t>；6.耗气量：0.6-0.8MPa 1.0方/分钟；7.尺寸：3800×1800×3500mm</w:t>
                  </w:r>
                </w:p>
              </w:tc>
              <w:tc>
                <w:tcPr>
                  <w:tcW w:w="237" w:type="pct"/>
                  <w:vAlign w:val="center"/>
                </w:tcPr>
                <w:p w14:paraId="51B2A6D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7EDB57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7D24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988AD8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C12</w:t>
                  </w:r>
                </w:p>
              </w:tc>
              <w:tc>
                <w:tcPr>
                  <w:tcW w:w="569" w:type="pct"/>
                  <w:vAlign w:val="center"/>
                </w:tcPr>
                <w:p w14:paraId="4CF42DE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激光喷码机</w:t>
                  </w:r>
                </w:p>
              </w:tc>
              <w:tc>
                <w:tcPr>
                  <w:tcW w:w="3594" w:type="pct"/>
                  <w:vAlign w:val="center"/>
                </w:tcPr>
                <w:p w14:paraId="0723381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1.输入电压：220V 50-60</w:t>
                  </w:r>
                  <w:r>
                    <w:rPr>
                      <w:rFonts w:hint="eastAsia" w:cs="Times New Roman"/>
                      <w:color w:val="auto"/>
                      <w:sz w:val="15"/>
                      <w:szCs w:val="15"/>
                      <w:highlight w:val="none"/>
                      <w:vertAlign w:val="baseline"/>
                      <w:lang w:val="en-US" w:eastAsia="zh-CN"/>
                    </w:rPr>
                    <w:t>Hz</w:t>
                  </w:r>
                  <w:r>
                    <w:rPr>
                      <w:rFonts w:hint="default" w:ascii="Times New Roman" w:hAnsi="Times New Roman" w:cs="Times New Roman"/>
                      <w:color w:val="auto"/>
                      <w:sz w:val="15"/>
                      <w:szCs w:val="15"/>
                      <w:highlight w:val="none"/>
                      <w:vertAlign w:val="baseline"/>
                      <w:lang w:val="en-US" w:eastAsia="zh-CN"/>
                    </w:rPr>
                    <w:t>；2.激光波长：10.6/10.2/9.3</w:t>
                  </w:r>
                </w:p>
              </w:tc>
              <w:tc>
                <w:tcPr>
                  <w:tcW w:w="237" w:type="pct"/>
                  <w:vAlign w:val="center"/>
                </w:tcPr>
                <w:p w14:paraId="07EE411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AF7D93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B719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EA803E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C13</w:t>
                  </w:r>
                </w:p>
              </w:tc>
              <w:tc>
                <w:tcPr>
                  <w:tcW w:w="569" w:type="pct"/>
                  <w:vAlign w:val="center"/>
                </w:tcPr>
                <w:p w14:paraId="1B924FC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全自动贴管机</w:t>
                  </w:r>
                </w:p>
              </w:tc>
              <w:tc>
                <w:tcPr>
                  <w:tcW w:w="3594" w:type="pct"/>
                  <w:vAlign w:val="center"/>
                </w:tcPr>
                <w:p w14:paraId="0C3024B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1.电压：3N×380/220V 50</w:t>
                  </w:r>
                  <w:r>
                    <w:rPr>
                      <w:rFonts w:hint="eastAsia" w:cs="Times New Roman"/>
                      <w:color w:val="auto"/>
                      <w:sz w:val="15"/>
                      <w:szCs w:val="15"/>
                      <w:highlight w:val="none"/>
                      <w:vertAlign w:val="baseline"/>
                      <w:lang w:val="en-US" w:eastAsia="zh-CN"/>
                    </w:rPr>
                    <w:t>Hz</w:t>
                  </w:r>
                  <w:r>
                    <w:rPr>
                      <w:rFonts w:hint="default" w:ascii="Times New Roman" w:hAnsi="Times New Roman" w:cs="Times New Roman"/>
                      <w:color w:val="auto"/>
                      <w:sz w:val="15"/>
                      <w:szCs w:val="15"/>
                      <w:highlight w:val="none"/>
                      <w:vertAlign w:val="baseline"/>
                      <w:lang w:val="en-US" w:eastAsia="zh-CN"/>
                    </w:rPr>
                    <w:t>；2.功率：4.5</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（Max）；3.产能：7500 Boxes/h；4.进料方式：单列进料；5.输送带宽度：83MM；6.工作气压：0.4-0.6MPa；7.熔胶机工作压力：0.28MPa；8.耗气量：100L/分钟；9.尺寸：1320×860×1300mm</w:t>
                  </w:r>
                </w:p>
              </w:tc>
              <w:tc>
                <w:tcPr>
                  <w:tcW w:w="237" w:type="pct"/>
                  <w:vAlign w:val="center"/>
                </w:tcPr>
                <w:p w14:paraId="161DEEF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6939ED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CECF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8490C3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C14</w:t>
                  </w:r>
                </w:p>
              </w:tc>
              <w:tc>
                <w:tcPr>
                  <w:tcW w:w="569" w:type="pct"/>
                  <w:vAlign w:val="center"/>
                </w:tcPr>
                <w:p w14:paraId="629735B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半自动膜包机</w:t>
                  </w:r>
                </w:p>
              </w:tc>
              <w:tc>
                <w:tcPr>
                  <w:tcW w:w="3594" w:type="pct"/>
                  <w:vAlign w:val="center"/>
                </w:tcPr>
                <w:p w14:paraId="0CB464A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1.输入功率：24</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；2.输入电压：220V 60</w:t>
                  </w:r>
                  <w:r>
                    <w:rPr>
                      <w:rFonts w:hint="eastAsia" w:cs="Times New Roman"/>
                      <w:color w:val="auto"/>
                      <w:sz w:val="15"/>
                      <w:szCs w:val="15"/>
                      <w:highlight w:val="none"/>
                      <w:vertAlign w:val="baseline"/>
                      <w:lang w:val="en-US" w:eastAsia="zh-CN"/>
                    </w:rPr>
                    <w:t>Hz</w:t>
                  </w:r>
                  <w:r>
                    <w:rPr>
                      <w:rFonts w:hint="default" w:ascii="Times New Roman" w:hAnsi="Times New Roman" w:cs="Times New Roman"/>
                      <w:color w:val="auto"/>
                      <w:sz w:val="15"/>
                      <w:szCs w:val="15"/>
                      <w:highlight w:val="none"/>
                      <w:vertAlign w:val="baseline"/>
                      <w:lang w:val="en-US" w:eastAsia="zh-CN"/>
                    </w:rPr>
                    <w:t>；3.生产效率：0-5包/分；4.尺寸：4050×870×1600；5.工作气压：0.6-0.8MPa</w:t>
                  </w:r>
                </w:p>
              </w:tc>
              <w:tc>
                <w:tcPr>
                  <w:tcW w:w="237" w:type="pct"/>
                  <w:vAlign w:val="center"/>
                </w:tcPr>
                <w:p w14:paraId="4EA3215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FE670F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50B26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restart"/>
                  <w:vAlign w:val="center"/>
                </w:tcPr>
                <w:p w14:paraId="0FCA983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C15</w:t>
                  </w:r>
                </w:p>
              </w:tc>
              <w:tc>
                <w:tcPr>
                  <w:tcW w:w="569" w:type="pct"/>
                  <w:vAlign w:val="center"/>
                </w:tcPr>
                <w:p w14:paraId="68D321D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C段控制柜</w:t>
                  </w:r>
                </w:p>
              </w:tc>
              <w:tc>
                <w:tcPr>
                  <w:tcW w:w="3594" w:type="pct"/>
                  <w:vAlign w:val="center"/>
                </w:tcPr>
                <w:p w14:paraId="662964B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电气柜：仿威图，304材质，门板厚度2.0，柜体1.5，配有散热系统，照明系统；2.PLC：西门子系列；3.触摸屏：MCGS品牌；4.变频器：使用西门子、ABB或丹弗斯品牌，总线设置频率，电流监控；5.低压元器件：施耐德，配有过载反馈；6.报警灯：配有三色，根据不同报警进行频闪提示；7.预留PROFINET接口（预留一个工业交换机便于扩展集成），便于系统集成</w:t>
                  </w:r>
                </w:p>
              </w:tc>
              <w:tc>
                <w:tcPr>
                  <w:tcW w:w="237" w:type="pct"/>
                  <w:vAlign w:val="center"/>
                </w:tcPr>
                <w:p w14:paraId="29794EB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9E9CB7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9D1AC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Merge w:val="continue"/>
                  <w:vAlign w:val="center"/>
                </w:tcPr>
                <w:p w14:paraId="4011C19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569" w:type="pct"/>
                  <w:vAlign w:val="center"/>
                </w:tcPr>
                <w:p w14:paraId="2C96261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C段控制软件</w:t>
                  </w:r>
                </w:p>
              </w:tc>
              <w:tc>
                <w:tcPr>
                  <w:tcW w:w="3594" w:type="pct"/>
                  <w:vAlign w:val="center"/>
                </w:tcPr>
                <w:p w14:paraId="52ADEC2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基于C段的工艺逻辑、控制要求定制出的人机操作界面的操作控制程序</w:t>
                  </w:r>
                </w:p>
              </w:tc>
              <w:tc>
                <w:tcPr>
                  <w:tcW w:w="237" w:type="pct"/>
                  <w:vAlign w:val="center"/>
                </w:tcPr>
                <w:p w14:paraId="5844BB0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36765A4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67F64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11A6687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D：公共设施</w:t>
                  </w:r>
                </w:p>
              </w:tc>
            </w:tr>
            <w:tr w14:paraId="7CCA2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CAE984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D01</w:t>
                  </w:r>
                </w:p>
              </w:tc>
              <w:tc>
                <w:tcPr>
                  <w:tcW w:w="569" w:type="pct"/>
                  <w:vAlign w:val="center"/>
                </w:tcPr>
                <w:p w14:paraId="5FC4715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全自动CIP</w:t>
                  </w:r>
                </w:p>
              </w:tc>
              <w:tc>
                <w:tcPr>
                  <w:tcW w:w="3594" w:type="pct"/>
                  <w:vAlign w:val="center"/>
                </w:tcPr>
                <w:p w14:paraId="66BD7B2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规格：3000L×3罐，包含酸罐、碱罐、热水罐单回路清洗设计；2.酸罐、碱罐为双层保温罐：内胆316材质δ=3mm，保温层δ=5cm，外皮304材质δ=2mm；3.热水罐为304材质双层保温罐，内胆δ=3mm，保温层δ=5cm，外皮304材质δ=2mm；4.罐体配套国产优质数显温度表，IFM品牌电子压力传感器、温度传感器；5.物料管路配套远安、四方或同级别气动阀门、德国JUMO或同级别电导率仪，远安、四方或同级别CIP供料泵，流量：10T/h；6.蒸汽管路配1套斯派莎克减压阀及疏水阀；7.加热器配套南华或同级别加热装置（板换或列管加热器）；8.浓酸、浓碱罐采用316L材质制造；9.配套不锈钢电控箱，低压元器件采用施耐德品牌为主、配套开机及急停按钮、西门子PLC、西门子品牌控制屏幕。可以实现液体自动加热、液位自动控制、酸碱自动配置及CIP自动清洗等</w:t>
                  </w:r>
                </w:p>
              </w:tc>
              <w:tc>
                <w:tcPr>
                  <w:tcW w:w="237" w:type="pct"/>
                  <w:vAlign w:val="center"/>
                </w:tcPr>
                <w:p w14:paraId="1D14309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BAA6B0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51E27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F3A38F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D02</w:t>
                  </w:r>
                </w:p>
              </w:tc>
              <w:tc>
                <w:tcPr>
                  <w:tcW w:w="569" w:type="pct"/>
                  <w:vAlign w:val="center"/>
                </w:tcPr>
                <w:p w14:paraId="43D4DC5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自吸泵</w:t>
                  </w:r>
                </w:p>
              </w:tc>
              <w:tc>
                <w:tcPr>
                  <w:tcW w:w="3594" w:type="pct"/>
                  <w:vAlign w:val="center"/>
                </w:tcPr>
                <w:p w14:paraId="7F7A2AF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1.材质316L；2.流量15/h</w:t>
                  </w:r>
                </w:p>
              </w:tc>
              <w:tc>
                <w:tcPr>
                  <w:tcW w:w="237" w:type="pct"/>
                  <w:vAlign w:val="center"/>
                </w:tcPr>
                <w:p w14:paraId="746AC56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39CF06D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1FC499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A507BA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D03</w:t>
                  </w:r>
                </w:p>
              </w:tc>
              <w:tc>
                <w:tcPr>
                  <w:tcW w:w="569" w:type="pct"/>
                  <w:vAlign w:val="center"/>
                </w:tcPr>
                <w:p w14:paraId="30443EC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塔水系统</w:t>
                  </w:r>
                </w:p>
              </w:tc>
              <w:tc>
                <w:tcPr>
                  <w:tcW w:w="3594" w:type="pct"/>
                  <w:vAlign w:val="center"/>
                </w:tcPr>
                <w:p w14:paraId="00CB2DA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处理量：200T/h；2.设计进水温度：37℃，出水温度：32℃，外气湿球温度：28.7℃；3.采用凉水塔专用风机；4.风筒、面板、积水盘采用玻璃钢FRP材质；5.填料采用全新改性PVC，M波；6.配水系统采用玻璃钢FRP配水盘+ABS专用喷嘴</w:t>
                  </w:r>
                </w:p>
              </w:tc>
              <w:tc>
                <w:tcPr>
                  <w:tcW w:w="237" w:type="pct"/>
                  <w:vAlign w:val="center"/>
                </w:tcPr>
                <w:p w14:paraId="6142E99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E483B2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FA3AE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D16ED4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D04</w:t>
                  </w:r>
                </w:p>
              </w:tc>
              <w:tc>
                <w:tcPr>
                  <w:tcW w:w="569" w:type="pct"/>
                  <w:vAlign w:val="center"/>
                </w:tcPr>
                <w:p w14:paraId="719A328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塔水供水系统</w:t>
                  </w:r>
                </w:p>
              </w:tc>
              <w:tc>
                <w:tcPr>
                  <w:tcW w:w="3594" w:type="pct"/>
                  <w:vAlign w:val="center"/>
                </w:tcPr>
                <w:p w14:paraId="20A504F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南方或同等品牌供水泵及配套设施</w:t>
                  </w:r>
                </w:p>
              </w:tc>
              <w:tc>
                <w:tcPr>
                  <w:tcW w:w="237" w:type="pct"/>
                  <w:vAlign w:val="center"/>
                </w:tcPr>
                <w:p w14:paraId="20EDE15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B71A48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BDB05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191C64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D05</w:t>
                  </w:r>
                </w:p>
              </w:tc>
              <w:tc>
                <w:tcPr>
                  <w:tcW w:w="569" w:type="pct"/>
                  <w:vAlign w:val="center"/>
                </w:tcPr>
                <w:p w14:paraId="1639932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风冷热泵型冰水机（全年型）</w:t>
                  </w:r>
                </w:p>
              </w:tc>
              <w:tc>
                <w:tcPr>
                  <w:tcW w:w="3594" w:type="pct"/>
                  <w:vAlign w:val="center"/>
                </w:tcPr>
                <w:p w14:paraId="441C71A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1.制冷量：131</w:t>
                  </w:r>
                  <w:r>
                    <w:rPr>
                      <w:rFonts w:hint="eastAsia" w:cs="Times New Roman"/>
                      <w:color w:val="auto"/>
                      <w:sz w:val="15"/>
                      <w:szCs w:val="15"/>
                      <w:highlight w:val="none"/>
                      <w:vertAlign w:val="baseline"/>
                      <w:lang w:val="en-US" w:eastAsia="zh-CN"/>
                    </w:rPr>
                    <w:t>kW</w:t>
                  </w:r>
                  <w:r>
                    <w:rPr>
                      <w:rFonts w:hint="default" w:ascii="Times New Roman" w:hAnsi="Times New Roman" w:cs="Times New Roman"/>
                      <w:color w:val="auto"/>
                      <w:sz w:val="15"/>
                      <w:szCs w:val="15"/>
                      <w:highlight w:val="none"/>
                      <w:vertAlign w:val="baseline"/>
                      <w:lang w:val="en-US" w:eastAsia="zh-CN"/>
                    </w:rPr>
                    <w:t>；2.全封闭旋涡式压缩机；3.风侧换热器采用高效内螺纹铜管+清水铝翅片；4.制冷出水温度：出水5~20℃；5.同功能制冷机可以组成模块运行</w:t>
                  </w:r>
                </w:p>
              </w:tc>
              <w:tc>
                <w:tcPr>
                  <w:tcW w:w="237" w:type="pct"/>
                  <w:vAlign w:val="center"/>
                </w:tcPr>
                <w:p w14:paraId="229DDE2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3539F27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01842C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881C00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w:t>
                  </w:r>
                </w:p>
              </w:tc>
              <w:tc>
                <w:tcPr>
                  <w:tcW w:w="569" w:type="pct"/>
                  <w:vAlign w:val="center"/>
                </w:tcPr>
                <w:p w14:paraId="5E395D5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冰水机基础</w:t>
                  </w:r>
                </w:p>
              </w:tc>
              <w:tc>
                <w:tcPr>
                  <w:tcW w:w="3594" w:type="pct"/>
                  <w:vAlign w:val="center"/>
                </w:tcPr>
                <w:p w14:paraId="74DF192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混凝土结构</w:t>
                  </w:r>
                </w:p>
              </w:tc>
              <w:tc>
                <w:tcPr>
                  <w:tcW w:w="237" w:type="pct"/>
                  <w:vAlign w:val="center"/>
                </w:tcPr>
                <w:p w14:paraId="35B3CF4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4F21750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971E9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E3674C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D06</w:t>
                  </w:r>
                </w:p>
              </w:tc>
              <w:tc>
                <w:tcPr>
                  <w:tcW w:w="569" w:type="pct"/>
                  <w:vAlign w:val="center"/>
                </w:tcPr>
                <w:p w14:paraId="479918B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冰水罐</w:t>
                  </w:r>
                </w:p>
              </w:tc>
              <w:tc>
                <w:tcPr>
                  <w:tcW w:w="3594" w:type="pct"/>
                  <w:vAlign w:val="center"/>
                </w:tcPr>
                <w:p w14:paraId="7D405EA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1.容积：5000L；2.采用304材质制造，内壁δ=3.0mm，中间5CM保温，外皮δ=1.5mm；3.内部冷热水隔断结构设计，δ=2.0mm；4.配套不锈钢人孔、呼吸阀；5.配套南方或同等品牌车间供水泵，国产优质阀组</w:t>
                  </w:r>
                </w:p>
              </w:tc>
              <w:tc>
                <w:tcPr>
                  <w:tcW w:w="237" w:type="pct"/>
                  <w:vAlign w:val="center"/>
                </w:tcPr>
                <w:p w14:paraId="5CA9B54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21E37A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0A779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1FA208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D07</w:t>
                  </w:r>
                </w:p>
              </w:tc>
              <w:tc>
                <w:tcPr>
                  <w:tcW w:w="569" w:type="pct"/>
                  <w:vAlign w:val="center"/>
                </w:tcPr>
                <w:p w14:paraId="72BCF29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冰水供水系统</w:t>
                  </w:r>
                </w:p>
              </w:tc>
              <w:tc>
                <w:tcPr>
                  <w:tcW w:w="3594" w:type="pct"/>
                  <w:vAlign w:val="center"/>
                </w:tcPr>
                <w:p w14:paraId="6BAA5E3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南方或同等品牌供水泵及配套设施</w:t>
                  </w:r>
                </w:p>
              </w:tc>
              <w:tc>
                <w:tcPr>
                  <w:tcW w:w="237" w:type="pct"/>
                  <w:vAlign w:val="center"/>
                </w:tcPr>
                <w:p w14:paraId="0709169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4F2F312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BE58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D4B423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D08</w:t>
                  </w:r>
                </w:p>
              </w:tc>
              <w:tc>
                <w:tcPr>
                  <w:tcW w:w="569" w:type="pct"/>
                  <w:vAlign w:val="center"/>
                </w:tcPr>
                <w:p w14:paraId="3336C19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压缩机系统</w:t>
                  </w:r>
                </w:p>
              </w:tc>
              <w:tc>
                <w:tcPr>
                  <w:tcW w:w="3594" w:type="pct"/>
                  <w:vAlign w:val="center"/>
                </w:tcPr>
                <w:p w14:paraId="2BF6535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1.出气量：3.5m³/min；2.高效永磁节能变频空压机主机；3.配套冷干机一台、三级过滤装置一套；4.1m³压缩空气干罐1个；5.1m³压缩空气湿罐1个</w:t>
                  </w:r>
                </w:p>
              </w:tc>
              <w:tc>
                <w:tcPr>
                  <w:tcW w:w="237" w:type="pct"/>
                  <w:vAlign w:val="center"/>
                </w:tcPr>
                <w:p w14:paraId="74FC5FE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177236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010269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984D06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D09</w:t>
                  </w:r>
                </w:p>
              </w:tc>
              <w:tc>
                <w:tcPr>
                  <w:tcW w:w="569" w:type="pct"/>
                  <w:vAlign w:val="center"/>
                </w:tcPr>
                <w:p w14:paraId="25F1550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RO水系统</w:t>
                  </w:r>
                </w:p>
              </w:tc>
              <w:tc>
                <w:tcPr>
                  <w:tcW w:w="3594" w:type="pct"/>
                  <w:vAlign w:val="center"/>
                </w:tcPr>
                <w:p w14:paraId="365C2BE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fldChar w:fldCharType="begin"/>
                  </w:r>
                  <w:r>
                    <w:rPr>
                      <w:rFonts w:hint="default" w:ascii="Times New Roman" w:hAnsi="Times New Roman" w:cs="Times New Roman"/>
                      <w:color w:val="auto"/>
                      <w:sz w:val="15"/>
                      <w:szCs w:val="15"/>
                      <w:highlight w:val="none"/>
                      <w:vertAlign w:val="baseline"/>
                      <w:lang w:val="en-US" w:eastAsia="zh-CN"/>
                    </w:rPr>
                    <w:instrText xml:space="preserve"> HYPERLINK "https://1.ro/" \t "https://chat.deepseek.com/a/chat/s/_blank" </w:instrText>
                  </w:r>
                  <w:r>
                    <w:rPr>
                      <w:rFonts w:hint="default" w:ascii="Times New Roman" w:hAnsi="Times New Roman" w:cs="Times New Roman"/>
                      <w:color w:val="auto"/>
                      <w:sz w:val="15"/>
                      <w:szCs w:val="15"/>
                      <w:highlight w:val="none"/>
                      <w:vertAlign w:val="baseline"/>
                      <w:lang w:val="en-US" w:eastAsia="zh-CN"/>
                    </w:rPr>
                    <w:fldChar w:fldCharType="separate"/>
                  </w:r>
                  <w:r>
                    <w:rPr>
                      <w:rFonts w:hint="default" w:ascii="Times New Roman" w:hAnsi="Times New Roman" w:cs="Times New Roman"/>
                      <w:color w:val="auto"/>
                      <w:sz w:val="15"/>
                      <w:szCs w:val="15"/>
                      <w:highlight w:val="none"/>
                      <w:vertAlign w:val="baseline"/>
                      <w:lang w:val="en-US" w:eastAsia="zh-CN"/>
                    </w:rPr>
                    <w:t>1.RO</w:t>
                  </w:r>
                  <w:r>
                    <w:rPr>
                      <w:rFonts w:hint="default" w:ascii="Times New Roman" w:hAnsi="Times New Roman" w:cs="Times New Roman"/>
                      <w:color w:val="auto"/>
                      <w:sz w:val="15"/>
                      <w:szCs w:val="15"/>
                      <w:highlight w:val="none"/>
                      <w:vertAlign w:val="baseline"/>
                      <w:lang w:val="en-US" w:eastAsia="zh-CN"/>
                    </w:rPr>
                    <w:fldChar w:fldCharType="end"/>
                  </w:r>
                  <w:r>
                    <w:rPr>
                      <w:rFonts w:hint="default" w:ascii="Times New Roman" w:hAnsi="Times New Roman" w:cs="Times New Roman"/>
                      <w:color w:val="auto"/>
                      <w:sz w:val="15"/>
                      <w:szCs w:val="15"/>
                      <w:highlight w:val="none"/>
                      <w:vertAlign w:val="baseline"/>
                      <w:lang w:val="en-US" w:eastAsia="zh-CN"/>
                    </w:rPr>
                    <w:t>水产能：5T/h；2.系统包括主机、原水泵、软化水泵、反渗透装置、精密过滤器、自动控制等，配SUS304材质控制柜</w:t>
                  </w:r>
                </w:p>
              </w:tc>
              <w:tc>
                <w:tcPr>
                  <w:tcW w:w="237" w:type="pct"/>
                  <w:vAlign w:val="center"/>
                </w:tcPr>
                <w:p w14:paraId="48F9362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6F33464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64591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846035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D10</w:t>
                  </w:r>
                </w:p>
              </w:tc>
              <w:tc>
                <w:tcPr>
                  <w:tcW w:w="569" w:type="pct"/>
                  <w:vAlign w:val="center"/>
                </w:tcPr>
                <w:p w14:paraId="61F95B5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原水罐</w:t>
                  </w:r>
                </w:p>
              </w:tc>
              <w:tc>
                <w:tcPr>
                  <w:tcW w:w="3594" w:type="pct"/>
                  <w:vAlign w:val="center"/>
                </w:tcPr>
                <w:p w14:paraId="462F6D6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1.容积：5000L；2.不锈钢304材质制造，单层罐，厚度δ=2.5mm；3.顶部配套呼吸阀、人孔；4.配套国产液位传感器</w:t>
                  </w:r>
                </w:p>
              </w:tc>
              <w:tc>
                <w:tcPr>
                  <w:tcW w:w="237" w:type="pct"/>
                  <w:vAlign w:val="center"/>
                </w:tcPr>
                <w:p w14:paraId="474291D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4B274A3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BD00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599010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D11</w:t>
                  </w:r>
                </w:p>
              </w:tc>
              <w:tc>
                <w:tcPr>
                  <w:tcW w:w="569" w:type="pct"/>
                  <w:vAlign w:val="center"/>
                </w:tcPr>
                <w:p w14:paraId="028210B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RO水罐</w:t>
                  </w:r>
                </w:p>
              </w:tc>
              <w:tc>
                <w:tcPr>
                  <w:tcW w:w="3594" w:type="pct"/>
                  <w:vAlign w:val="center"/>
                </w:tcPr>
                <w:p w14:paraId="6B415EA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1.容积10000L；2.不锈钢304材质制造，单层罐，厚度δ=2.5mm；3.顶部配套呼吸阀、人孔；4.配套国产液位传感器</w:t>
                  </w:r>
                </w:p>
              </w:tc>
              <w:tc>
                <w:tcPr>
                  <w:tcW w:w="237" w:type="pct"/>
                  <w:vAlign w:val="center"/>
                </w:tcPr>
                <w:p w14:paraId="1CA00FF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452D61C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1592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6E70EA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D12</w:t>
                  </w:r>
                </w:p>
              </w:tc>
              <w:tc>
                <w:tcPr>
                  <w:tcW w:w="569" w:type="pct"/>
                  <w:vAlign w:val="center"/>
                </w:tcPr>
                <w:p w14:paraId="2C600EF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恒压供水系统</w:t>
                  </w:r>
                </w:p>
              </w:tc>
              <w:tc>
                <w:tcPr>
                  <w:tcW w:w="3594" w:type="pct"/>
                  <w:vAlign w:val="center"/>
                </w:tcPr>
                <w:p w14:paraId="1808752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1.配套国产优质变频器1台；2.配套50L缓冲罐</w:t>
                  </w:r>
                </w:p>
              </w:tc>
              <w:tc>
                <w:tcPr>
                  <w:tcW w:w="237" w:type="pct"/>
                  <w:vAlign w:val="center"/>
                </w:tcPr>
                <w:p w14:paraId="5EEF9EA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627177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7D8588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63F076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D13</w:t>
                  </w:r>
                </w:p>
              </w:tc>
              <w:tc>
                <w:tcPr>
                  <w:tcW w:w="569" w:type="pct"/>
                  <w:vAlign w:val="center"/>
                </w:tcPr>
                <w:p w14:paraId="0305DCA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蒸汽锅炉</w:t>
                  </w:r>
                </w:p>
              </w:tc>
              <w:tc>
                <w:tcPr>
                  <w:tcW w:w="3594" w:type="pct"/>
                  <w:vAlign w:val="center"/>
                </w:tcPr>
                <w:p w14:paraId="15FCE90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w:t>
                  </w:r>
                </w:p>
              </w:tc>
              <w:tc>
                <w:tcPr>
                  <w:tcW w:w="237" w:type="pct"/>
                  <w:vAlign w:val="center"/>
                </w:tcPr>
                <w:p w14:paraId="7C9CEB3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278F6E7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739F3E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1DE001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D14</w:t>
                  </w:r>
                </w:p>
              </w:tc>
              <w:tc>
                <w:tcPr>
                  <w:tcW w:w="569" w:type="pct"/>
                  <w:vAlign w:val="center"/>
                </w:tcPr>
                <w:p w14:paraId="2612563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D段控制柜</w:t>
                  </w:r>
                </w:p>
              </w:tc>
              <w:tc>
                <w:tcPr>
                  <w:tcW w:w="3594" w:type="pct"/>
                  <w:vAlign w:val="center"/>
                </w:tcPr>
                <w:p w14:paraId="7D003C1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1.电气柜：仿威图，304材质，门板厚度2.0，柜体1.5，配有散热系统，照明系统；2.变频器：伟创或同级品牌；3.低压元器件：正泰品牌；4.报警灯：配有三色，根据不同报警进行频闪提示</w:t>
                  </w:r>
                </w:p>
              </w:tc>
              <w:tc>
                <w:tcPr>
                  <w:tcW w:w="237" w:type="pct"/>
                  <w:vAlign w:val="center"/>
                </w:tcPr>
                <w:p w14:paraId="0E05D21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610475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05C7B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DA813C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D15</w:t>
                  </w:r>
                </w:p>
              </w:tc>
              <w:tc>
                <w:tcPr>
                  <w:tcW w:w="569" w:type="pct"/>
                  <w:vAlign w:val="center"/>
                </w:tcPr>
                <w:p w14:paraId="5130620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动力柜</w:t>
                  </w:r>
                </w:p>
              </w:tc>
              <w:tc>
                <w:tcPr>
                  <w:tcW w:w="3594" w:type="pct"/>
                  <w:vAlign w:val="center"/>
                </w:tcPr>
                <w:p w14:paraId="3FEB940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1.柜体采用碳钢，表面喷塑；2.正泰元器件</w:t>
                  </w:r>
                </w:p>
              </w:tc>
              <w:tc>
                <w:tcPr>
                  <w:tcW w:w="237" w:type="pct"/>
                  <w:vAlign w:val="center"/>
                </w:tcPr>
                <w:p w14:paraId="6B8E0BA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F104CA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3</w:t>
                  </w:r>
                </w:p>
              </w:tc>
            </w:tr>
            <w:tr w14:paraId="4FFA2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7B9EB473">
                  <w:pPr>
                    <w:keepNext w:val="0"/>
                    <w:keepLines w:val="0"/>
                    <w:pageBreakBefore w:val="0"/>
                    <w:widowControl w:val="0"/>
                    <w:kinsoku/>
                    <w:wordWrap/>
                    <w:overflowPunct/>
                    <w:topLinePunct w:val="0"/>
                    <w:autoSpaceDE w:val="0"/>
                    <w:autoSpaceDN/>
                    <w:bidi w:val="0"/>
                    <w:adjustRightInd/>
                    <w:snapToGrid/>
                    <w:spacing w:line="200" w:lineRule="exact"/>
                    <w:jc w:val="left"/>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b/>
                      <w:bCs/>
                      <w:color w:val="auto"/>
                      <w:sz w:val="15"/>
                      <w:szCs w:val="15"/>
                      <w:highlight w:val="none"/>
                      <w:vertAlign w:val="baseline"/>
                      <w:lang w:val="en-US" w:eastAsia="zh-CN"/>
                    </w:rPr>
                    <w:t>化验室设备配置表</w:t>
                  </w:r>
                </w:p>
              </w:tc>
            </w:tr>
            <w:tr w14:paraId="71B9F7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EF4B6D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c>
                <w:tcPr>
                  <w:tcW w:w="569" w:type="pct"/>
                  <w:vAlign w:val="center"/>
                </w:tcPr>
                <w:p w14:paraId="170E463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阿贝折射仪</w:t>
                  </w:r>
                </w:p>
              </w:tc>
              <w:tc>
                <w:tcPr>
                  <w:tcW w:w="3594" w:type="pct"/>
                  <w:vAlign w:val="center"/>
                </w:tcPr>
                <w:p w14:paraId="1D9F6F6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PAL-1</w:t>
                  </w:r>
                </w:p>
              </w:tc>
              <w:tc>
                <w:tcPr>
                  <w:tcW w:w="237" w:type="pct"/>
                  <w:vAlign w:val="center"/>
                </w:tcPr>
                <w:p w14:paraId="2C55392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1866F01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2E09F4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2520E1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c>
                <w:tcPr>
                  <w:tcW w:w="569" w:type="pct"/>
                  <w:vAlign w:val="center"/>
                </w:tcPr>
                <w:p w14:paraId="3BF08CF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电导率仪</w:t>
                  </w:r>
                </w:p>
              </w:tc>
              <w:tc>
                <w:tcPr>
                  <w:tcW w:w="3594" w:type="pct"/>
                  <w:vAlign w:val="center"/>
                </w:tcPr>
                <w:p w14:paraId="30AE724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a-AB33ECZH</w:t>
                  </w:r>
                </w:p>
              </w:tc>
              <w:tc>
                <w:tcPr>
                  <w:tcW w:w="237" w:type="pct"/>
                  <w:vAlign w:val="center"/>
                </w:tcPr>
                <w:p w14:paraId="598927D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546F025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AE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89561B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3</w:t>
                  </w:r>
                </w:p>
              </w:tc>
              <w:tc>
                <w:tcPr>
                  <w:tcW w:w="569" w:type="pct"/>
                  <w:vAlign w:val="center"/>
                </w:tcPr>
                <w:p w14:paraId="3C3EADF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玻璃器皿</w:t>
                  </w:r>
                </w:p>
              </w:tc>
              <w:tc>
                <w:tcPr>
                  <w:tcW w:w="3594" w:type="pct"/>
                  <w:vAlign w:val="center"/>
                </w:tcPr>
                <w:p w14:paraId="0EA99EA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标准</w:t>
                  </w:r>
                </w:p>
              </w:tc>
              <w:tc>
                <w:tcPr>
                  <w:tcW w:w="237" w:type="pct"/>
                  <w:vAlign w:val="center"/>
                </w:tcPr>
                <w:p w14:paraId="1238D48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782A7BA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50</w:t>
                  </w:r>
                </w:p>
              </w:tc>
            </w:tr>
            <w:tr w14:paraId="7ECB4D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6655DB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4</w:t>
                  </w:r>
                </w:p>
              </w:tc>
              <w:tc>
                <w:tcPr>
                  <w:tcW w:w="569" w:type="pct"/>
                  <w:vAlign w:val="center"/>
                </w:tcPr>
                <w:p w14:paraId="78FCE9F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手持糖度仪</w:t>
                  </w:r>
                </w:p>
              </w:tc>
              <w:tc>
                <w:tcPr>
                  <w:tcW w:w="3594" w:type="pct"/>
                  <w:vAlign w:val="center"/>
                </w:tcPr>
                <w:p w14:paraId="6463F06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PLA-1</w:t>
                  </w:r>
                </w:p>
              </w:tc>
              <w:tc>
                <w:tcPr>
                  <w:tcW w:w="237" w:type="pct"/>
                  <w:vAlign w:val="center"/>
                </w:tcPr>
                <w:p w14:paraId="0E11660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18F12DC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w:t>
                  </w:r>
                </w:p>
              </w:tc>
            </w:tr>
            <w:tr w14:paraId="2CF65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E7A03A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w:t>
                  </w:r>
                </w:p>
              </w:tc>
              <w:tc>
                <w:tcPr>
                  <w:tcW w:w="569" w:type="pct"/>
                  <w:vAlign w:val="center"/>
                </w:tcPr>
                <w:p w14:paraId="4B91555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化验式电脑</w:t>
                  </w:r>
                </w:p>
              </w:tc>
              <w:tc>
                <w:tcPr>
                  <w:tcW w:w="3594" w:type="pct"/>
                  <w:vAlign w:val="center"/>
                </w:tcPr>
                <w:p w14:paraId="4EE3C3B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237" w:type="pct"/>
                  <w:vAlign w:val="center"/>
                </w:tcPr>
                <w:p w14:paraId="239F028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2915112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084AA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06EA4E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6</w:t>
                  </w:r>
                </w:p>
              </w:tc>
              <w:tc>
                <w:tcPr>
                  <w:tcW w:w="569" w:type="pct"/>
                  <w:vAlign w:val="center"/>
                </w:tcPr>
                <w:p w14:paraId="4FC3109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ISO900笔记本</w:t>
                  </w:r>
                </w:p>
              </w:tc>
              <w:tc>
                <w:tcPr>
                  <w:tcW w:w="3594" w:type="pct"/>
                  <w:vAlign w:val="center"/>
                </w:tcPr>
                <w:p w14:paraId="71A18D8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237" w:type="pct"/>
                  <w:vAlign w:val="center"/>
                </w:tcPr>
                <w:p w14:paraId="4AA52E9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43A381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2A9FA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DC4EEF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7</w:t>
                  </w:r>
                </w:p>
              </w:tc>
              <w:tc>
                <w:tcPr>
                  <w:tcW w:w="569" w:type="pct"/>
                  <w:vAlign w:val="center"/>
                </w:tcPr>
                <w:p w14:paraId="65CD454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多功能打印机</w:t>
                  </w:r>
                </w:p>
              </w:tc>
              <w:tc>
                <w:tcPr>
                  <w:tcW w:w="3594" w:type="pct"/>
                  <w:vAlign w:val="center"/>
                </w:tcPr>
                <w:p w14:paraId="7A3AF8B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237" w:type="pct"/>
                  <w:vAlign w:val="center"/>
                </w:tcPr>
                <w:p w14:paraId="23EDD24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2AECAD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AE86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04879B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8</w:t>
                  </w:r>
                </w:p>
              </w:tc>
              <w:tc>
                <w:tcPr>
                  <w:tcW w:w="569" w:type="pct"/>
                  <w:vAlign w:val="center"/>
                </w:tcPr>
                <w:p w14:paraId="72E156F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多功能化验台</w:t>
                  </w:r>
                </w:p>
              </w:tc>
              <w:tc>
                <w:tcPr>
                  <w:tcW w:w="3594" w:type="pct"/>
                  <w:vAlign w:val="center"/>
                </w:tcPr>
                <w:p w14:paraId="70126B3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237" w:type="pct"/>
                  <w:vAlign w:val="center"/>
                </w:tcPr>
                <w:p w14:paraId="7C1A333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5D3660E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723C7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A5FDF7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9</w:t>
                  </w:r>
                </w:p>
              </w:tc>
              <w:tc>
                <w:tcPr>
                  <w:tcW w:w="569" w:type="pct"/>
                  <w:vAlign w:val="center"/>
                </w:tcPr>
                <w:p w14:paraId="31E2FAB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电子天平</w:t>
                  </w:r>
                </w:p>
              </w:tc>
              <w:tc>
                <w:tcPr>
                  <w:tcW w:w="3594" w:type="pct"/>
                  <w:vAlign w:val="center"/>
                </w:tcPr>
                <w:p w14:paraId="59953D6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237" w:type="pct"/>
                  <w:vAlign w:val="center"/>
                </w:tcPr>
                <w:p w14:paraId="12ECEDB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0049370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6DDD7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6E7982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w:t>
                  </w:r>
                </w:p>
              </w:tc>
              <w:tc>
                <w:tcPr>
                  <w:tcW w:w="569" w:type="pct"/>
                  <w:vAlign w:val="center"/>
                </w:tcPr>
                <w:p w14:paraId="17DF059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电热恒温培养箱</w:t>
                  </w:r>
                </w:p>
              </w:tc>
              <w:tc>
                <w:tcPr>
                  <w:tcW w:w="3594" w:type="pct"/>
                  <w:vAlign w:val="center"/>
                </w:tcPr>
                <w:p w14:paraId="110B50D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SPL-150</w:t>
                  </w:r>
                </w:p>
              </w:tc>
              <w:tc>
                <w:tcPr>
                  <w:tcW w:w="237" w:type="pct"/>
                  <w:vAlign w:val="center"/>
                </w:tcPr>
                <w:p w14:paraId="6948B3D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FC1430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E06EB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4C2050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11</w:t>
                  </w:r>
                </w:p>
              </w:tc>
              <w:tc>
                <w:tcPr>
                  <w:tcW w:w="569" w:type="pct"/>
                  <w:vAlign w:val="center"/>
                </w:tcPr>
                <w:p w14:paraId="379D776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电热鼓风干燥箱</w:t>
                  </w:r>
                </w:p>
              </w:tc>
              <w:tc>
                <w:tcPr>
                  <w:tcW w:w="3594" w:type="pct"/>
                  <w:vAlign w:val="center"/>
                </w:tcPr>
                <w:p w14:paraId="239D621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101-A</w:t>
                  </w:r>
                </w:p>
              </w:tc>
              <w:tc>
                <w:tcPr>
                  <w:tcW w:w="237" w:type="pct"/>
                  <w:vAlign w:val="center"/>
                </w:tcPr>
                <w:p w14:paraId="73D2534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7510297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74243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2BB905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12</w:t>
                  </w:r>
                </w:p>
              </w:tc>
              <w:tc>
                <w:tcPr>
                  <w:tcW w:w="569" w:type="pct"/>
                  <w:vAlign w:val="center"/>
                </w:tcPr>
                <w:p w14:paraId="3C156BD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立式高压蒸汽灭菌锅</w:t>
                  </w:r>
                </w:p>
              </w:tc>
              <w:tc>
                <w:tcPr>
                  <w:tcW w:w="3594" w:type="pct"/>
                  <w:vAlign w:val="center"/>
                </w:tcPr>
                <w:p w14:paraId="41B9F7E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LZDH-30L</w:t>
                  </w:r>
                </w:p>
              </w:tc>
              <w:tc>
                <w:tcPr>
                  <w:tcW w:w="237" w:type="pct"/>
                  <w:vAlign w:val="center"/>
                </w:tcPr>
                <w:p w14:paraId="7D4F938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667D13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387EB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8FBECF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13</w:t>
                  </w:r>
                </w:p>
              </w:tc>
              <w:tc>
                <w:tcPr>
                  <w:tcW w:w="569" w:type="pct"/>
                  <w:vAlign w:val="center"/>
                </w:tcPr>
                <w:p w14:paraId="04CC105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滴定管（碱式）</w:t>
                  </w:r>
                </w:p>
              </w:tc>
              <w:tc>
                <w:tcPr>
                  <w:tcW w:w="3594" w:type="pct"/>
                  <w:vAlign w:val="center"/>
                </w:tcPr>
                <w:p w14:paraId="33CF7C3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25ml</w:t>
                  </w:r>
                </w:p>
              </w:tc>
              <w:tc>
                <w:tcPr>
                  <w:tcW w:w="237" w:type="pct"/>
                  <w:vAlign w:val="center"/>
                </w:tcPr>
                <w:p w14:paraId="599C55C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4846D46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w:t>
                  </w:r>
                </w:p>
              </w:tc>
            </w:tr>
            <w:tr w14:paraId="1BE0BE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3E977A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14</w:t>
                  </w:r>
                </w:p>
              </w:tc>
              <w:tc>
                <w:tcPr>
                  <w:tcW w:w="569" w:type="pct"/>
                  <w:vAlign w:val="center"/>
                </w:tcPr>
                <w:p w14:paraId="60C4DAB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滴定管（酸式）</w:t>
                  </w:r>
                </w:p>
              </w:tc>
              <w:tc>
                <w:tcPr>
                  <w:tcW w:w="3594" w:type="pct"/>
                  <w:vAlign w:val="center"/>
                </w:tcPr>
                <w:p w14:paraId="076B01A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25ml</w:t>
                  </w:r>
                </w:p>
              </w:tc>
              <w:tc>
                <w:tcPr>
                  <w:tcW w:w="237" w:type="pct"/>
                  <w:vAlign w:val="center"/>
                </w:tcPr>
                <w:p w14:paraId="13A4A6D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4B7D0C0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w:t>
                  </w:r>
                </w:p>
              </w:tc>
            </w:tr>
            <w:tr w14:paraId="39422A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F5AC3B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15</w:t>
                  </w:r>
                </w:p>
              </w:tc>
              <w:tc>
                <w:tcPr>
                  <w:tcW w:w="569" w:type="pct"/>
                  <w:vAlign w:val="center"/>
                </w:tcPr>
                <w:p w14:paraId="7A8F6FA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滴定台</w:t>
                  </w:r>
                </w:p>
              </w:tc>
              <w:tc>
                <w:tcPr>
                  <w:tcW w:w="3594" w:type="pct"/>
                  <w:vAlign w:val="center"/>
                </w:tcPr>
                <w:p w14:paraId="1BE5879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237" w:type="pct"/>
                  <w:vAlign w:val="center"/>
                </w:tcPr>
                <w:p w14:paraId="48B973A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2CF6AD6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4D8A9C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1FBA0C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16</w:t>
                  </w:r>
                </w:p>
              </w:tc>
              <w:tc>
                <w:tcPr>
                  <w:tcW w:w="569" w:type="pct"/>
                  <w:vAlign w:val="center"/>
                </w:tcPr>
                <w:p w14:paraId="723A8CB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电子温度计</w:t>
                  </w:r>
                </w:p>
              </w:tc>
              <w:tc>
                <w:tcPr>
                  <w:tcW w:w="3594" w:type="pct"/>
                  <w:vAlign w:val="center"/>
                </w:tcPr>
                <w:p w14:paraId="4B0F571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237" w:type="pct"/>
                  <w:vAlign w:val="center"/>
                </w:tcPr>
                <w:p w14:paraId="60AECB4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372239E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8</w:t>
                  </w:r>
                </w:p>
              </w:tc>
            </w:tr>
            <w:tr w14:paraId="375828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405B41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17</w:t>
                  </w:r>
                </w:p>
              </w:tc>
              <w:tc>
                <w:tcPr>
                  <w:tcW w:w="569" w:type="pct"/>
                  <w:vAlign w:val="center"/>
                </w:tcPr>
                <w:p w14:paraId="560BBA7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PH计</w:t>
                  </w:r>
                </w:p>
              </w:tc>
              <w:tc>
                <w:tcPr>
                  <w:tcW w:w="3594" w:type="pct"/>
                  <w:vAlign w:val="center"/>
                </w:tcPr>
                <w:p w14:paraId="1039BD4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FE28</w:t>
                  </w:r>
                </w:p>
              </w:tc>
              <w:tc>
                <w:tcPr>
                  <w:tcW w:w="237" w:type="pct"/>
                  <w:vAlign w:val="center"/>
                </w:tcPr>
                <w:p w14:paraId="5E3B622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663CB71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w:t>
                  </w:r>
                </w:p>
              </w:tc>
            </w:tr>
            <w:tr w14:paraId="42F432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3E1118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18</w:t>
                  </w:r>
                </w:p>
              </w:tc>
              <w:tc>
                <w:tcPr>
                  <w:tcW w:w="569" w:type="pct"/>
                  <w:vAlign w:val="center"/>
                </w:tcPr>
                <w:p w14:paraId="1A44A28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天平</w:t>
                  </w:r>
                </w:p>
              </w:tc>
              <w:tc>
                <w:tcPr>
                  <w:tcW w:w="3594" w:type="pct"/>
                  <w:vAlign w:val="center"/>
                </w:tcPr>
                <w:p w14:paraId="1D8E045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237" w:type="pct"/>
                  <w:vAlign w:val="center"/>
                </w:tcPr>
                <w:p w14:paraId="70F43A1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46E96D2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31435B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81A1E1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19</w:t>
                  </w:r>
                </w:p>
              </w:tc>
              <w:tc>
                <w:tcPr>
                  <w:tcW w:w="569" w:type="pct"/>
                  <w:vAlign w:val="center"/>
                </w:tcPr>
                <w:p w14:paraId="4F6A8FE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搅拌机</w:t>
                  </w:r>
                </w:p>
              </w:tc>
              <w:tc>
                <w:tcPr>
                  <w:tcW w:w="3594" w:type="pct"/>
                  <w:vAlign w:val="center"/>
                </w:tcPr>
                <w:p w14:paraId="460C72F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237" w:type="pct"/>
                  <w:vAlign w:val="center"/>
                </w:tcPr>
                <w:p w14:paraId="697B50C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0667D33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26C71C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CB1254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20</w:t>
                  </w:r>
                </w:p>
              </w:tc>
              <w:tc>
                <w:tcPr>
                  <w:tcW w:w="569" w:type="pct"/>
                  <w:vAlign w:val="center"/>
                </w:tcPr>
                <w:p w14:paraId="6F217E2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生物显微镜</w:t>
                  </w:r>
                </w:p>
              </w:tc>
              <w:tc>
                <w:tcPr>
                  <w:tcW w:w="3594" w:type="pct"/>
                  <w:vAlign w:val="center"/>
                </w:tcPr>
                <w:p w14:paraId="47F1525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BX303</w:t>
                  </w:r>
                </w:p>
              </w:tc>
              <w:tc>
                <w:tcPr>
                  <w:tcW w:w="237" w:type="pct"/>
                  <w:vAlign w:val="center"/>
                </w:tcPr>
                <w:p w14:paraId="416103A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3027DFA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CD2F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CEBA90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21</w:t>
                  </w:r>
                </w:p>
              </w:tc>
              <w:tc>
                <w:tcPr>
                  <w:tcW w:w="569" w:type="pct"/>
                  <w:vAlign w:val="center"/>
                </w:tcPr>
                <w:p w14:paraId="79B64A1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试剂柜</w:t>
                  </w:r>
                </w:p>
              </w:tc>
              <w:tc>
                <w:tcPr>
                  <w:tcW w:w="3594" w:type="pct"/>
                  <w:vAlign w:val="center"/>
                </w:tcPr>
                <w:p w14:paraId="57B43A8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定制/BX01</w:t>
                  </w:r>
                </w:p>
              </w:tc>
              <w:tc>
                <w:tcPr>
                  <w:tcW w:w="237" w:type="pct"/>
                  <w:vAlign w:val="center"/>
                </w:tcPr>
                <w:p w14:paraId="00D4DF0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14EF2A3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w:t>
                  </w:r>
                </w:p>
              </w:tc>
            </w:tr>
            <w:tr w14:paraId="1CF740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A356A1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22</w:t>
                  </w:r>
                </w:p>
              </w:tc>
              <w:tc>
                <w:tcPr>
                  <w:tcW w:w="569" w:type="pct"/>
                  <w:vAlign w:val="center"/>
                </w:tcPr>
                <w:p w14:paraId="6FC1658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酒精计</w:t>
                  </w:r>
                </w:p>
              </w:tc>
              <w:tc>
                <w:tcPr>
                  <w:tcW w:w="3594" w:type="pct"/>
                  <w:vAlign w:val="center"/>
                </w:tcPr>
                <w:p w14:paraId="25A1A29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237" w:type="pct"/>
                  <w:vAlign w:val="center"/>
                </w:tcPr>
                <w:p w14:paraId="2E1856D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2515441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w:t>
                  </w:r>
                </w:p>
              </w:tc>
            </w:tr>
            <w:tr w14:paraId="684861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541E79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23</w:t>
                  </w:r>
                </w:p>
              </w:tc>
              <w:tc>
                <w:tcPr>
                  <w:tcW w:w="569" w:type="pct"/>
                  <w:vAlign w:val="center"/>
                </w:tcPr>
                <w:p w14:paraId="73B4D9F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磁力搅拌器</w:t>
                  </w:r>
                </w:p>
              </w:tc>
              <w:tc>
                <w:tcPr>
                  <w:tcW w:w="3594" w:type="pct"/>
                  <w:vAlign w:val="center"/>
                </w:tcPr>
                <w:p w14:paraId="0CDEC06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型号29956</w:t>
                  </w:r>
                </w:p>
              </w:tc>
              <w:tc>
                <w:tcPr>
                  <w:tcW w:w="237" w:type="pct"/>
                  <w:vAlign w:val="center"/>
                </w:tcPr>
                <w:p w14:paraId="355D1F7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07B42F9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1DECE2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A19DFB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24</w:t>
                  </w:r>
                </w:p>
              </w:tc>
              <w:tc>
                <w:tcPr>
                  <w:tcW w:w="569" w:type="pct"/>
                  <w:vAlign w:val="center"/>
                </w:tcPr>
                <w:p w14:paraId="7BBD902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电磁炉</w:t>
                  </w:r>
                </w:p>
              </w:tc>
              <w:tc>
                <w:tcPr>
                  <w:tcW w:w="3594" w:type="pct"/>
                  <w:vAlign w:val="center"/>
                </w:tcPr>
                <w:p w14:paraId="6D51A5E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p>
              </w:tc>
              <w:tc>
                <w:tcPr>
                  <w:tcW w:w="237" w:type="pct"/>
                  <w:vAlign w:val="center"/>
                </w:tcPr>
                <w:p w14:paraId="6055677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1AF3F31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7E797F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2FD3D4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25</w:t>
                  </w:r>
                </w:p>
              </w:tc>
              <w:tc>
                <w:tcPr>
                  <w:tcW w:w="569" w:type="pct"/>
                  <w:vAlign w:val="center"/>
                </w:tcPr>
                <w:p w14:paraId="7578413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紫外可见分光光度计</w:t>
                  </w:r>
                </w:p>
              </w:tc>
              <w:tc>
                <w:tcPr>
                  <w:tcW w:w="3594" w:type="pct"/>
                  <w:vAlign w:val="center"/>
                </w:tcPr>
                <w:p w14:paraId="107164D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型号：752</w:t>
                  </w:r>
                </w:p>
              </w:tc>
              <w:tc>
                <w:tcPr>
                  <w:tcW w:w="237" w:type="pct"/>
                  <w:vAlign w:val="center"/>
                </w:tcPr>
                <w:p w14:paraId="39C1B27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46CE070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AF739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7AC9D834">
                  <w:pPr>
                    <w:keepNext w:val="0"/>
                    <w:keepLines w:val="0"/>
                    <w:pageBreakBefore w:val="0"/>
                    <w:widowControl w:val="0"/>
                    <w:kinsoku/>
                    <w:wordWrap/>
                    <w:overflowPunct/>
                    <w:topLinePunct w:val="0"/>
                    <w:autoSpaceDE w:val="0"/>
                    <w:autoSpaceDN/>
                    <w:bidi w:val="0"/>
                    <w:adjustRightInd/>
                    <w:snapToGrid/>
                    <w:spacing w:line="200" w:lineRule="exact"/>
                    <w:jc w:val="left"/>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b/>
                      <w:bCs/>
                      <w:color w:val="auto"/>
                      <w:sz w:val="15"/>
                      <w:szCs w:val="15"/>
                      <w:highlight w:val="none"/>
                      <w:vertAlign w:val="baseline"/>
                      <w:lang w:val="en-US" w:eastAsia="zh-CN"/>
                    </w:rPr>
                    <w:t>冷库设备配置表</w:t>
                  </w:r>
                </w:p>
              </w:tc>
            </w:tr>
            <w:tr w14:paraId="0F692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478272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c>
                <w:tcPr>
                  <w:tcW w:w="4710" w:type="pct"/>
                  <w:gridSpan w:val="4"/>
                  <w:vAlign w:val="center"/>
                </w:tcPr>
                <w:p w14:paraId="5BFED72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速冻库，长9米、宽6米、高4米，设计温度-30℃，3间</w:t>
                  </w:r>
                </w:p>
              </w:tc>
            </w:tr>
            <w:tr w14:paraId="7D0AFB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F7B113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1.1</w:t>
                  </w:r>
                </w:p>
              </w:tc>
              <w:tc>
                <w:tcPr>
                  <w:tcW w:w="569" w:type="pct"/>
                  <w:vAlign w:val="center"/>
                </w:tcPr>
                <w:p w14:paraId="75EDBB9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螺杆压缩机组</w:t>
                  </w:r>
                </w:p>
              </w:tc>
              <w:tc>
                <w:tcPr>
                  <w:tcW w:w="3594" w:type="pct"/>
                  <w:vAlign w:val="center"/>
                </w:tcPr>
                <w:p w14:paraId="4D46F30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ZABLF-330L-3D，意大利富士豪FVR-L-110-380×3台，R507；标配虹吸式、带经济器、单独回气、带气分；PLC控制西门子、压力容器法斯克、交流接触器施耐德/西门子、阀件东阀/富士豪</w:t>
                  </w:r>
                </w:p>
              </w:tc>
              <w:tc>
                <w:tcPr>
                  <w:tcW w:w="237" w:type="pct"/>
                  <w:vAlign w:val="center"/>
                </w:tcPr>
                <w:p w14:paraId="5ABEB61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6D184DE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22DD0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AB2BFF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1.2</w:t>
                  </w:r>
                </w:p>
              </w:tc>
              <w:tc>
                <w:tcPr>
                  <w:tcW w:w="569" w:type="pct"/>
                  <w:vAlign w:val="center"/>
                </w:tcPr>
                <w:p w14:paraId="56504F1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蒸发式冷凝器</w:t>
                  </w:r>
                </w:p>
              </w:tc>
              <w:tc>
                <w:tcPr>
                  <w:tcW w:w="3594" w:type="pct"/>
                  <w:vAlign w:val="center"/>
                </w:tcPr>
                <w:p w14:paraId="39453D1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1800KW，逆流式，樊钢镀铝锌板、整体热</w:t>
                  </w:r>
                  <w:r>
                    <w:rPr>
                      <w:rFonts w:hint="eastAsia" w:cs="Times New Roman"/>
                      <w:color w:val="auto"/>
                      <w:sz w:val="15"/>
                      <w:szCs w:val="15"/>
                      <w:highlight w:val="none"/>
                      <w:vertAlign w:val="baseline"/>
                      <w:lang w:val="en-US" w:eastAsia="zh-CN"/>
                    </w:rPr>
                    <w:t>浸</w:t>
                  </w:r>
                  <w:r>
                    <w:rPr>
                      <w:rFonts w:hint="default" w:ascii="Times New Roman" w:hAnsi="Times New Roman" w:cs="Times New Roman"/>
                      <w:color w:val="auto"/>
                      <w:sz w:val="15"/>
                      <w:szCs w:val="15"/>
                      <w:highlight w:val="none"/>
                      <w:vertAlign w:val="baseline"/>
                      <w:lang w:val="en-US" w:eastAsia="zh-CN"/>
                    </w:rPr>
                    <w:t>锌高频散热器、立式水泵带爬梯</w:t>
                  </w:r>
                </w:p>
              </w:tc>
              <w:tc>
                <w:tcPr>
                  <w:tcW w:w="237" w:type="pct"/>
                  <w:vAlign w:val="center"/>
                </w:tcPr>
                <w:p w14:paraId="0B16A4A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8F8E0B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464B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5F21D9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1.3</w:t>
                  </w:r>
                </w:p>
              </w:tc>
              <w:tc>
                <w:tcPr>
                  <w:tcW w:w="569" w:type="pct"/>
                  <w:vAlign w:val="center"/>
                </w:tcPr>
                <w:p w14:paraId="7DEDE67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冷风机</w:t>
                  </w:r>
                </w:p>
              </w:tc>
              <w:tc>
                <w:tcPr>
                  <w:tcW w:w="3594" w:type="pct"/>
                  <w:vAlign w:val="center"/>
                </w:tcPr>
                <w:p w14:paraId="2BA292C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DJ-500，电冲霜，优质纯铜蒸发管高效型</w:t>
                  </w:r>
                </w:p>
              </w:tc>
              <w:tc>
                <w:tcPr>
                  <w:tcW w:w="237" w:type="pct"/>
                  <w:vAlign w:val="center"/>
                </w:tcPr>
                <w:p w14:paraId="5DE98C0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6CEED34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6</w:t>
                  </w:r>
                </w:p>
              </w:tc>
            </w:tr>
            <w:tr w14:paraId="5D0C9B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D01952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1.4</w:t>
                  </w:r>
                </w:p>
              </w:tc>
              <w:tc>
                <w:tcPr>
                  <w:tcW w:w="569" w:type="pct"/>
                  <w:vAlign w:val="center"/>
                </w:tcPr>
                <w:p w14:paraId="46C9DBB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R507制冷剂</w:t>
                  </w:r>
                </w:p>
              </w:tc>
              <w:tc>
                <w:tcPr>
                  <w:tcW w:w="3594" w:type="pct"/>
                  <w:vAlign w:val="center"/>
                </w:tcPr>
                <w:p w14:paraId="04B9262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瓶装（10kg/瓶）</w:t>
                  </w:r>
                </w:p>
              </w:tc>
              <w:tc>
                <w:tcPr>
                  <w:tcW w:w="237" w:type="pct"/>
                  <w:vAlign w:val="center"/>
                </w:tcPr>
                <w:p w14:paraId="69234C3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瓶</w:t>
                  </w:r>
                </w:p>
              </w:tc>
              <w:tc>
                <w:tcPr>
                  <w:tcW w:w="308" w:type="pct"/>
                  <w:vAlign w:val="center"/>
                </w:tcPr>
                <w:p w14:paraId="5B7B6D8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120</w:t>
                  </w:r>
                </w:p>
              </w:tc>
            </w:tr>
            <w:tr w14:paraId="4B057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76DE55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1.5</w:t>
                  </w:r>
                </w:p>
              </w:tc>
              <w:tc>
                <w:tcPr>
                  <w:tcW w:w="569" w:type="pct"/>
                  <w:vAlign w:val="center"/>
                </w:tcPr>
                <w:p w14:paraId="3D21D48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膨胀阀</w:t>
                  </w:r>
                </w:p>
              </w:tc>
              <w:tc>
                <w:tcPr>
                  <w:tcW w:w="3594" w:type="pct"/>
                  <w:vAlign w:val="center"/>
                </w:tcPr>
                <w:p w14:paraId="416D367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w:t>
                  </w:r>
                </w:p>
              </w:tc>
              <w:tc>
                <w:tcPr>
                  <w:tcW w:w="237" w:type="pct"/>
                  <w:vAlign w:val="center"/>
                </w:tcPr>
                <w:p w14:paraId="4202488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1098D95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9</w:t>
                  </w:r>
                </w:p>
              </w:tc>
            </w:tr>
            <w:tr w14:paraId="61A7C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5488D0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1.6</w:t>
                  </w:r>
                </w:p>
              </w:tc>
              <w:tc>
                <w:tcPr>
                  <w:tcW w:w="569" w:type="pct"/>
                  <w:vAlign w:val="center"/>
                </w:tcPr>
                <w:p w14:paraId="6A95E54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PLC温控器</w:t>
                  </w:r>
                </w:p>
              </w:tc>
              <w:tc>
                <w:tcPr>
                  <w:tcW w:w="3594" w:type="pct"/>
                  <w:vAlign w:val="center"/>
                </w:tcPr>
                <w:p w14:paraId="7EF69B6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w:t>
                  </w:r>
                </w:p>
              </w:tc>
              <w:tc>
                <w:tcPr>
                  <w:tcW w:w="237" w:type="pct"/>
                  <w:vAlign w:val="center"/>
                </w:tcPr>
                <w:p w14:paraId="6A97F8A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77C0183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9542B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6DDBE4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1.7</w:t>
                  </w:r>
                </w:p>
              </w:tc>
              <w:tc>
                <w:tcPr>
                  <w:tcW w:w="569" w:type="pct"/>
                  <w:vAlign w:val="center"/>
                </w:tcPr>
                <w:p w14:paraId="4529BD6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铜管</w:t>
                  </w:r>
                </w:p>
              </w:tc>
              <w:tc>
                <w:tcPr>
                  <w:tcW w:w="3594" w:type="pct"/>
                  <w:vAlign w:val="center"/>
                </w:tcPr>
                <w:p w14:paraId="4D0B85D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237" w:type="pct"/>
                  <w:vAlign w:val="center"/>
                </w:tcPr>
                <w:p w14:paraId="7CA73A2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308" w:type="pct"/>
                  <w:vAlign w:val="center"/>
                </w:tcPr>
                <w:p w14:paraId="08106D8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7DBD24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DB7608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1.8</w:t>
                  </w:r>
                </w:p>
              </w:tc>
              <w:tc>
                <w:tcPr>
                  <w:tcW w:w="569" w:type="pct"/>
                  <w:vAlign w:val="center"/>
                </w:tcPr>
                <w:p w14:paraId="44D9EBA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无缝钢管</w:t>
                  </w:r>
                </w:p>
              </w:tc>
              <w:tc>
                <w:tcPr>
                  <w:tcW w:w="3594" w:type="pct"/>
                  <w:vAlign w:val="center"/>
                </w:tcPr>
                <w:p w14:paraId="2B1DA3C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54、75、89、108</w:t>
                  </w:r>
                </w:p>
              </w:tc>
              <w:tc>
                <w:tcPr>
                  <w:tcW w:w="237" w:type="pct"/>
                  <w:vAlign w:val="center"/>
                </w:tcPr>
                <w:p w14:paraId="6FEEDD7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308" w:type="pct"/>
                  <w:vAlign w:val="center"/>
                </w:tcPr>
                <w:p w14:paraId="0DAA88A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73D3B5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1902E7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1.9</w:t>
                  </w:r>
                </w:p>
              </w:tc>
              <w:tc>
                <w:tcPr>
                  <w:tcW w:w="569" w:type="pct"/>
                  <w:vAlign w:val="center"/>
                </w:tcPr>
                <w:p w14:paraId="3A247DB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球阀</w:t>
                  </w:r>
                </w:p>
              </w:tc>
              <w:tc>
                <w:tcPr>
                  <w:tcW w:w="3594" w:type="pct"/>
                  <w:vAlign w:val="center"/>
                </w:tcPr>
                <w:p w14:paraId="6BB8A68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237" w:type="pct"/>
                  <w:vAlign w:val="center"/>
                </w:tcPr>
                <w:p w14:paraId="5AFFA1C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308" w:type="pct"/>
                  <w:vAlign w:val="center"/>
                </w:tcPr>
                <w:p w14:paraId="68E634D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0CEE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698DD1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1.10</w:t>
                  </w:r>
                </w:p>
              </w:tc>
              <w:tc>
                <w:tcPr>
                  <w:tcW w:w="569" w:type="pct"/>
                  <w:vAlign w:val="center"/>
                </w:tcPr>
                <w:p w14:paraId="3C2A18C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库体保温板</w:t>
                  </w:r>
                </w:p>
              </w:tc>
              <w:tc>
                <w:tcPr>
                  <w:tcW w:w="3594" w:type="pct"/>
                  <w:vAlign w:val="center"/>
                </w:tcPr>
                <w:p w14:paraId="789F3A4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聚氨酯厚度150mm（密度40±2kg/m³），阻燃等级B1级，彩钢板厚度（基板）≥0.4mm</w:t>
                  </w:r>
                </w:p>
              </w:tc>
              <w:tc>
                <w:tcPr>
                  <w:tcW w:w="237" w:type="pct"/>
                  <w:vAlign w:val="center"/>
                </w:tcPr>
                <w:p w14:paraId="718E935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m²</w:t>
                  </w:r>
                </w:p>
              </w:tc>
              <w:tc>
                <w:tcPr>
                  <w:tcW w:w="308" w:type="pct"/>
                  <w:vAlign w:val="center"/>
                </w:tcPr>
                <w:p w14:paraId="0DA8DF8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402</w:t>
                  </w:r>
                </w:p>
              </w:tc>
            </w:tr>
            <w:tr w14:paraId="6A45C5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2BDE1B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1.11</w:t>
                  </w:r>
                </w:p>
              </w:tc>
              <w:tc>
                <w:tcPr>
                  <w:tcW w:w="569" w:type="pct"/>
                  <w:vAlign w:val="center"/>
                </w:tcPr>
                <w:p w14:paraId="6C48AFD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库体安装辅材</w:t>
                  </w:r>
                </w:p>
              </w:tc>
              <w:tc>
                <w:tcPr>
                  <w:tcW w:w="3594" w:type="pct"/>
                  <w:vAlign w:val="center"/>
                </w:tcPr>
                <w:p w14:paraId="51C69E9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w:t>
                  </w:r>
                </w:p>
              </w:tc>
              <w:tc>
                <w:tcPr>
                  <w:tcW w:w="237" w:type="pct"/>
                  <w:vAlign w:val="center"/>
                </w:tcPr>
                <w:p w14:paraId="0AFF883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308" w:type="pct"/>
                  <w:vAlign w:val="center"/>
                </w:tcPr>
                <w:p w14:paraId="1BF2BEF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4F35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C0C05A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1.12</w:t>
                  </w:r>
                </w:p>
              </w:tc>
              <w:tc>
                <w:tcPr>
                  <w:tcW w:w="569" w:type="pct"/>
                  <w:vAlign w:val="center"/>
                </w:tcPr>
                <w:p w14:paraId="7E9B9F1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平移门</w:t>
                  </w:r>
                </w:p>
              </w:tc>
              <w:tc>
                <w:tcPr>
                  <w:tcW w:w="3594" w:type="pct"/>
                  <w:vAlign w:val="center"/>
                </w:tcPr>
                <w:p w14:paraId="08D811A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聚氨酯厚度150mm，彩钢板厚度（基板）≥0.4mm，门洞尺寸2.4m×3m，门包边采用1.2mm厚镀锌钢板，配置防撞杆与防撞条，配置门槛及门加热</w:t>
                  </w:r>
                </w:p>
              </w:tc>
              <w:tc>
                <w:tcPr>
                  <w:tcW w:w="237" w:type="pct"/>
                  <w:vAlign w:val="center"/>
                </w:tcPr>
                <w:p w14:paraId="5190083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堂</w:t>
                  </w:r>
                </w:p>
              </w:tc>
              <w:tc>
                <w:tcPr>
                  <w:tcW w:w="308" w:type="pct"/>
                  <w:vAlign w:val="center"/>
                </w:tcPr>
                <w:p w14:paraId="2F30FF2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3</w:t>
                  </w:r>
                </w:p>
              </w:tc>
            </w:tr>
            <w:tr w14:paraId="1E023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529122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1.13</w:t>
                  </w:r>
                </w:p>
              </w:tc>
              <w:tc>
                <w:tcPr>
                  <w:tcW w:w="569" w:type="pct"/>
                  <w:vAlign w:val="center"/>
                </w:tcPr>
                <w:p w14:paraId="5339757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地坪钢板</w:t>
                  </w:r>
                </w:p>
              </w:tc>
              <w:tc>
                <w:tcPr>
                  <w:tcW w:w="3594" w:type="pct"/>
                  <w:vAlign w:val="center"/>
                </w:tcPr>
                <w:p w14:paraId="6659BA5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3mm</w:t>
                  </w:r>
                </w:p>
              </w:tc>
              <w:tc>
                <w:tcPr>
                  <w:tcW w:w="237" w:type="pct"/>
                  <w:vAlign w:val="center"/>
                </w:tcPr>
                <w:p w14:paraId="442763A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m²</w:t>
                  </w:r>
                </w:p>
              </w:tc>
              <w:tc>
                <w:tcPr>
                  <w:tcW w:w="308" w:type="pct"/>
                  <w:vAlign w:val="center"/>
                </w:tcPr>
                <w:p w14:paraId="68E74D8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170</w:t>
                  </w:r>
                </w:p>
              </w:tc>
            </w:tr>
            <w:tr w14:paraId="3E3B9C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084F98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1.14</w:t>
                  </w:r>
                </w:p>
              </w:tc>
              <w:tc>
                <w:tcPr>
                  <w:tcW w:w="569" w:type="pct"/>
                  <w:vAlign w:val="center"/>
                </w:tcPr>
                <w:p w14:paraId="34D37AC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冷媒</w:t>
                  </w:r>
                </w:p>
              </w:tc>
              <w:tc>
                <w:tcPr>
                  <w:tcW w:w="3594" w:type="pct"/>
                  <w:vAlign w:val="center"/>
                </w:tcPr>
                <w:p w14:paraId="308757A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R507-10KG</w:t>
                  </w:r>
                </w:p>
              </w:tc>
              <w:tc>
                <w:tcPr>
                  <w:tcW w:w="237" w:type="pct"/>
                  <w:vAlign w:val="center"/>
                </w:tcPr>
                <w:p w14:paraId="6C1B779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瓶</w:t>
                  </w:r>
                </w:p>
              </w:tc>
              <w:tc>
                <w:tcPr>
                  <w:tcW w:w="308" w:type="pct"/>
                  <w:vAlign w:val="center"/>
                </w:tcPr>
                <w:p w14:paraId="0688A74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180</w:t>
                  </w:r>
                </w:p>
              </w:tc>
            </w:tr>
            <w:tr w14:paraId="5722A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4F3EE1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1.15</w:t>
                  </w:r>
                </w:p>
              </w:tc>
              <w:tc>
                <w:tcPr>
                  <w:tcW w:w="569" w:type="pct"/>
                  <w:vAlign w:val="center"/>
                </w:tcPr>
                <w:p w14:paraId="1ECBD7B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管道辅材</w:t>
                  </w:r>
                </w:p>
              </w:tc>
              <w:tc>
                <w:tcPr>
                  <w:tcW w:w="3594" w:type="pct"/>
                  <w:vAlign w:val="center"/>
                </w:tcPr>
                <w:p w14:paraId="5C163BB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w:t>
                  </w:r>
                </w:p>
              </w:tc>
              <w:tc>
                <w:tcPr>
                  <w:tcW w:w="237" w:type="pct"/>
                  <w:vAlign w:val="center"/>
                </w:tcPr>
                <w:p w14:paraId="669488A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308" w:type="pct"/>
                  <w:vAlign w:val="center"/>
                </w:tcPr>
                <w:p w14:paraId="43CCBFE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5083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4A4CA92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c>
                <w:tcPr>
                  <w:tcW w:w="4710" w:type="pct"/>
                  <w:gridSpan w:val="4"/>
                  <w:vAlign w:val="top"/>
                </w:tcPr>
                <w:p w14:paraId="68E5B1A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冻库，长16米、宽9米、高6米，设计温度-18℃,3间</w:t>
                  </w:r>
                </w:p>
              </w:tc>
            </w:tr>
            <w:tr w14:paraId="6683AD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50E8D3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2.1</w:t>
                  </w:r>
                </w:p>
              </w:tc>
              <w:tc>
                <w:tcPr>
                  <w:tcW w:w="569" w:type="pct"/>
                  <w:vAlign w:val="center"/>
                </w:tcPr>
                <w:p w14:paraId="2F056FE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涡旋箱式冷凝机组</w:t>
                  </w:r>
                </w:p>
              </w:tc>
              <w:tc>
                <w:tcPr>
                  <w:tcW w:w="3594" w:type="pct"/>
                  <w:vAlign w:val="center"/>
                </w:tcPr>
                <w:p w14:paraId="7CBF921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ZAW-A30FI，美国谷轮ZF1122KQE R507；标配V型箱式，采用280m³内螺纹清水铝箔高效散热冷凝器，换热量330W/m²</w:t>
                  </w:r>
                </w:p>
              </w:tc>
              <w:tc>
                <w:tcPr>
                  <w:tcW w:w="237" w:type="pct"/>
                  <w:vAlign w:val="center"/>
                </w:tcPr>
                <w:p w14:paraId="121C44E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18534B5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3AE249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CA83D9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2.2</w:t>
                  </w:r>
                </w:p>
              </w:tc>
              <w:tc>
                <w:tcPr>
                  <w:tcW w:w="569" w:type="pct"/>
                  <w:vAlign w:val="center"/>
                </w:tcPr>
                <w:p w14:paraId="7DDF801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冷风机</w:t>
                  </w:r>
                </w:p>
              </w:tc>
              <w:tc>
                <w:tcPr>
                  <w:tcW w:w="3594" w:type="pct"/>
                  <w:vAlign w:val="center"/>
                </w:tcPr>
                <w:p w14:paraId="58C0BED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DD-160，电化霜，优质纯铜蒸发管高效型</w:t>
                  </w:r>
                </w:p>
              </w:tc>
              <w:tc>
                <w:tcPr>
                  <w:tcW w:w="237" w:type="pct"/>
                  <w:vAlign w:val="center"/>
                </w:tcPr>
                <w:p w14:paraId="361EC40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0C7DE74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4</w:t>
                  </w:r>
                </w:p>
              </w:tc>
            </w:tr>
            <w:tr w14:paraId="03813F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0431DBF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2.3</w:t>
                  </w:r>
                </w:p>
              </w:tc>
              <w:tc>
                <w:tcPr>
                  <w:tcW w:w="569" w:type="pct"/>
                  <w:vAlign w:val="center"/>
                </w:tcPr>
                <w:p w14:paraId="58219C9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涡旋箱式冷凝机组</w:t>
                  </w:r>
                </w:p>
              </w:tc>
              <w:tc>
                <w:tcPr>
                  <w:tcW w:w="3594" w:type="pct"/>
                  <w:vAlign w:val="center"/>
                </w:tcPr>
                <w:p w14:paraId="1F5BF1C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ZAW-A25FI，美国谷轮ZF196KQE R507；标配V型箱式，采用240m³内螺纹清水铝箔高效散热冷凝器，换热量330W/m²</w:t>
                  </w:r>
                </w:p>
              </w:tc>
              <w:tc>
                <w:tcPr>
                  <w:tcW w:w="237" w:type="pct"/>
                  <w:vAlign w:val="center"/>
                </w:tcPr>
                <w:p w14:paraId="5A25162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2DDBD9C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6A96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0E9F52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2.4</w:t>
                  </w:r>
                </w:p>
              </w:tc>
              <w:tc>
                <w:tcPr>
                  <w:tcW w:w="569" w:type="pct"/>
                  <w:vAlign w:val="center"/>
                </w:tcPr>
                <w:p w14:paraId="0187FEC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冷风机</w:t>
                  </w:r>
                </w:p>
              </w:tc>
              <w:tc>
                <w:tcPr>
                  <w:tcW w:w="3594" w:type="pct"/>
                  <w:vAlign w:val="center"/>
                </w:tcPr>
                <w:p w14:paraId="7C7EFA7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DD-140，电化霜，优质纯铜蒸发管高效型</w:t>
                  </w:r>
                </w:p>
              </w:tc>
              <w:tc>
                <w:tcPr>
                  <w:tcW w:w="237" w:type="pct"/>
                  <w:vAlign w:val="center"/>
                </w:tcPr>
                <w:p w14:paraId="001DA58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台</w:t>
                  </w:r>
                </w:p>
              </w:tc>
              <w:tc>
                <w:tcPr>
                  <w:tcW w:w="308" w:type="pct"/>
                  <w:vAlign w:val="center"/>
                </w:tcPr>
                <w:p w14:paraId="3F09475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0A1FD8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48F5CD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2.5</w:t>
                  </w:r>
                </w:p>
              </w:tc>
              <w:tc>
                <w:tcPr>
                  <w:tcW w:w="569" w:type="pct"/>
                  <w:vAlign w:val="center"/>
                </w:tcPr>
                <w:p w14:paraId="54D6AF5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R507制冷剂</w:t>
                  </w:r>
                </w:p>
              </w:tc>
              <w:tc>
                <w:tcPr>
                  <w:tcW w:w="3594" w:type="pct"/>
                  <w:vAlign w:val="center"/>
                </w:tcPr>
                <w:p w14:paraId="759932A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瓶装（10kg/瓶）</w:t>
                  </w:r>
                </w:p>
              </w:tc>
              <w:tc>
                <w:tcPr>
                  <w:tcW w:w="237" w:type="pct"/>
                  <w:vAlign w:val="center"/>
                </w:tcPr>
                <w:p w14:paraId="6591A12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瓶</w:t>
                  </w:r>
                </w:p>
              </w:tc>
              <w:tc>
                <w:tcPr>
                  <w:tcW w:w="308" w:type="pct"/>
                  <w:vAlign w:val="center"/>
                </w:tcPr>
                <w:p w14:paraId="097EFEA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40</w:t>
                  </w:r>
                </w:p>
              </w:tc>
            </w:tr>
            <w:tr w14:paraId="6D200B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DC6A03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2.6</w:t>
                  </w:r>
                </w:p>
              </w:tc>
              <w:tc>
                <w:tcPr>
                  <w:tcW w:w="569" w:type="pct"/>
                  <w:vAlign w:val="center"/>
                </w:tcPr>
                <w:p w14:paraId="56AF1A1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膨胀阀</w:t>
                  </w:r>
                </w:p>
              </w:tc>
              <w:tc>
                <w:tcPr>
                  <w:tcW w:w="3594" w:type="pct"/>
                  <w:vAlign w:val="center"/>
                </w:tcPr>
                <w:p w14:paraId="47E7C92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w:t>
                  </w:r>
                </w:p>
              </w:tc>
              <w:tc>
                <w:tcPr>
                  <w:tcW w:w="237" w:type="pct"/>
                  <w:vAlign w:val="center"/>
                </w:tcPr>
                <w:p w14:paraId="4F7F0EF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个</w:t>
                  </w:r>
                </w:p>
              </w:tc>
              <w:tc>
                <w:tcPr>
                  <w:tcW w:w="308" w:type="pct"/>
                  <w:vAlign w:val="center"/>
                </w:tcPr>
                <w:p w14:paraId="3F47637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r>
            <w:tr w14:paraId="408EE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9BBA99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2.7</w:t>
                  </w:r>
                </w:p>
              </w:tc>
              <w:tc>
                <w:tcPr>
                  <w:tcW w:w="569" w:type="pct"/>
                  <w:vAlign w:val="center"/>
                </w:tcPr>
                <w:p w14:paraId="05C71BF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PLC温控器</w:t>
                  </w:r>
                </w:p>
              </w:tc>
              <w:tc>
                <w:tcPr>
                  <w:tcW w:w="3594" w:type="pct"/>
                  <w:vAlign w:val="center"/>
                </w:tcPr>
                <w:p w14:paraId="75C9606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w:t>
                  </w:r>
                </w:p>
              </w:tc>
              <w:tc>
                <w:tcPr>
                  <w:tcW w:w="237" w:type="pct"/>
                  <w:vAlign w:val="center"/>
                </w:tcPr>
                <w:p w14:paraId="599948D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套</w:t>
                  </w:r>
                </w:p>
              </w:tc>
              <w:tc>
                <w:tcPr>
                  <w:tcW w:w="308" w:type="pct"/>
                  <w:vAlign w:val="center"/>
                </w:tcPr>
                <w:p w14:paraId="5590083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1911A8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9B02C0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2.8</w:t>
                  </w:r>
                </w:p>
              </w:tc>
              <w:tc>
                <w:tcPr>
                  <w:tcW w:w="569" w:type="pct"/>
                  <w:vAlign w:val="center"/>
                </w:tcPr>
                <w:p w14:paraId="147DDE3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铜管</w:t>
                  </w:r>
                </w:p>
              </w:tc>
              <w:tc>
                <w:tcPr>
                  <w:tcW w:w="3594" w:type="pct"/>
                  <w:vAlign w:val="center"/>
                </w:tcPr>
                <w:p w14:paraId="2F943A2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237" w:type="pct"/>
                  <w:vAlign w:val="center"/>
                </w:tcPr>
                <w:p w14:paraId="3CE9193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308" w:type="pct"/>
                  <w:vAlign w:val="center"/>
                </w:tcPr>
                <w:p w14:paraId="464A0BD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6D2384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EB4E23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2.9</w:t>
                  </w:r>
                </w:p>
              </w:tc>
              <w:tc>
                <w:tcPr>
                  <w:tcW w:w="569" w:type="pct"/>
                  <w:vAlign w:val="center"/>
                </w:tcPr>
                <w:p w14:paraId="19CBB8C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无缝钢管</w:t>
                  </w:r>
                </w:p>
              </w:tc>
              <w:tc>
                <w:tcPr>
                  <w:tcW w:w="3594" w:type="pct"/>
                  <w:vAlign w:val="center"/>
                </w:tcPr>
                <w:p w14:paraId="342CF3C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54、75</w:t>
                  </w:r>
                </w:p>
              </w:tc>
              <w:tc>
                <w:tcPr>
                  <w:tcW w:w="237" w:type="pct"/>
                  <w:vAlign w:val="center"/>
                </w:tcPr>
                <w:p w14:paraId="3DD89D4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308" w:type="pct"/>
                  <w:vAlign w:val="center"/>
                </w:tcPr>
                <w:p w14:paraId="159C50A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70064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565E3E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2.10</w:t>
                  </w:r>
                </w:p>
              </w:tc>
              <w:tc>
                <w:tcPr>
                  <w:tcW w:w="569" w:type="pct"/>
                  <w:vAlign w:val="center"/>
                </w:tcPr>
                <w:p w14:paraId="2D311D0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球阀</w:t>
                  </w:r>
                </w:p>
              </w:tc>
              <w:tc>
                <w:tcPr>
                  <w:tcW w:w="3594" w:type="pct"/>
                  <w:vAlign w:val="center"/>
                </w:tcPr>
                <w:p w14:paraId="2FB82DC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237" w:type="pct"/>
                  <w:vAlign w:val="center"/>
                </w:tcPr>
                <w:p w14:paraId="5497032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308" w:type="pct"/>
                  <w:vAlign w:val="center"/>
                </w:tcPr>
                <w:p w14:paraId="0B7D525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4B789D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299F7A9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2.11</w:t>
                  </w:r>
                </w:p>
              </w:tc>
              <w:tc>
                <w:tcPr>
                  <w:tcW w:w="569" w:type="pct"/>
                  <w:vAlign w:val="center"/>
                </w:tcPr>
                <w:p w14:paraId="089E72D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库体保温板</w:t>
                  </w:r>
                </w:p>
              </w:tc>
              <w:tc>
                <w:tcPr>
                  <w:tcW w:w="3594" w:type="pct"/>
                  <w:vAlign w:val="center"/>
                </w:tcPr>
                <w:p w14:paraId="0B44EA8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聚氨酯厚度150mm（密度40±2kg/m³），阻燃等级B1级，彩钢板厚度（基板）≥0.4mm</w:t>
                  </w:r>
                </w:p>
              </w:tc>
              <w:tc>
                <w:tcPr>
                  <w:tcW w:w="237" w:type="pct"/>
                  <w:vAlign w:val="center"/>
                </w:tcPr>
                <w:p w14:paraId="1C0D5E9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m²</w:t>
                  </w:r>
                </w:p>
              </w:tc>
              <w:tc>
                <w:tcPr>
                  <w:tcW w:w="308" w:type="pct"/>
                  <w:vAlign w:val="center"/>
                </w:tcPr>
                <w:p w14:paraId="7B0F3FF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1020</w:t>
                  </w:r>
                </w:p>
              </w:tc>
            </w:tr>
            <w:tr w14:paraId="16313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31E9C07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2.12</w:t>
                  </w:r>
                </w:p>
              </w:tc>
              <w:tc>
                <w:tcPr>
                  <w:tcW w:w="569" w:type="pct"/>
                  <w:vAlign w:val="center"/>
                </w:tcPr>
                <w:p w14:paraId="67DC3AF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库体安装辅材</w:t>
                  </w:r>
                </w:p>
              </w:tc>
              <w:tc>
                <w:tcPr>
                  <w:tcW w:w="3594" w:type="pct"/>
                  <w:vAlign w:val="center"/>
                </w:tcPr>
                <w:p w14:paraId="4EE8526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w:t>
                  </w:r>
                </w:p>
              </w:tc>
              <w:tc>
                <w:tcPr>
                  <w:tcW w:w="237" w:type="pct"/>
                  <w:vAlign w:val="center"/>
                </w:tcPr>
                <w:p w14:paraId="1F9CB35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308" w:type="pct"/>
                  <w:vAlign w:val="center"/>
                </w:tcPr>
                <w:p w14:paraId="6EDF051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r w14:paraId="509D1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5CF6C06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2.13</w:t>
                  </w:r>
                </w:p>
              </w:tc>
              <w:tc>
                <w:tcPr>
                  <w:tcW w:w="569" w:type="pct"/>
                  <w:vAlign w:val="center"/>
                </w:tcPr>
                <w:p w14:paraId="3883095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平移门</w:t>
                  </w:r>
                </w:p>
              </w:tc>
              <w:tc>
                <w:tcPr>
                  <w:tcW w:w="3594" w:type="pct"/>
                  <w:vAlign w:val="center"/>
                </w:tcPr>
                <w:p w14:paraId="6C092DA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聚氨酯厚度150mm，彩钢板厚度（基板）≥0.4mm，门洞尺寸2.4m×3m，门包边采用1.2mm厚镀锌钢板，配置防撞杆与防撞条，配置门槛及门加热</w:t>
                  </w:r>
                </w:p>
              </w:tc>
              <w:tc>
                <w:tcPr>
                  <w:tcW w:w="237" w:type="pct"/>
                  <w:vAlign w:val="center"/>
                </w:tcPr>
                <w:p w14:paraId="7F51736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堂</w:t>
                  </w:r>
                </w:p>
              </w:tc>
              <w:tc>
                <w:tcPr>
                  <w:tcW w:w="308" w:type="pct"/>
                  <w:vAlign w:val="center"/>
                </w:tcPr>
                <w:p w14:paraId="51829E0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3</w:t>
                  </w:r>
                </w:p>
              </w:tc>
            </w:tr>
            <w:tr w14:paraId="6CFE97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1F5E798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2.14</w:t>
                  </w:r>
                </w:p>
              </w:tc>
              <w:tc>
                <w:tcPr>
                  <w:tcW w:w="569" w:type="pct"/>
                  <w:vAlign w:val="center"/>
                </w:tcPr>
                <w:p w14:paraId="196811D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地坪保温</w:t>
                  </w:r>
                </w:p>
              </w:tc>
              <w:tc>
                <w:tcPr>
                  <w:tcW w:w="3594" w:type="pct"/>
                  <w:vAlign w:val="center"/>
                </w:tcPr>
                <w:p w14:paraId="6DD9508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厚度≥150mm，50mm一层分三层铺设；丙纶防潮层300g、薄膜厚度≥10丝</w:t>
                  </w:r>
                </w:p>
              </w:tc>
              <w:tc>
                <w:tcPr>
                  <w:tcW w:w="237" w:type="pct"/>
                  <w:vAlign w:val="center"/>
                </w:tcPr>
                <w:p w14:paraId="1C8A217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m²</w:t>
                  </w:r>
                </w:p>
              </w:tc>
              <w:tc>
                <w:tcPr>
                  <w:tcW w:w="308" w:type="pct"/>
                  <w:vAlign w:val="center"/>
                </w:tcPr>
                <w:p w14:paraId="46DAB1C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594</w:t>
                  </w:r>
                </w:p>
              </w:tc>
            </w:tr>
            <w:tr w14:paraId="5E08E0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7AF2DFC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2.15</w:t>
                  </w:r>
                </w:p>
              </w:tc>
              <w:tc>
                <w:tcPr>
                  <w:tcW w:w="569" w:type="pct"/>
                  <w:vAlign w:val="center"/>
                </w:tcPr>
                <w:p w14:paraId="5471025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冷媒</w:t>
                  </w:r>
                </w:p>
              </w:tc>
              <w:tc>
                <w:tcPr>
                  <w:tcW w:w="3594" w:type="pct"/>
                  <w:vAlign w:val="center"/>
                </w:tcPr>
                <w:p w14:paraId="65ECEB4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R507-10KG</w:t>
                  </w:r>
                </w:p>
              </w:tc>
              <w:tc>
                <w:tcPr>
                  <w:tcW w:w="237" w:type="pct"/>
                  <w:vAlign w:val="center"/>
                </w:tcPr>
                <w:p w14:paraId="02A7584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瓶</w:t>
                  </w:r>
                </w:p>
              </w:tc>
              <w:tc>
                <w:tcPr>
                  <w:tcW w:w="308" w:type="pct"/>
                  <w:vAlign w:val="center"/>
                </w:tcPr>
                <w:p w14:paraId="15E3B2E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40</w:t>
                  </w:r>
                </w:p>
              </w:tc>
            </w:tr>
            <w:tr w14:paraId="1D867F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9" w:type="pct"/>
                  <w:vAlign w:val="center"/>
                </w:tcPr>
                <w:p w14:paraId="6A998AC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2.16</w:t>
                  </w:r>
                </w:p>
              </w:tc>
              <w:tc>
                <w:tcPr>
                  <w:tcW w:w="569" w:type="pct"/>
                  <w:vAlign w:val="center"/>
                </w:tcPr>
                <w:p w14:paraId="6302B03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管道辅材</w:t>
                  </w:r>
                </w:p>
              </w:tc>
              <w:tc>
                <w:tcPr>
                  <w:tcW w:w="3594" w:type="pct"/>
                  <w:vAlign w:val="center"/>
                </w:tcPr>
                <w:p w14:paraId="4EAC322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w:t>
                  </w:r>
                </w:p>
              </w:tc>
              <w:tc>
                <w:tcPr>
                  <w:tcW w:w="237" w:type="pct"/>
                  <w:vAlign w:val="center"/>
                </w:tcPr>
                <w:p w14:paraId="58EAF23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批</w:t>
                  </w:r>
                </w:p>
              </w:tc>
              <w:tc>
                <w:tcPr>
                  <w:tcW w:w="308" w:type="pct"/>
                  <w:vAlign w:val="center"/>
                </w:tcPr>
                <w:p w14:paraId="2B8CDD4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r>
          </w:tbl>
          <w:p w14:paraId="2BE0BBD3">
            <w:pPr>
              <w:keepNext w:val="0"/>
              <w:keepLines w:val="0"/>
              <w:pageBreakBefore w:val="0"/>
              <w:kinsoku/>
              <w:wordWrap/>
              <w:overflowPunct/>
              <w:topLinePunct w:val="0"/>
              <w:bidi w:val="0"/>
              <w:adjustRightInd w:val="0"/>
              <w:snapToGrid w:val="0"/>
              <w:spacing w:line="360" w:lineRule="auto"/>
              <w:ind w:firstLine="482" w:firstLineChars="200"/>
              <w:rPr>
                <w:rFonts w:hint="default" w:ascii="Times New Roman" w:hAnsi="Times New Roman" w:cs="Times New Roman"/>
                <w:b/>
                <w:bCs/>
                <w:color w:val="auto"/>
                <w:szCs w:val="32"/>
                <w:highlight w:val="none"/>
              </w:rPr>
            </w:pPr>
            <w:r>
              <w:rPr>
                <w:rFonts w:hint="default" w:ascii="Times New Roman" w:hAnsi="Times New Roman" w:cs="Times New Roman"/>
                <w:b/>
                <w:bCs/>
                <w:color w:val="auto"/>
                <w:szCs w:val="32"/>
                <w:highlight w:val="none"/>
                <w:lang w:val="en-US" w:eastAsia="zh-CN"/>
              </w:rPr>
              <w:t>6</w:t>
            </w:r>
            <w:r>
              <w:rPr>
                <w:rFonts w:hint="default" w:ascii="Times New Roman" w:hAnsi="Times New Roman" w:cs="Times New Roman"/>
                <w:b/>
                <w:bCs/>
                <w:color w:val="auto"/>
                <w:szCs w:val="32"/>
                <w:highlight w:val="none"/>
              </w:rPr>
              <w:t>、主要原辅材料及用量</w:t>
            </w:r>
          </w:p>
          <w:p w14:paraId="1FA8B46D">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eastAsia="宋体" w:cs="Times New Roman"/>
                <w:color w:val="auto"/>
                <w:szCs w:val="22"/>
                <w:highlight w:val="none"/>
                <w:lang w:eastAsia="zh-CN"/>
              </w:rPr>
            </w:pPr>
            <w:r>
              <w:rPr>
                <w:rFonts w:hint="default" w:ascii="Times New Roman" w:hAnsi="Times New Roman" w:cs="Times New Roman"/>
                <w:color w:val="auto"/>
                <w:szCs w:val="22"/>
                <w:highlight w:val="none"/>
              </w:rPr>
              <w:t>本项目所需原辅材料见下表</w:t>
            </w:r>
            <w:r>
              <w:rPr>
                <w:rFonts w:hint="default" w:ascii="Times New Roman" w:hAnsi="Times New Roman" w:cs="Times New Roman"/>
                <w:color w:val="auto"/>
                <w:szCs w:val="22"/>
                <w:highlight w:val="none"/>
                <w:lang w:eastAsia="zh-CN"/>
              </w:rPr>
              <w:t>。</w:t>
            </w:r>
          </w:p>
          <w:p w14:paraId="1FC17164">
            <w:pPr>
              <w:keepNext w:val="0"/>
              <w:keepLines w:val="0"/>
              <w:pageBreakBefore w:val="0"/>
              <w:widowControl w:val="0"/>
              <w:kinsoku/>
              <w:wordWrap/>
              <w:overflowPunct/>
              <w:topLinePunct w:val="0"/>
              <w:autoSpaceDE w:val="0"/>
              <w:autoSpaceDN/>
              <w:bidi w:val="0"/>
              <w:adjustRightInd/>
              <w:snapToGrid/>
              <w:spacing w:line="240" w:lineRule="auto"/>
              <w:jc w:val="center"/>
              <w:textAlignment w:val="baseline"/>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color w:val="auto"/>
                <w:highlight w:val="none"/>
                <w:lang w:val="en-US" w:eastAsia="zh-CN"/>
              </w:rPr>
              <w:t>表2-5  主要原辅材料消耗一览表</w:t>
            </w:r>
          </w:p>
          <w:tbl>
            <w:tblPr>
              <w:tblStyle w:val="31"/>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711"/>
              <w:gridCol w:w="687"/>
              <w:gridCol w:w="1711"/>
              <w:gridCol w:w="1311"/>
              <w:gridCol w:w="1117"/>
              <w:gridCol w:w="1133"/>
            </w:tblGrid>
            <w:tr w14:paraId="4E3C5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11" w:type="pct"/>
                  <w:vAlign w:val="center"/>
                </w:tcPr>
                <w:p w14:paraId="3C78C1E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序号</w:t>
                  </w:r>
                </w:p>
              </w:tc>
              <w:tc>
                <w:tcPr>
                  <w:tcW w:w="1023" w:type="pct"/>
                  <w:vAlign w:val="center"/>
                </w:tcPr>
                <w:p w14:paraId="58CBC3C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名称</w:t>
                  </w:r>
                </w:p>
              </w:tc>
              <w:tc>
                <w:tcPr>
                  <w:tcW w:w="411" w:type="pct"/>
                  <w:vAlign w:val="center"/>
                </w:tcPr>
                <w:p w14:paraId="3069C05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单位</w:t>
                  </w:r>
                </w:p>
              </w:tc>
              <w:tc>
                <w:tcPr>
                  <w:tcW w:w="1023" w:type="pct"/>
                  <w:vAlign w:val="center"/>
                </w:tcPr>
                <w:p w14:paraId="791BDD4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拟建项目年用量</w:t>
                  </w:r>
                </w:p>
              </w:tc>
              <w:tc>
                <w:tcPr>
                  <w:tcW w:w="784" w:type="pct"/>
                  <w:vAlign w:val="center"/>
                </w:tcPr>
                <w:p w14:paraId="00A7D61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全厂年用量</w:t>
                  </w:r>
                </w:p>
              </w:tc>
              <w:tc>
                <w:tcPr>
                  <w:tcW w:w="668" w:type="pct"/>
                  <w:vAlign w:val="center"/>
                </w:tcPr>
                <w:p w14:paraId="2C651BF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最大存储量（t）</w:t>
                  </w:r>
                </w:p>
              </w:tc>
              <w:tc>
                <w:tcPr>
                  <w:tcW w:w="677" w:type="pct"/>
                  <w:vAlign w:val="center"/>
                </w:tcPr>
                <w:p w14:paraId="28E6178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包装规格</w:t>
                  </w:r>
                </w:p>
              </w:tc>
            </w:tr>
            <w:tr w14:paraId="6BC67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11" w:type="pct"/>
                  <w:vAlign w:val="center"/>
                </w:tcPr>
                <w:p w14:paraId="57CF4CA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c>
                <w:tcPr>
                  <w:tcW w:w="1023" w:type="pct"/>
                  <w:vAlign w:val="center"/>
                </w:tcPr>
                <w:p w14:paraId="6B82B8C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水果（苹果、梨</w:t>
                  </w:r>
                  <w:r>
                    <w:rPr>
                      <w:rFonts w:hint="eastAsia" w:ascii="Times New Roman" w:hAnsi="Times New Roman" w:cs="Times New Roman"/>
                      <w:color w:val="auto"/>
                      <w:sz w:val="15"/>
                      <w:szCs w:val="15"/>
                      <w:highlight w:val="none"/>
                      <w:vertAlign w:val="baseline"/>
                      <w:lang w:val="en-US" w:eastAsia="zh-CN"/>
                    </w:rPr>
                    <w:t>及少量葡萄和哈密瓜</w:t>
                  </w:r>
                  <w:r>
                    <w:rPr>
                      <w:rFonts w:hint="default" w:ascii="Times New Roman" w:hAnsi="Times New Roman" w:cs="Times New Roman"/>
                      <w:color w:val="auto"/>
                      <w:sz w:val="15"/>
                      <w:szCs w:val="15"/>
                      <w:highlight w:val="none"/>
                      <w:vertAlign w:val="baseline"/>
                      <w:lang w:val="en-US" w:eastAsia="zh-CN"/>
                    </w:rPr>
                    <w:t>）</w:t>
                  </w:r>
                </w:p>
              </w:tc>
              <w:tc>
                <w:tcPr>
                  <w:tcW w:w="411" w:type="pct"/>
                  <w:vAlign w:val="center"/>
                </w:tcPr>
                <w:p w14:paraId="21D7EC0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t/a</w:t>
                  </w:r>
                </w:p>
              </w:tc>
              <w:tc>
                <w:tcPr>
                  <w:tcW w:w="1023" w:type="pct"/>
                  <w:vAlign w:val="center"/>
                </w:tcPr>
                <w:p w14:paraId="50551B3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2700</w:t>
                  </w:r>
                </w:p>
              </w:tc>
              <w:tc>
                <w:tcPr>
                  <w:tcW w:w="784" w:type="pct"/>
                  <w:vAlign w:val="center"/>
                </w:tcPr>
                <w:p w14:paraId="3922D7F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2700</w:t>
                  </w:r>
                </w:p>
              </w:tc>
              <w:tc>
                <w:tcPr>
                  <w:tcW w:w="668" w:type="pct"/>
                  <w:vAlign w:val="center"/>
                </w:tcPr>
                <w:p w14:paraId="3BB8625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100</w:t>
                  </w:r>
                </w:p>
              </w:tc>
              <w:tc>
                <w:tcPr>
                  <w:tcW w:w="677" w:type="pct"/>
                  <w:vAlign w:val="center"/>
                </w:tcPr>
                <w:p w14:paraId="5B13864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100kg/筐</w:t>
                  </w:r>
                </w:p>
                <w:p w14:paraId="77D517D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100kg/桶</w:t>
                  </w:r>
                </w:p>
              </w:tc>
            </w:tr>
            <w:tr w14:paraId="57406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411" w:type="pct"/>
                  <w:vAlign w:val="center"/>
                </w:tcPr>
                <w:p w14:paraId="5A3F8D0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w:t>
                  </w:r>
                </w:p>
              </w:tc>
              <w:tc>
                <w:tcPr>
                  <w:tcW w:w="1023" w:type="pct"/>
                  <w:vAlign w:val="top"/>
                </w:tcPr>
                <w:p w14:paraId="350E9F1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维生素 C</w:t>
                  </w:r>
                </w:p>
              </w:tc>
              <w:tc>
                <w:tcPr>
                  <w:tcW w:w="411" w:type="pct"/>
                  <w:vAlign w:val="top"/>
                </w:tcPr>
                <w:p w14:paraId="584E499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t/a</w:t>
                  </w:r>
                </w:p>
              </w:tc>
              <w:tc>
                <w:tcPr>
                  <w:tcW w:w="1023" w:type="pct"/>
                  <w:vAlign w:val="top"/>
                </w:tcPr>
                <w:p w14:paraId="5025689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0.5</w:t>
                  </w:r>
                </w:p>
              </w:tc>
              <w:tc>
                <w:tcPr>
                  <w:tcW w:w="784" w:type="pct"/>
                  <w:vAlign w:val="top"/>
                </w:tcPr>
                <w:p w14:paraId="2549600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0.5</w:t>
                  </w:r>
                </w:p>
              </w:tc>
              <w:tc>
                <w:tcPr>
                  <w:tcW w:w="668" w:type="pct"/>
                  <w:vAlign w:val="top"/>
                </w:tcPr>
                <w:p w14:paraId="7FDE7C5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0.1</w:t>
                  </w:r>
                </w:p>
              </w:tc>
              <w:tc>
                <w:tcPr>
                  <w:tcW w:w="677" w:type="pct"/>
                  <w:vAlign w:val="top"/>
                </w:tcPr>
                <w:p w14:paraId="4E40A08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25kg/袋</w:t>
                  </w:r>
                </w:p>
              </w:tc>
            </w:tr>
            <w:tr w14:paraId="6A52DF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411" w:type="pct"/>
                  <w:vAlign w:val="center"/>
                </w:tcPr>
                <w:p w14:paraId="685FB10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3</w:t>
                  </w:r>
                </w:p>
              </w:tc>
              <w:tc>
                <w:tcPr>
                  <w:tcW w:w="1023" w:type="pct"/>
                  <w:vAlign w:val="top"/>
                </w:tcPr>
                <w:p w14:paraId="691D58A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柠檬酸</w:t>
                  </w:r>
                </w:p>
              </w:tc>
              <w:tc>
                <w:tcPr>
                  <w:tcW w:w="411" w:type="pct"/>
                  <w:vAlign w:val="top"/>
                </w:tcPr>
                <w:p w14:paraId="40C1A41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t/a</w:t>
                  </w:r>
                </w:p>
              </w:tc>
              <w:tc>
                <w:tcPr>
                  <w:tcW w:w="1023" w:type="pct"/>
                  <w:vAlign w:val="top"/>
                </w:tcPr>
                <w:p w14:paraId="7C15248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eastAsia" w:cs="Times New Roman"/>
                      <w:color w:val="auto"/>
                      <w:sz w:val="15"/>
                      <w:szCs w:val="15"/>
                      <w:highlight w:val="none"/>
                      <w:vertAlign w:val="baseline"/>
                      <w:lang w:val="en-US" w:eastAsia="zh-CN"/>
                    </w:rPr>
                    <w:t>1</w:t>
                  </w:r>
                </w:p>
              </w:tc>
              <w:tc>
                <w:tcPr>
                  <w:tcW w:w="784" w:type="pct"/>
                  <w:vAlign w:val="top"/>
                </w:tcPr>
                <w:p w14:paraId="6390313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1</w:t>
                  </w:r>
                </w:p>
              </w:tc>
              <w:tc>
                <w:tcPr>
                  <w:tcW w:w="668" w:type="pct"/>
                  <w:vAlign w:val="top"/>
                </w:tcPr>
                <w:p w14:paraId="557856A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0.5</w:t>
                  </w:r>
                </w:p>
              </w:tc>
              <w:tc>
                <w:tcPr>
                  <w:tcW w:w="677" w:type="pct"/>
                  <w:vAlign w:val="top"/>
                </w:tcPr>
                <w:p w14:paraId="4FD356E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25kg/袋</w:t>
                  </w:r>
                </w:p>
              </w:tc>
            </w:tr>
            <w:tr w14:paraId="588E4C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411" w:type="pct"/>
                  <w:vAlign w:val="center"/>
                </w:tcPr>
                <w:p w14:paraId="2540069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4</w:t>
                  </w:r>
                </w:p>
              </w:tc>
              <w:tc>
                <w:tcPr>
                  <w:tcW w:w="1023" w:type="pct"/>
                  <w:vAlign w:val="top"/>
                </w:tcPr>
                <w:p w14:paraId="536CE06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白砂糖</w:t>
                  </w:r>
                </w:p>
              </w:tc>
              <w:tc>
                <w:tcPr>
                  <w:tcW w:w="411" w:type="pct"/>
                  <w:vAlign w:val="top"/>
                </w:tcPr>
                <w:p w14:paraId="6EEACBD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t/a</w:t>
                  </w:r>
                </w:p>
              </w:tc>
              <w:tc>
                <w:tcPr>
                  <w:tcW w:w="1023" w:type="pct"/>
                  <w:vAlign w:val="top"/>
                </w:tcPr>
                <w:p w14:paraId="1F3BAB6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eastAsia" w:cs="Times New Roman"/>
                      <w:color w:val="auto"/>
                      <w:sz w:val="15"/>
                      <w:szCs w:val="15"/>
                      <w:highlight w:val="none"/>
                      <w:vertAlign w:val="baseline"/>
                      <w:lang w:val="en-US" w:eastAsia="zh-CN"/>
                    </w:rPr>
                    <w:t>50</w:t>
                  </w:r>
                </w:p>
              </w:tc>
              <w:tc>
                <w:tcPr>
                  <w:tcW w:w="784" w:type="pct"/>
                  <w:vAlign w:val="top"/>
                </w:tcPr>
                <w:p w14:paraId="7F9609C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50</w:t>
                  </w:r>
                </w:p>
              </w:tc>
              <w:tc>
                <w:tcPr>
                  <w:tcW w:w="668" w:type="pct"/>
                  <w:vAlign w:val="top"/>
                </w:tcPr>
                <w:p w14:paraId="17BFC3E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w:t>
                  </w:r>
                </w:p>
              </w:tc>
              <w:tc>
                <w:tcPr>
                  <w:tcW w:w="677" w:type="pct"/>
                  <w:vAlign w:val="top"/>
                </w:tcPr>
                <w:p w14:paraId="070CBD5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25kg/袋</w:t>
                  </w:r>
                </w:p>
              </w:tc>
            </w:tr>
            <w:tr w14:paraId="1A7DC2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411" w:type="pct"/>
                  <w:vAlign w:val="center"/>
                </w:tcPr>
                <w:p w14:paraId="235E622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5</w:t>
                  </w:r>
                </w:p>
              </w:tc>
              <w:tc>
                <w:tcPr>
                  <w:tcW w:w="1023" w:type="pct"/>
                  <w:vAlign w:val="top"/>
                </w:tcPr>
                <w:p w14:paraId="3D6BE15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苹果酸</w:t>
                  </w:r>
                </w:p>
              </w:tc>
              <w:tc>
                <w:tcPr>
                  <w:tcW w:w="411" w:type="pct"/>
                  <w:vAlign w:val="top"/>
                </w:tcPr>
                <w:p w14:paraId="514F2A8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t/a</w:t>
                  </w:r>
                </w:p>
              </w:tc>
              <w:tc>
                <w:tcPr>
                  <w:tcW w:w="1023" w:type="pct"/>
                  <w:vAlign w:val="top"/>
                </w:tcPr>
                <w:p w14:paraId="0C4B0A1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eastAsia" w:cs="Times New Roman"/>
                      <w:color w:val="auto"/>
                      <w:sz w:val="15"/>
                      <w:szCs w:val="15"/>
                      <w:highlight w:val="none"/>
                      <w:vertAlign w:val="baseline"/>
                      <w:lang w:val="en-US" w:eastAsia="zh-CN"/>
                    </w:rPr>
                    <w:t>0.5</w:t>
                  </w:r>
                </w:p>
              </w:tc>
              <w:tc>
                <w:tcPr>
                  <w:tcW w:w="784" w:type="pct"/>
                  <w:vAlign w:val="top"/>
                </w:tcPr>
                <w:p w14:paraId="2D5C5C5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0.5</w:t>
                  </w:r>
                </w:p>
              </w:tc>
              <w:tc>
                <w:tcPr>
                  <w:tcW w:w="668" w:type="pct"/>
                  <w:vAlign w:val="top"/>
                </w:tcPr>
                <w:p w14:paraId="69C4EA6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0.5</w:t>
                  </w:r>
                </w:p>
              </w:tc>
              <w:tc>
                <w:tcPr>
                  <w:tcW w:w="677" w:type="pct"/>
                  <w:vAlign w:val="top"/>
                </w:tcPr>
                <w:p w14:paraId="7E400DD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25kg/袋</w:t>
                  </w:r>
                </w:p>
              </w:tc>
            </w:tr>
            <w:tr w14:paraId="125CA2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411" w:type="pct"/>
                  <w:vAlign w:val="center"/>
                </w:tcPr>
                <w:p w14:paraId="5611D12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6</w:t>
                  </w:r>
                </w:p>
              </w:tc>
              <w:tc>
                <w:tcPr>
                  <w:tcW w:w="1023" w:type="pct"/>
                  <w:vAlign w:val="top"/>
                </w:tcPr>
                <w:p w14:paraId="0F702EE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碱性清洗剂</w:t>
                  </w:r>
                </w:p>
              </w:tc>
              <w:tc>
                <w:tcPr>
                  <w:tcW w:w="411" w:type="pct"/>
                  <w:vAlign w:val="top"/>
                </w:tcPr>
                <w:p w14:paraId="7B1A512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t/a</w:t>
                  </w:r>
                </w:p>
              </w:tc>
              <w:tc>
                <w:tcPr>
                  <w:tcW w:w="1023" w:type="pct"/>
                  <w:vAlign w:val="top"/>
                </w:tcPr>
                <w:p w14:paraId="3496AEC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eastAsia" w:cs="Times New Roman"/>
                      <w:color w:val="auto"/>
                      <w:sz w:val="15"/>
                      <w:szCs w:val="15"/>
                      <w:highlight w:val="none"/>
                      <w:vertAlign w:val="baseline"/>
                      <w:lang w:val="en-US" w:eastAsia="zh-CN"/>
                    </w:rPr>
                    <w:t>0.5184</w:t>
                  </w:r>
                </w:p>
              </w:tc>
              <w:tc>
                <w:tcPr>
                  <w:tcW w:w="784" w:type="pct"/>
                  <w:vAlign w:val="top"/>
                </w:tcPr>
                <w:p w14:paraId="6085D47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0.5184</w:t>
                  </w:r>
                </w:p>
              </w:tc>
              <w:tc>
                <w:tcPr>
                  <w:tcW w:w="668" w:type="pct"/>
                  <w:vAlign w:val="top"/>
                </w:tcPr>
                <w:p w14:paraId="4DD0690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0.2</w:t>
                  </w:r>
                </w:p>
              </w:tc>
              <w:tc>
                <w:tcPr>
                  <w:tcW w:w="677" w:type="pct"/>
                  <w:vAlign w:val="top"/>
                </w:tcPr>
                <w:p w14:paraId="75D1315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25kg/袋</w:t>
                  </w:r>
                </w:p>
              </w:tc>
            </w:tr>
            <w:tr w14:paraId="7CE991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411" w:type="pct"/>
                  <w:vAlign w:val="center"/>
                </w:tcPr>
                <w:p w14:paraId="1A996E0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7</w:t>
                  </w:r>
                </w:p>
              </w:tc>
              <w:tc>
                <w:tcPr>
                  <w:tcW w:w="1023" w:type="pct"/>
                  <w:vAlign w:val="top"/>
                </w:tcPr>
                <w:p w14:paraId="75D1E87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酸性清洗剂</w:t>
                  </w:r>
                </w:p>
              </w:tc>
              <w:tc>
                <w:tcPr>
                  <w:tcW w:w="411" w:type="pct"/>
                  <w:vAlign w:val="top"/>
                </w:tcPr>
                <w:p w14:paraId="5BB9081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t/a</w:t>
                  </w:r>
                </w:p>
              </w:tc>
              <w:tc>
                <w:tcPr>
                  <w:tcW w:w="1023" w:type="pct"/>
                  <w:vAlign w:val="top"/>
                </w:tcPr>
                <w:p w14:paraId="438E86A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eastAsia" w:cs="Times New Roman"/>
                      <w:color w:val="auto"/>
                      <w:sz w:val="15"/>
                      <w:szCs w:val="15"/>
                      <w:highlight w:val="none"/>
                      <w:vertAlign w:val="baseline"/>
                      <w:lang w:val="en-US" w:eastAsia="zh-CN"/>
                    </w:rPr>
                    <w:t>0.5184</w:t>
                  </w:r>
                </w:p>
              </w:tc>
              <w:tc>
                <w:tcPr>
                  <w:tcW w:w="784" w:type="pct"/>
                  <w:vAlign w:val="top"/>
                </w:tcPr>
                <w:p w14:paraId="55F519A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0.5184</w:t>
                  </w:r>
                </w:p>
              </w:tc>
              <w:tc>
                <w:tcPr>
                  <w:tcW w:w="668" w:type="pct"/>
                  <w:vAlign w:val="top"/>
                </w:tcPr>
                <w:p w14:paraId="0FDF02F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0.2</w:t>
                  </w:r>
                </w:p>
              </w:tc>
              <w:tc>
                <w:tcPr>
                  <w:tcW w:w="677" w:type="pct"/>
                  <w:vAlign w:val="top"/>
                </w:tcPr>
                <w:p w14:paraId="3135A82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5"/>
                      <w:szCs w:val="15"/>
                      <w:highlight w:val="none"/>
                      <w:vertAlign w:val="baseline"/>
                      <w:lang w:val="en-US" w:eastAsia="zh-CN"/>
                    </w:rPr>
                  </w:pPr>
                  <w:r>
                    <w:rPr>
                      <w:rFonts w:hint="default" w:ascii="Times New Roman" w:hAnsi="Times New Roman" w:cs="Times New Roman"/>
                      <w:color w:val="auto"/>
                      <w:sz w:val="15"/>
                      <w:szCs w:val="15"/>
                      <w:highlight w:val="none"/>
                      <w:vertAlign w:val="baseline"/>
                      <w:lang w:val="en-US" w:eastAsia="zh-CN"/>
                    </w:rPr>
                    <w:t>25kg/袋</w:t>
                  </w:r>
                </w:p>
              </w:tc>
            </w:tr>
          </w:tbl>
          <w:p w14:paraId="2BD54F5C">
            <w:pPr>
              <w:keepNext w:val="0"/>
              <w:keepLines w:val="0"/>
              <w:pageBreakBefore w:val="0"/>
              <w:kinsoku/>
              <w:wordWrap/>
              <w:overflowPunct/>
              <w:topLinePunct w:val="0"/>
              <w:autoSpaceDE w:val="0"/>
              <w:bidi w:val="0"/>
              <w:adjustRightInd w:val="0"/>
              <w:snapToGrid w:val="0"/>
              <w:spacing w:line="360" w:lineRule="auto"/>
              <w:ind w:firstLine="458" w:firstLineChars="200"/>
              <w:textAlignment w:val="baseline"/>
              <w:rPr>
                <w:rFonts w:hint="default" w:ascii="Times New Roman" w:hAnsi="Times New Roman" w:cs="Times New Roman"/>
                <w:color w:val="auto"/>
                <w:highlight w:val="none"/>
              </w:rPr>
            </w:pPr>
            <w:r>
              <w:rPr>
                <w:rFonts w:hint="default" w:ascii="Times New Roman" w:hAnsi="Times New Roman" w:cs="Times New Roman"/>
                <w:b/>
                <w:bCs/>
                <w:color w:val="auto"/>
                <w:spacing w:val="-6"/>
                <w:highlight w:val="none"/>
              </w:rPr>
              <w:t>主要原辅材料理化性质</w:t>
            </w:r>
          </w:p>
          <w:p w14:paraId="335D5D76">
            <w:pPr>
              <w:keepNext w:val="0"/>
              <w:keepLines w:val="0"/>
              <w:pageBreakBefore w:val="0"/>
              <w:kinsoku/>
              <w:wordWrap/>
              <w:overflowPunct/>
              <w:topLinePunct w:val="0"/>
              <w:bidi w:val="0"/>
              <w:adjustRightInd w:val="0"/>
              <w:spacing w:line="360" w:lineRule="auto"/>
              <w:ind w:firstLine="480" w:firstLineChars="200"/>
              <w:rPr>
                <w:rFonts w:hint="default" w:ascii="Times New Roman" w:hAnsi="Times New Roman" w:cs="Times New Roman"/>
                <w:color w:val="auto"/>
                <w:szCs w:val="22"/>
                <w:highlight w:val="none"/>
                <w:lang w:eastAsia="zh-CN"/>
              </w:rPr>
            </w:pPr>
            <w:r>
              <w:rPr>
                <w:rFonts w:hint="default" w:ascii="Times New Roman" w:hAnsi="Times New Roman" w:cs="Times New Roman"/>
                <w:color w:val="auto"/>
                <w:szCs w:val="22"/>
                <w:highlight w:val="none"/>
              </w:rPr>
              <w:t>食品级VC+柠檬酸复合护色液</w:t>
            </w:r>
            <w:r>
              <w:rPr>
                <w:rFonts w:hint="default" w:ascii="Times New Roman" w:hAnsi="Times New Roman" w:cs="Times New Roman"/>
                <w:color w:val="auto"/>
                <w:szCs w:val="22"/>
                <w:highlight w:val="none"/>
                <w:lang w:eastAsia="zh-CN"/>
              </w:rPr>
              <w:t>：</w:t>
            </w:r>
            <w:r>
              <w:rPr>
                <w:rFonts w:hint="default" w:ascii="Times New Roman" w:hAnsi="Times New Roman" w:cs="Times New Roman"/>
                <w:color w:val="auto"/>
                <w:szCs w:val="22"/>
                <w:highlight w:val="none"/>
              </w:rPr>
              <w:t>VC浓度0.03%、柠檬酸浓度0.06%</w:t>
            </w:r>
            <w:r>
              <w:rPr>
                <w:rFonts w:hint="default" w:ascii="Times New Roman" w:hAnsi="Times New Roman" w:cs="Times New Roman"/>
                <w:color w:val="auto"/>
                <w:szCs w:val="22"/>
                <w:highlight w:val="none"/>
                <w:lang w:eastAsia="zh-CN"/>
              </w:rPr>
              <w:t>，具有很强的还原性，可用作营养增补剂、抗氧化剂。</w:t>
            </w:r>
          </w:p>
          <w:p w14:paraId="7A67770E">
            <w:pPr>
              <w:keepNext w:val="0"/>
              <w:keepLines w:val="0"/>
              <w:pageBreakBefore w:val="0"/>
              <w:kinsoku/>
              <w:wordWrap/>
              <w:overflowPunct/>
              <w:topLinePunct w:val="0"/>
              <w:bidi w:val="0"/>
              <w:adjustRightInd w:val="0"/>
              <w:spacing w:line="360" w:lineRule="auto"/>
              <w:ind w:firstLine="480" w:firstLineChars="200"/>
              <w:rPr>
                <w:rFonts w:hint="default" w:ascii="Times New Roman" w:hAnsi="Times New Roman" w:cs="Times New Roman"/>
                <w:color w:val="auto"/>
                <w:szCs w:val="22"/>
                <w:highlight w:val="none"/>
                <w:lang w:val="en-US" w:eastAsia="zh-CN"/>
              </w:rPr>
            </w:pPr>
            <w:r>
              <w:rPr>
                <w:rFonts w:hint="default" w:ascii="Times New Roman" w:hAnsi="Times New Roman" w:cs="Times New Roman"/>
                <w:color w:val="auto"/>
                <w:szCs w:val="22"/>
                <w:highlight w:val="none"/>
                <w:lang w:eastAsia="zh-CN"/>
              </w:rPr>
              <w:t>碱性清洗剂：CIP清洗系统专用清洗剂，</w:t>
            </w:r>
            <w:r>
              <w:rPr>
                <w:rFonts w:hint="eastAsia" w:cs="Times New Roman"/>
                <w:color w:val="auto"/>
                <w:szCs w:val="22"/>
                <w:highlight w:val="none"/>
                <w:lang w:eastAsia="zh-CN"/>
              </w:rPr>
              <w:t>主要成分为</w:t>
            </w:r>
            <w:r>
              <w:rPr>
                <w:rFonts w:hint="default" w:ascii="Times New Roman" w:hAnsi="Times New Roman" w:cs="Times New Roman"/>
                <w:color w:val="auto"/>
                <w:szCs w:val="22"/>
                <w:highlight w:val="none"/>
                <w:lang w:eastAsia="zh-CN"/>
              </w:rPr>
              <w:t>氢氧化钠（≥30%）、螯合剂和表面活性剂。主要用于食品、饮料、乳制品、啤酒、果汁等行业的CIP</w:t>
            </w:r>
            <w:r>
              <w:rPr>
                <w:rFonts w:hint="default" w:ascii="Times New Roman" w:hAnsi="Times New Roman" w:cs="Times New Roman"/>
                <w:color w:val="auto"/>
                <w:szCs w:val="22"/>
                <w:highlight w:val="none"/>
                <w:lang w:val="en-US" w:eastAsia="zh-CN"/>
              </w:rPr>
              <w:t>清洗。</w:t>
            </w:r>
          </w:p>
          <w:p w14:paraId="0210627F">
            <w:pPr>
              <w:keepNext w:val="0"/>
              <w:keepLines w:val="0"/>
              <w:pageBreakBefore w:val="0"/>
              <w:kinsoku/>
              <w:wordWrap/>
              <w:overflowPunct/>
              <w:topLinePunct w:val="0"/>
              <w:bidi w:val="0"/>
              <w:adjustRightInd w:val="0"/>
              <w:spacing w:line="360" w:lineRule="auto"/>
              <w:ind w:firstLine="480" w:firstLineChars="200"/>
              <w:rPr>
                <w:rFonts w:hint="default" w:ascii="Times New Roman" w:hAnsi="Times New Roman" w:cs="Times New Roman"/>
                <w:color w:val="auto"/>
                <w:szCs w:val="22"/>
                <w:highlight w:val="none"/>
                <w:lang w:eastAsia="zh-CN"/>
              </w:rPr>
            </w:pPr>
            <w:r>
              <w:rPr>
                <w:rFonts w:hint="default" w:ascii="Times New Roman" w:hAnsi="Times New Roman" w:cs="Times New Roman"/>
                <w:color w:val="auto"/>
                <w:szCs w:val="22"/>
                <w:highlight w:val="none"/>
                <w:lang w:eastAsia="zh-CN"/>
              </w:rPr>
              <w:t>酸性清洗剂：CIP清洗系统专用清洗剂，</w:t>
            </w:r>
            <w:r>
              <w:rPr>
                <w:rFonts w:hint="eastAsia" w:cs="Times New Roman"/>
                <w:color w:val="auto"/>
                <w:szCs w:val="22"/>
                <w:highlight w:val="none"/>
                <w:lang w:eastAsia="zh-CN"/>
              </w:rPr>
              <w:t>主要成分为</w:t>
            </w:r>
            <w:r>
              <w:rPr>
                <w:rFonts w:hint="default" w:ascii="Times New Roman" w:hAnsi="Times New Roman" w:cs="Times New Roman"/>
                <w:color w:val="auto"/>
                <w:szCs w:val="22"/>
                <w:highlight w:val="none"/>
                <w:lang w:eastAsia="zh-CN"/>
              </w:rPr>
              <w:t>硝酸（≥45%）、螯合剂和表面活性剂。主要用于食品、饮料、乳制品、啤酒、果汁等行业的CIP清洗。</w:t>
            </w:r>
          </w:p>
          <w:p w14:paraId="1C6A9B5A">
            <w:pPr>
              <w:keepNext w:val="0"/>
              <w:keepLines w:val="0"/>
              <w:pageBreakBefore w:val="0"/>
              <w:kinsoku/>
              <w:wordWrap/>
              <w:overflowPunct/>
              <w:topLinePunct w:val="0"/>
              <w:bidi w:val="0"/>
              <w:adjustRightInd w:val="0"/>
              <w:spacing w:line="360" w:lineRule="auto"/>
              <w:ind w:firstLine="480" w:firstLineChars="200"/>
              <w:rPr>
                <w:rFonts w:hint="default" w:ascii="Times New Roman" w:hAnsi="Times New Roman" w:cs="Times New Roman"/>
                <w:color w:val="auto"/>
                <w:szCs w:val="22"/>
                <w:highlight w:val="none"/>
                <w:lang w:eastAsia="zh-CN"/>
              </w:rPr>
            </w:pPr>
            <w:r>
              <w:rPr>
                <w:rFonts w:hint="default" w:ascii="Times New Roman" w:hAnsi="Times New Roman" w:cs="Times New Roman"/>
                <w:color w:val="auto"/>
                <w:szCs w:val="22"/>
                <w:highlight w:val="none"/>
                <w:lang w:eastAsia="zh-CN"/>
              </w:rPr>
              <w:t>食品级次氯酸钠溶液：次氯酸钠，是一种无机化合物，化学式为NaClO，是一种次氯酸盐，沸点111℃，浅黄色液体。次氯酸钠主要用于漂白、工业废水处理、造纸、纺织、制药、精细化工、</w:t>
            </w:r>
            <w:r>
              <w:rPr>
                <w:rFonts w:hint="default" w:ascii="Times New Roman" w:hAnsi="Times New Roman" w:cs="Times New Roman"/>
                <w:b/>
                <w:bCs/>
                <w:color w:val="auto"/>
                <w:szCs w:val="22"/>
                <w:highlight w:val="none"/>
                <w:lang w:eastAsia="zh-CN"/>
              </w:rPr>
              <w:t>卫生消毒</w:t>
            </w:r>
            <w:r>
              <w:rPr>
                <w:rFonts w:hint="default" w:ascii="Times New Roman" w:hAnsi="Times New Roman" w:cs="Times New Roman"/>
                <w:color w:val="auto"/>
                <w:szCs w:val="22"/>
                <w:highlight w:val="none"/>
                <w:lang w:eastAsia="zh-CN"/>
              </w:rPr>
              <w:t>等众多领域，</w:t>
            </w:r>
            <w:r>
              <w:rPr>
                <w:rFonts w:hint="default" w:ascii="Times New Roman" w:hAnsi="Times New Roman" w:cs="Times New Roman"/>
                <w:b/>
                <w:bCs/>
                <w:color w:val="auto"/>
                <w:szCs w:val="22"/>
                <w:highlight w:val="none"/>
                <w:lang w:eastAsia="zh-CN"/>
              </w:rPr>
              <w:t>食品级次氯酸钠用于饮料水、水果和蔬菜的消毒</w:t>
            </w:r>
            <w:r>
              <w:rPr>
                <w:rFonts w:hint="default" w:ascii="Times New Roman" w:hAnsi="Times New Roman" w:cs="Times New Roman"/>
                <w:color w:val="auto"/>
                <w:szCs w:val="22"/>
                <w:highlight w:val="none"/>
                <w:lang w:eastAsia="zh-CN"/>
              </w:rPr>
              <w:t>，</w:t>
            </w:r>
            <w:r>
              <w:rPr>
                <w:rFonts w:hint="default" w:ascii="Times New Roman" w:hAnsi="Times New Roman" w:cs="Times New Roman"/>
                <w:b/>
                <w:bCs/>
                <w:color w:val="auto"/>
                <w:szCs w:val="22"/>
                <w:highlight w:val="none"/>
                <w:lang w:eastAsia="zh-CN"/>
              </w:rPr>
              <w:t>食品制造设备、器具的杀菌消毒</w:t>
            </w:r>
            <w:r>
              <w:rPr>
                <w:rFonts w:hint="default" w:ascii="Times New Roman" w:hAnsi="Times New Roman" w:cs="Times New Roman"/>
                <w:color w:val="auto"/>
                <w:szCs w:val="22"/>
                <w:highlight w:val="none"/>
                <w:lang w:eastAsia="zh-CN"/>
              </w:rPr>
              <w:t>。</w:t>
            </w:r>
          </w:p>
          <w:p w14:paraId="71BDBD0E">
            <w:pPr>
              <w:keepNext w:val="0"/>
              <w:keepLines w:val="0"/>
              <w:pageBreakBefore w:val="0"/>
              <w:numPr>
                <w:ilvl w:val="0"/>
                <w:numId w:val="0"/>
              </w:numPr>
              <w:kinsoku/>
              <w:wordWrap/>
              <w:overflowPunct/>
              <w:topLinePunct w:val="0"/>
              <w:bidi w:val="0"/>
              <w:adjustRightInd w:val="0"/>
              <w:snapToGrid w:val="0"/>
              <w:spacing w:line="360" w:lineRule="auto"/>
              <w:ind w:firstLine="482" w:firstLineChars="200"/>
              <w:rPr>
                <w:rFonts w:hint="default" w:ascii="Times New Roman" w:hAnsi="Times New Roman" w:cs="Times New Roman"/>
                <w:b/>
                <w:bCs/>
                <w:color w:val="auto"/>
                <w:szCs w:val="32"/>
                <w:highlight w:val="none"/>
                <w:lang w:val="en-US" w:eastAsia="zh-CN"/>
              </w:rPr>
            </w:pPr>
            <w:r>
              <w:rPr>
                <w:rFonts w:hint="default" w:ascii="Times New Roman" w:hAnsi="Times New Roman" w:eastAsia="宋体" w:cs="Times New Roman"/>
                <w:b/>
                <w:bCs/>
                <w:color w:val="auto"/>
                <w:kern w:val="2"/>
                <w:sz w:val="24"/>
                <w:szCs w:val="32"/>
                <w:highlight w:val="none"/>
                <w:lang w:val="en-US" w:eastAsia="zh-CN" w:bidi="ar-SA"/>
              </w:rPr>
              <w:t>7、</w:t>
            </w:r>
            <w:r>
              <w:rPr>
                <w:rFonts w:hint="default" w:ascii="Times New Roman" w:hAnsi="Times New Roman" w:cs="Times New Roman"/>
                <w:b/>
                <w:bCs/>
                <w:color w:val="auto"/>
                <w:szCs w:val="32"/>
                <w:highlight w:val="none"/>
                <w:lang w:val="en-US" w:eastAsia="zh-CN"/>
              </w:rPr>
              <w:t>主要能源消耗</w:t>
            </w:r>
          </w:p>
          <w:p w14:paraId="675C9029">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项目</w:t>
            </w:r>
            <w:r>
              <w:rPr>
                <w:rFonts w:hint="default" w:ascii="Times New Roman" w:hAnsi="Times New Roman" w:cs="Times New Roman"/>
                <w:color w:val="auto"/>
                <w:spacing w:val="-3"/>
                <w:highlight w:val="none"/>
                <w:lang w:val="en-US" w:eastAsia="zh-CN"/>
              </w:rPr>
              <w:t>主要能源消耗见下表</w:t>
            </w:r>
            <w:r>
              <w:rPr>
                <w:rFonts w:hint="default" w:ascii="Times New Roman" w:hAnsi="Times New Roman" w:cs="Times New Roman"/>
                <w:color w:val="auto"/>
                <w:highlight w:val="none"/>
                <w:lang w:val="en-US" w:eastAsia="zh-CN"/>
              </w:rPr>
              <w:t>。</w:t>
            </w:r>
          </w:p>
          <w:p w14:paraId="3E981CC2">
            <w:pPr>
              <w:keepNext w:val="0"/>
              <w:keepLines w:val="0"/>
              <w:pageBreakBefore w:val="0"/>
              <w:widowControl w:val="0"/>
              <w:kinsoku/>
              <w:wordWrap/>
              <w:overflowPunct/>
              <w:topLinePunct w:val="0"/>
              <w:autoSpaceDE w:val="0"/>
              <w:autoSpaceDN/>
              <w:bidi w:val="0"/>
              <w:adjustRightInd/>
              <w:snapToGrid/>
              <w:spacing w:line="240" w:lineRule="auto"/>
              <w:jc w:val="center"/>
              <w:textAlignment w:val="baseline"/>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color w:val="auto"/>
                <w:highlight w:val="none"/>
                <w:lang w:val="en-US" w:eastAsia="zh-CN"/>
              </w:rPr>
              <w:t>表2-6  主要能源消耗一览表</w:t>
            </w:r>
          </w:p>
          <w:tbl>
            <w:tblPr>
              <w:tblStyle w:val="31"/>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917"/>
              <w:gridCol w:w="626"/>
              <w:gridCol w:w="981"/>
              <w:gridCol w:w="5270"/>
            </w:tblGrid>
            <w:tr w14:paraId="193CC6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340" w:type="pct"/>
                  <w:vAlign w:val="center"/>
                </w:tcPr>
                <w:p w14:paraId="1E87A58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序号</w:t>
                  </w:r>
                </w:p>
              </w:tc>
              <w:tc>
                <w:tcPr>
                  <w:tcW w:w="548" w:type="pct"/>
                  <w:vAlign w:val="center"/>
                </w:tcPr>
                <w:p w14:paraId="7098646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能源名称</w:t>
                  </w:r>
                </w:p>
              </w:tc>
              <w:tc>
                <w:tcPr>
                  <w:tcW w:w="374" w:type="pct"/>
                  <w:vAlign w:val="center"/>
                </w:tcPr>
                <w:p w14:paraId="3944B18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单位</w:t>
                  </w:r>
                </w:p>
              </w:tc>
              <w:tc>
                <w:tcPr>
                  <w:tcW w:w="586" w:type="pct"/>
                  <w:vAlign w:val="center"/>
                </w:tcPr>
                <w:p w14:paraId="0D381B4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年消耗量</w:t>
                  </w:r>
                </w:p>
              </w:tc>
              <w:tc>
                <w:tcPr>
                  <w:tcW w:w="3149" w:type="pct"/>
                  <w:vAlign w:val="center"/>
                </w:tcPr>
                <w:p w14:paraId="76FA0C3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来源</w:t>
                  </w:r>
                </w:p>
              </w:tc>
            </w:tr>
            <w:tr w14:paraId="038F9A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0" w:type="pct"/>
                  <w:vAlign w:val="center"/>
                </w:tcPr>
                <w:p w14:paraId="0601408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w:t>
                  </w:r>
                </w:p>
              </w:tc>
              <w:tc>
                <w:tcPr>
                  <w:tcW w:w="548" w:type="pct"/>
                  <w:vAlign w:val="top"/>
                </w:tcPr>
                <w:p w14:paraId="544F75C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水</w:t>
                  </w:r>
                </w:p>
              </w:tc>
              <w:tc>
                <w:tcPr>
                  <w:tcW w:w="374" w:type="pct"/>
                  <w:vAlign w:val="top"/>
                </w:tcPr>
                <w:p w14:paraId="60787A2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t</w:t>
                  </w:r>
                </w:p>
              </w:tc>
              <w:tc>
                <w:tcPr>
                  <w:tcW w:w="586" w:type="pct"/>
                  <w:vAlign w:val="center"/>
                </w:tcPr>
                <w:p w14:paraId="284AEFB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1166.166</w:t>
                  </w:r>
                </w:p>
              </w:tc>
              <w:tc>
                <w:tcPr>
                  <w:tcW w:w="3149" w:type="pct"/>
                  <w:vAlign w:val="center"/>
                </w:tcPr>
                <w:p w14:paraId="1AAED98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市政管网直接供水</w:t>
                  </w:r>
                </w:p>
              </w:tc>
            </w:tr>
            <w:tr w14:paraId="2CBF09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0" w:type="pct"/>
                  <w:vAlign w:val="center"/>
                </w:tcPr>
                <w:p w14:paraId="262EEA1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2</w:t>
                  </w:r>
                </w:p>
              </w:tc>
              <w:tc>
                <w:tcPr>
                  <w:tcW w:w="548" w:type="pct"/>
                  <w:vAlign w:val="top"/>
                </w:tcPr>
                <w:p w14:paraId="05AD64E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电</w:t>
                  </w:r>
                </w:p>
              </w:tc>
              <w:tc>
                <w:tcPr>
                  <w:tcW w:w="374" w:type="pct"/>
                  <w:vAlign w:val="top"/>
                </w:tcPr>
                <w:p w14:paraId="171D97A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kW·h</w:t>
                  </w:r>
                </w:p>
              </w:tc>
              <w:tc>
                <w:tcPr>
                  <w:tcW w:w="586" w:type="pct"/>
                  <w:vAlign w:val="center"/>
                </w:tcPr>
                <w:p w14:paraId="6CCD4F2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101985.33</w:t>
                  </w:r>
                </w:p>
              </w:tc>
              <w:tc>
                <w:tcPr>
                  <w:tcW w:w="3149" w:type="pct"/>
                  <w:vAlign w:val="center"/>
                </w:tcPr>
                <w:p w14:paraId="7FFF3CD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市政10kV电网引入2路专用线路，电压等级为10kV，引至开闭所</w:t>
                  </w:r>
                </w:p>
              </w:tc>
            </w:tr>
            <w:tr w14:paraId="20CE32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0" w:type="pct"/>
                  <w:vAlign w:val="center"/>
                </w:tcPr>
                <w:p w14:paraId="6E4832A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3</w:t>
                  </w:r>
                </w:p>
              </w:tc>
              <w:tc>
                <w:tcPr>
                  <w:tcW w:w="548" w:type="pct"/>
                  <w:vAlign w:val="top"/>
                </w:tcPr>
                <w:p w14:paraId="6ECA86B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天然气</w:t>
                  </w:r>
                </w:p>
              </w:tc>
              <w:tc>
                <w:tcPr>
                  <w:tcW w:w="374" w:type="pct"/>
                  <w:vAlign w:val="top"/>
                </w:tcPr>
                <w:p w14:paraId="4EF8770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m³</w:t>
                  </w:r>
                </w:p>
              </w:tc>
              <w:tc>
                <w:tcPr>
                  <w:tcW w:w="586" w:type="pct"/>
                  <w:vAlign w:val="center"/>
                </w:tcPr>
                <w:p w14:paraId="328399B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57600</w:t>
                  </w:r>
                </w:p>
              </w:tc>
              <w:tc>
                <w:tcPr>
                  <w:tcW w:w="3149" w:type="pct"/>
                  <w:vAlign w:val="center"/>
                </w:tcPr>
                <w:p w14:paraId="771C6CF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由城市规划天然气管道供应</w:t>
                  </w:r>
                </w:p>
              </w:tc>
            </w:tr>
          </w:tbl>
          <w:p w14:paraId="77AEE54C">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天然气理化性质：</w:t>
            </w:r>
          </w:p>
          <w:tbl>
            <w:tblPr>
              <w:tblStyle w:val="31"/>
              <w:tblW w:w="5000"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1462"/>
              <w:gridCol w:w="1256"/>
              <w:gridCol w:w="1820"/>
              <w:gridCol w:w="858"/>
              <w:gridCol w:w="1471"/>
              <w:gridCol w:w="739"/>
            </w:tblGrid>
            <w:tr w14:paraId="660F2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restart"/>
                  <w:vAlign w:val="center"/>
                </w:tcPr>
                <w:p w14:paraId="24A230E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标识</w:t>
                  </w:r>
                </w:p>
              </w:tc>
              <w:tc>
                <w:tcPr>
                  <w:tcW w:w="874" w:type="pct"/>
                  <w:vAlign w:val="center"/>
                </w:tcPr>
                <w:p w14:paraId="1A7B237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中文名：天然气；沼气</w:t>
                  </w:r>
                </w:p>
              </w:tc>
              <w:tc>
                <w:tcPr>
                  <w:tcW w:w="3672" w:type="pct"/>
                  <w:gridSpan w:val="5"/>
                  <w:vAlign w:val="center"/>
                </w:tcPr>
                <w:p w14:paraId="5497290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危险货物编号：21007</w:t>
                  </w:r>
                </w:p>
              </w:tc>
            </w:tr>
            <w:tr w14:paraId="33958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continue"/>
                  <w:vAlign w:val="center"/>
                </w:tcPr>
                <w:p w14:paraId="7B7F81F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874" w:type="pct"/>
                  <w:vAlign w:val="center"/>
                </w:tcPr>
                <w:p w14:paraId="79AF1C5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英文名：naturalgas，NG</w:t>
                  </w:r>
                </w:p>
              </w:tc>
              <w:tc>
                <w:tcPr>
                  <w:tcW w:w="3672" w:type="pct"/>
                  <w:gridSpan w:val="5"/>
                  <w:vAlign w:val="center"/>
                </w:tcPr>
                <w:p w14:paraId="37AF3FF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UN编号：1971</w:t>
                  </w:r>
                </w:p>
              </w:tc>
            </w:tr>
            <w:tr w14:paraId="673FD4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continue"/>
                  <w:vAlign w:val="center"/>
                </w:tcPr>
                <w:p w14:paraId="1C29AE5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874" w:type="pct"/>
                  <w:vAlign w:val="center"/>
                </w:tcPr>
                <w:p w14:paraId="5C40E95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分子式：CH4</w:t>
                  </w:r>
                </w:p>
              </w:tc>
              <w:tc>
                <w:tcPr>
                  <w:tcW w:w="751" w:type="pct"/>
                  <w:vAlign w:val="center"/>
                </w:tcPr>
                <w:p w14:paraId="626E1D44">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分子量：16</w:t>
                  </w:r>
                </w:p>
              </w:tc>
              <w:tc>
                <w:tcPr>
                  <w:tcW w:w="2921" w:type="pct"/>
                  <w:gridSpan w:val="4"/>
                  <w:vAlign w:val="center"/>
                </w:tcPr>
                <w:p w14:paraId="74D26FF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CAS号：8006-14-2</w:t>
                  </w:r>
                </w:p>
              </w:tc>
            </w:tr>
            <w:tr w14:paraId="5FBE6F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restart"/>
                  <w:vAlign w:val="center"/>
                </w:tcPr>
                <w:p w14:paraId="29247B7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理化性质</w:t>
                  </w:r>
                </w:p>
              </w:tc>
              <w:tc>
                <w:tcPr>
                  <w:tcW w:w="874" w:type="pct"/>
                  <w:vAlign w:val="center"/>
                </w:tcPr>
                <w:p w14:paraId="2CA07BD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外观与性状</w:t>
                  </w:r>
                </w:p>
              </w:tc>
              <w:tc>
                <w:tcPr>
                  <w:tcW w:w="3672" w:type="pct"/>
                  <w:gridSpan w:val="5"/>
                  <w:vAlign w:val="center"/>
                </w:tcPr>
                <w:p w14:paraId="4E6D661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无色无臭气体。</w:t>
                  </w:r>
                </w:p>
              </w:tc>
            </w:tr>
            <w:tr w14:paraId="631D4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continue"/>
                  <w:vAlign w:val="center"/>
                </w:tcPr>
                <w:p w14:paraId="65A141F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874" w:type="pct"/>
                  <w:vAlign w:val="center"/>
                </w:tcPr>
                <w:p w14:paraId="41DC0E1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熔点(℃)</w:t>
                  </w:r>
                </w:p>
              </w:tc>
              <w:tc>
                <w:tcPr>
                  <w:tcW w:w="751" w:type="pct"/>
                  <w:vAlign w:val="center"/>
                </w:tcPr>
                <w:p w14:paraId="715DEA2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-182.5</w:t>
                  </w:r>
                </w:p>
              </w:tc>
              <w:tc>
                <w:tcPr>
                  <w:tcW w:w="1088" w:type="pct"/>
                  <w:vAlign w:val="center"/>
                </w:tcPr>
                <w:p w14:paraId="572F588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相对密度(水=1)</w:t>
                  </w:r>
                </w:p>
              </w:tc>
              <w:tc>
                <w:tcPr>
                  <w:tcW w:w="513" w:type="pct"/>
                  <w:vAlign w:val="center"/>
                </w:tcPr>
                <w:p w14:paraId="31D8536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0.415</w:t>
                  </w:r>
                </w:p>
              </w:tc>
              <w:tc>
                <w:tcPr>
                  <w:tcW w:w="879" w:type="pct"/>
                  <w:vAlign w:val="center"/>
                </w:tcPr>
                <w:p w14:paraId="6D388FB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相对密度(空气=1)</w:t>
                  </w:r>
                </w:p>
              </w:tc>
              <w:tc>
                <w:tcPr>
                  <w:tcW w:w="440" w:type="pct"/>
                  <w:vAlign w:val="center"/>
                </w:tcPr>
                <w:p w14:paraId="362B18B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0.55</w:t>
                  </w:r>
                </w:p>
              </w:tc>
            </w:tr>
            <w:tr w14:paraId="583B0B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continue"/>
                  <w:vAlign w:val="center"/>
                </w:tcPr>
                <w:p w14:paraId="785A640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874" w:type="pct"/>
                  <w:vAlign w:val="center"/>
                </w:tcPr>
                <w:p w14:paraId="0A1C56B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沸点(℃)</w:t>
                  </w:r>
                </w:p>
              </w:tc>
              <w:tc>
                <w:tcPr>
                  <w:tcW w:w="751" w:type="pct"/>
                  <w:vAlign w:val="center"/>
                </w:tcPr>
                <w:p w14:paraId="567CA47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-161.5</w:t>
                  </w:r>
                </w:p>
              </w:tc>
              <w:tc>
                <w:tcPr>
                  <w:tcW w:w="1088" w:type="pct"/>
                  <w:vAlign w:val="center"/>
                </w:tcPr>
                <w:p w14:paraId="59C77A4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饱和蒸气压（kPa）</w:t>
                  </w:r>
                </w:p>
              </w:tc>
              <w:tc>
                <w:tcPr>
                  <w:tcW w:w="1833" w:type="pct"/>
                  <w:gridSpan w:val="3"/>
                  <w:vAlign w:val="center"/>
                </w:tcPr>
                <w:p w14:paraId="402F1A3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53.32</w:t>
                  </w:r>
                </w:p>
              </w:tc>
            </w:tr>
            <w:tr w14:paraId="25CC4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continue"/>
                  <w:vAlign w:val="center"/>
                </w:tcPr>
                <w:p w14:paraId="6457C32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874" w:type="pct"/>
                  <w:vAlign w:val="center"/>
                </w:tcPr>
                <w:p w14:paraId="7A1F0EF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溶解性</w:t>
                  </w:r>
                </w:p>
              </w:tc>
              <w:tc>
                <w:tcPr>
                  <w:tcW w:w="3672" w:type="pct"/>
                  <w:gridSpan w:val="5"/>
                  <w:vAlign w:val="center"/>
                </w:tcPr>
                <w:p w14:paraId="2E6F44F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微溶于水，溶于乙醇、乙醚。</w:t>
                  </w:r>
                </w:p>
              </w:tc>
            </w:tr>
            <w:tr w14:paraId="78C2E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restart"/>
                  <w:vAlign w:val="center"/>
                </w:tcPr>
                <w:p w14:paraId="1252211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毒性及健康危害</w:t>
                  </w:r>
                </w:p>
              </w:tc>
              <w:tc>
                <w:tcPr>
                  <w:tcW w:w="874" w:type="pct"/>
                  <w:vAlign w:val="center"/>
                </w:tcPr>
                <w:p w14:paraId="0D1EDEF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侵入途径</w:t>
                  </w:r>
                </w:p>
              </w:tc>
              <w:tc>
                <w:tcPr>
                  <w:tcW w:w="3672" w:type="pct"/>
                  <w:gridSpan w:val="5"/>
                  <w:vAlign w:val="center"/>
                </w:tcPr>
                <w:p w14:paraId="73AA0DF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吸入</w:t>
                  </w:r>
                </w:p>
              </w:tc>
            </w:tr>
            <w:tr w14:paraId="04263D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continue"/>
                  <w:vAlign w:val="center"/>
                </w:tcPr>
                <w:p w14:paraId="545B201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874" w:type="pct"/>
                  <w:vAlign w:val="center"/>
                </w:tcPr>
                <w:p w14:paraId="6C54445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毒性</w:t>
                  </w:r>
                </w:p>
              </w:tc>
              <w:tc>
                <w:tcPr>
                  <w:tcW w:w="3672" w:type="pct"/>
                  <w:gridSpan w:val="5"/>
                  <w:vAlign w:val="center"/>
                </w:tcPr>
                <w:p w14:paraId="6285959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急性毒性：87%浓度使小鼠室息，90%时致呼吸停止。只在极高浓度时为单纯性室息剂。</w:t>
                  </w:r>
                </w:p>
                <w:p w14:paraId="47C92A0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LD50：/</w:t>
                  </w:r>
                </w:p>
                <w:p w14:paraId="20132F2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LC50：50pph，2小时(小鼠吸入)</w:t>
                  </w:r>
                </w:p>
              </w:tc>
            </w:tr>
            <w:tr w14:paraId="664A4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restart"/>
                  <w:vAlign w:val="center"/>
                </w:tcPr>
                <w:p w14:paraId="32FBBB4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燃烧爆炸危险性</w:t>
                  </w:r>
                </w:p>
              </w:tc>
              <w:tc>
                <w:tcPr>
                  <w:tcW w:w="874" w:type="pct"/>
                  <w:vAlign w:val="center"/>
                </w:tcPr>
                <w:p w14:paraId="241BFA6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燃烧性</w:t>
                  </w:r>
                </w:p>
              </w:tc>
              <w:tc>
                <w:tcPr>
                  <w:tcW w:w="751" w:type="pct"/>
                  <w:vAlign w:val="center"/>
                </w:tcPr>
                <w:p w14:paraId="72E73ED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易燃</w:t>
                  </w:r>
                </w:p>
              </w:tc>
              <w:tc>
                <w:tcPr>
                  <w:tcW w:w="1088" w:type="pct"/>
                  <w:vAlign w:val="center"/>
                </w:tcPr>
                <w:p w14:paraId="390A57A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燃烧分解物</w:t>
                  </w:r>
                </w:p>
              </w:tc>
              <w:tc>
                <w:tcPr>
                  <w:tcW w:w="1833" w:type="pct"/>
                  <w:gridSpan w:val="3"/>
                  <w:vAlign w:val="center"/>
                </w:tcPr>
                <w:p w14:paraId="7721867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CO、CO₂</w:t>
                  </w:r>
                </w:p>
              </w:tc>
            </w:tr>
            <w:tr w14:paraId="2EE920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continue"/>
                  <w:vAlign w:val="center"/>
                </w:tcPr>
                <w:p w14:paraId="5BE9608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874" w:type="pct"/>
                  <w:vAlign w:val="center"/>
                </w:tcPr>
                <w:p w14:paraId="7ED7703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闪点</w:t>
                  </w:r>
                  <w:r>
                    <w:rPr>
                      <w:rFonts w:hint="eastAsia" w:cs="Times New Roman"/>
                      <w:color w:val="auto"/>
                      <w:sz w:val="18"/>
                      <w:szCs w:val="18"/>
                      <w:highlight w:val="none"/>
                      <w:vertAlign w:val="baseline"/>
                      <w:lang w:val="en-US" w:eastAsia="zh-CN"/>
                    </w:rPr>
                    <w:t>（</w:t>
                  </w:r>
                  <w:r>
                    <w:rPr>
                      <w:rFonts w:hint="default" w:ascii="Times New Roman" w:hAnsi="Times New Roman" w:cs="Times New Roman"/>
                      <w:color w:val="auto"/>
                      <w:sz w:val="18"/>
                      <w:szCs w:val="18"/>
                      <w:highlight w:val="none"/>
                      <w:vertAlign w:val="baseline"/>
                      <w:lang w:val="en-US" w:eastAsia="zh-CN"/>
                    </w:rPr>
                    <w:t>℃</w:t>
                  </w:r>
                  <w:r>
                    <w:rPr>
                      <w:rFonts w:hint="eastAsia" w:cs="Times New Roman"/>
                      <w:color w:val="auto"/>
                      <w:sz w:val="18"/>
                      <w:szCs w:val="18"/>
                      <w:highlight w:val="none"/>
                      <w:vertAlign w:val="baseline"/>
                      <w:lang w:val="en-US" w:eastAsia="zh-CN"/>
                    </w:rPr>
                    <w:t>）</w:t>
                  </w:r>
                </w:p>
              </w:tc>
              <w:tc>
                <w:tcPr>
                  <w:tcW w:w="751" w:type="pct"/>
                  <w:vAlign w:val="center"/>
                </w:tcPr>
                <w:p w14:paraId="0619088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-190</w:t>
                  </w:r>
                </w:p>
              </w:tc>
              <w:tc>
                <w:tcPr>
                  <w:tcW w:w="1088" w:type="pct"/>
                  <w:vAlign w:val="center"/>
                </w:tcPr>
                <w:p w14:paraId="632B4D02">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爆炸上限（v%）</w:t>
                  </w:r>
                </w:p>
              </w:tc>
              <w:tc>
                <w:tcPr>
                  <w:tcW w:w="1833" w:type="pct"/>
                  <w:gridSpan w:val="3"/>
                  <w:vAlign w:val="center"/>
                </w:tcPr>
                <w:p w14:paraId="7378F9C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15</w:t>
                  </w:r>
                </w:p>
              </w:tc>
            </w:tr>
            <w:tr w14:paraId="414F5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continue"/>
                  <w:vAlign w:val="center"/>
                </w:tcPr>
                <w:p w14:paraId="311D3BFC">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874" w:type="pct"/>
                  <w:vAlign w:val="center"/>
                </w:tcPr>
                <w:p w14:paraId="344BBCE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引燃温度</w:t>
                  </w:r>
                  <w:r>
                    <w:rPr>
                      <w:rFonts w:hint="eastAsia" w:cs="Times New Roman"/>
                      <w:color w:val="auto"/>
                      <w:sz w:val="18"/>
                      <w:szCs w:val="18"/>
                      <w:highlight w:val="none"/>
                      <w:vertAlign w:val="baseline"/>
                      <w:lang w:val="en-US" w:eastAsia="zh-CN"/>
                    </w:rPr>
                    <w:t>（</w:t>
                  </w:r>
                  <w:r>
                    <w:rPr>
                      <w:rFonts w:hint="default" w:ascii="Times New Roman" w:hAnsi="Times New Roman" w:cs="Times New Roman"/>
                      <w:color w:val="auto"/>
                      <w:sz w:val="18"/>
                      <w:szCs w:val="18"/>
                      <w:highlight w:val="none"/>
                      <w:vertAlign w:val="baseline"/>
                      <w:lang w:val="en-US" w:eastAsia="zh-CN"/>
                    </w:rPr>
                    <w:t>℃</w:t>
                  </w:r>
                  <w:r>
                    <w:rPr>
                      <w:rFonts w:hint="eastAsia" w:cs="Times New Roman"/>
                      <w:color w:val="auto"/>
                      <w:sz w:val="18"/>
                      <w:szCs w:val="18"/>
                      <w:highlight w:val="none"/>
                      <w:vertAlign w:val="baseline"/>
                      <w:lang w:val="en-US" w:eastAsia="zh-CN"/>
                    </w:rPr>
                    <w:t>）</w:t>
                  </w:r>
                </w:p>
              </w:tc>
              <w:tc>
                <w:tcPr>
                  <w:tcW w:w="751" w:type="pct"/>
                  <w:vAlign w:val="center"/>
                </w:tcPr>
                <w:p w14:paraId="2D74D0C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537</w:t>
                  </w:r>
                </w:p>
              </w:tc>
              <w:tc>
                <w:tcPr>
                  <w:tcW w:w="1088" w:type="pct"/>
                  <w:vAlign w:val="center"/>
                </w:tcPr>
                <w:p w14:paraId="5BC6023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爆炸下限（v%）</w:t>
                  </w:r>
                </w:p>
              </w:tc>
              <w:tc>
                <w:tcPr>
                  <w:tcW w:w="1833" w:type="pct"/>
                  <w:gridSpan w:val="3"/>
                  <w:vAlign w:val="center"/>
                </w:tcPr>
                <w:p w14:paraId="0613B69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5.3</w:t>
                  </w:r>
                </w:p>
              </w:tc>
            </w:tr>
            <w:tr w14:paraId="1F7BEB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continue"/>
                  <w:vAlign w:val="center"/>
                </w:tcPr>
                <w:p w14:paraId="2DCD734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874" w:type="pct"/>
                  <w:vAlign w:val="center"/>
                </w:tcPr>
                <w:p w14:paraId="165AC0CA">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危险特性</w:t>
                  </w:r>
                </w:p>
              </w:tc>
              <w:tc>
                <w:tcPr>
                  <w:tcW w:w="3672" w:type="pct"/>
                  <w:gridSpan w:val="5"/>
                  <w:vAlign w:val="center"/>
                </w:tcPr>
                <w:p w14:paraId="4D05613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与空气混合能形成爆炸性混合物；遇热源、明火着火、爆炸危险。与五氟化溴、氯气、次氯酸、三氟化氮、液氧、二氟化溴、强氧化剂接触剧烈反应。</w:t>
                  </w:r>
                </w:p>
              </w:tc>
            </w:tr>
            <w:tr w14:paraId="1CCFF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2" w:type="pct"/>
                  <w:vMerge w:val="continue"/>
                  <w:vAlign w:val="center"/>
                </w:tcPr>
                <w:p w14:paraId="21C16218">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p>
              </w:tc>
              <w:tc>
                <w:tcPr>
                  <w:tcW w:w="874" w:type="pct"/>
                  <w:vAlign w:val="center"/>
                </w:tcPr>
                <w:p w14:paraId="707C926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禁忌物</w:t>
                  </w:r>
                </w:p>
              </w:tc>
              <w:tc>
                <w:tcPr>
                  <w:tcW w:w="3672" w:type="pct"/>
                  <w:gridSpan w:val="5"/>
                  <w:vAlign w:val="center"/>
                </w:tcPr>
                <w:p w14:paraId="6C70A95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强氧化剂、卤素。</w:t>
                  </w:r>
                </w:p>
              </w:tc>
            </w:tr>
          </w:tbl>
          <w:p w14:paraId="0CB47F79">
            <w:pPr>
              <w:keepNext w:val="0"/>
              <w:keepLines w:val="0"/>
              <w:pageBreakBefore w:val="0"/>
              <w:kinsoku/>
              <w:wordWrap/>
              <w:overflowPunct/>
              <w:topLinePunct w:val="0"/>
              <w:bidi w:val="0"/>
              <w:adjustRightInd w:val="0"/>
              <w:snapToGrid w:val="0"/>
              <w:spacing w:line="360" w:lineRule="auto"/>
              <w:ind w:firstLine="482" w:firstLineChars="200"/>
              <w:rPr>
                <w:rFonts w:hint="default" w:ascii="Times New Roman" w:hAnsi="Times New Roman" w:cs="Times New Roman"/>
                <w:b/>
                <w:bCs/>
                <w:color w:val="auto"/>
                <w:szCs w:val="32"/>
                <w:highlight w:val="none"/>
                <w:lang w:val="en-US" w:eastAsia="zh-CN"/>
              </w:rPr>
            </w:pPr>
            <w:r>
              <w:rPr>
                <w:rFonts w:hint="default" w:ascii="Times New Roman" w:hAnsi="Times New Roman" w:cs="Times New Roman"/>
                <w:b/>
                <w:bCs/>
                <w:color w:val="auto"/>
                <w:szCs w:val="32"/>
                <w:highlight w:val="none"/>
                <w:lang w:val="en-US" w:eastAsia="zh-CN"/>
              </w:rPr>
              <w:t>8、平面布置合理性分析</w:t>
            </w:r>
          </w:p>
          <w:p w14:paraId="2BF47A2B">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本项目占地面积2749.42㎡，主要包括3t/h NFC非浓缩还原果汁生产线厂房和改造原有烘干厂房部分区域为6t/h高速呵福式果品分选线车间等，含</w:t>
            </w:r>
            <w:r>
              <w:rPr>
                <w:rFonts w:hint="default" w:ascii="Times New Roman" w:hAnsi="Times New Roman" w:cs="Times New Roman"/>
                <w:color w:val="auto"/>
                <w:spacing w:val="-1"/>
                <w:sz w:val="24"/>
                <w:szCs w:val="24"/>
                <w:highlight w:val="none"/>
              </w:rPr>
              <w:t>冷库</w:t>
            </w:r>
            <w:r>
              <w:rPr>
                <w:rFonts w:hint="default" w:ascii="Times New Roman" w:hAnsi="Times New Roman" w:cs="Times New Roman"/>
                <w:color w:val="auto"/>
                <w:highlight w:val="none"/>
                <w:lang w:val="en-US" w:eastAsia="zh-CN"/>
              </w:rPr>
              <w:t>IP清洗系统、纯水设备。项目依托现有设施包括一期建设的保鲜库、烘干厂房、门卫室、配电房、厂区消防管、园区污水站</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危废</w:t>
            </w:r>
            <w:r>
              <w:rPr>
                <w:rFonts w:hint="eastAsia" w:cs="Times New Roman"/>
                <w:color w:val="auto"/>
                <w:highlight w:val="none"/>
                <w:lang w:val="en-US" w:eastAsia="zh-CN"/>
              </w:rPr>
              <w:t>暂存库</w:t>
            </w:r>
            <w:r>
              <w:rPr>
                <w:rFonts w:hint="default" w:ascii="Times New Roman" w:hAnsi="Times New Roman" w:cs="Times New Roman"/>
                <w:color w:val="auto"/>
                <w:highlight w:val="none"/>
                <w:lang w:val="en-US" w:eastAsia="zh-CN"/>
              </w:rPr>
              <w:t>等。项目平面布置充分考虑了生产工艺的要求和现有厂房的条件。各环节连接紧凑，物料输送距离短，便于节能降耗，提高生产效率，同时考虑了车间内生产环境，也兼顾了车间外附近环境情况。从方便生产、安全管理、保护环境角度考虑，布局合理。</w:t>
            </w:r>
          </w:p>
          <w:p w14:paraId="76B9767A">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项目平面布置图见附图</w:t>
            </w:r>
            <w:r>
              <w:rPr>
                <w:rFonts w:hint="eastAsia" w:cs="Times New Roman"/>
                <w:color w:val="auto"/>
                <w:highlight w:val="none"/>
                <w:lang w:val="en-US" w:eastAsia="zh-CN"/>
              </w:rPr>
              <w:t>7</w:t>
            </w:r>
            <w:r>
              <w:rPr>
                <w:rFonts w:hint="default" w:ascii="Times New Roman" w:hAnsi="Times New Roman" w:cs="Times New Roman"/>
                <w:color w:val="auto"/>
                <w:highlight w:val="none"/>
                <w:lang w:val="en-US" w:eastAsia="zh-CN"/>
              </w:rPr>
              <w:t>。</w:t>
            </w:r>
          </w:p>
          <w:p w14:paraId="4B9CDF34">
            <w:pPr>
              <w:keepNext w:val="0"/>
              <w:keepLines w:val="0"/>
              <w:pageBreakBefore w:val="0"/>
              <w:numPr>
                <w:ilvl w:val="0"/>
                <w:numId w:val="0"/>
              </w:numPr>
              <w:kinsoku/>
              <w:wordWrap/>
              <w:overflowPunct/>
              <w:topLinePunct w:val="0"/>
              <w:bidi w:val="0"/>
              <w:adjustRightInd w:val="0"/>
              <w:snapToGrid w:val="0"/>
              <w:spacing w:line="360" w:lineRule="auto"/>
              <w:ind w:firstLine="482" w:firstLineChars="200"/>
              <w:rPr>
                <w:rFonts w:hint="default" w:ascii="Times New Roman" w:hAnsi="Times New Roman" w:cs="Times New Roman"/>
                <w:b/>
                <w:bCs/>
                <w:color w:val="auto"/>
                <w:szCs w:val="32"/>
                <w:highlight w:val="none"/>
                <w:lang w:val="en-US" w:eastAsia="zh-CN"/>
              </w:rPr>
            </w:pPr>
            <w:r>
              <w:rPr>
                <w:rFonts w:hint="default" w:ascii="Times New Roman" w:hAnsi="Times New Roman" w:cs="Times New Roman"/>
                <w:b/>
                <w:bCs/>
                <w:color w:val="auto"/>
                <w:szCs w:val="32"/>
                <w:highlight w:val="none"/>
                <w:lang w:val="en-US" w:eastAsia="zh-CN"/>
              </w:rPr>
              <w:t>9、公用配套工程</w:t>
            </w:r>
          </w:p>
          <w:p w14:paraId="17AA1BAE">
            <w:pPr>
              <w:keepNext w:val="0"/>
              <w:keepLines w:val="0"/>
              <w:pageBreakBefore w:val="0"/>
              <w:kinsoku/>
              <w:wordWrap/>
              <w:overflowPunct/>
              <w:topLinePunct w:val="0"/>
              <w:autoSpaceDE w:val="0"/>
              <w:bidi w:val="0"/>
              <w:adjustRightInd w:val="0"/>
              <w:snapToGrid w:val="0"/>
              <w:spacing w:line="360" w:lineRule="auto"/>
              <w:ind w:firstLine="482" w:firstLineChars="200"/>
              <w:textAlignment w:val="baseline"/>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（1）给水系统</w:t>
            </w:r>
          </w:p>
          <w:p w14:paraId="5780A434">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w:t>
            </w:r>
            <w:r>
              <w:rPr>
                <w:rFonts w:hint="default" w:ascii="Times New Roman" w:hAnsi="Times New Roman" w:cs="Times New Roman"/>
                <w:color w:val="auto"/>
                <w:spacing w:val="-3"/>
                <w:highlight w:val="none"/>
              </w:rPr>
              <w:t>用水主要为</w:t>
            </w:r>
            <w:r>
              <w:rPr>
                <w:rFonts w:hint="eastAsia" w:cs="Times New Roman"/>
                <w:color w:val="auto"/>
                <w:spacing w:val="-3"/>
                <w:highlight w:val="none"/>
                <w:lang w:val="en-US" w:eastAsia="zh-CN"/>
              </w:rPr>
              <w:t>生活用水、</w:t>
            </w:r>
            <w:r>
              <w:rPr>
                <w:rFonts w:hint="default" w:ascii="Times New Roman" w:hAnsi="Times New Roman" w:cs="Times New Roman"/>
                <w:color w:val="auto"/>
                <w:spacing w:val="-3"/>
                <w:highlight w:val="none"/>
                <w:lang w:val="en-US" w:eastAsia="zh-CN"/>
              </w:rPr>
              <w:t>原料清洗水、CIP清洗用水、设备清洗用水、地面清洗用水等</w:t>
            </w:r>
            <w:r>
              <w:rPr>
                <w:rFonts w:hint="default" w:ascii="Times New Roman" w:hAnsi="Times New Roman" w:cs="Times New Roman"/>
                <w:color w:val="auto"/>
                <w:highlight w:val="none"/>
                <w:lang w:val="en-US" w:eastAsia="zh-CN"/>
              </w:rPr>
              <w:t>。厂区用水由市政自来水管网接入供给。设计供水压力为0.30MPa，设计平均日用水量</w:t>
            </w:r>
            <w:r>
              <w:rPr>
                <w:rFonts w:hint="eastAsia" w:cs="Times New Roman"/>
                <w:color w:val="auto"/>
                <w:highlight w:val="none"/>
                <w:lang w:val="en-US" w:eastAsia="zh-CN"/>
              </w:rPr>
              <w:t>2</w:t>
            </w:r>
            <w:r>
              <w:rPr>
                <w:rFonts w:hint="default" w:ascii="Times New Roman" w:hAnsi="Times New Roman" w:cs="Times New Roman"/>
                <w:color w:val="auto"/>
                <w:highlight w:val="none"/>
                <w:lang w:val="en-US" w:eastAsia="zh-CN"/>
              </w:rPr>
              <w:t>2.75m³。</w:t>
            </w:r>
          </w:p>
          <w:p w14:paraId="4E0B1AC1">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生活用水：本项目劳动定员</w:t>
            </w:r>
            <w:r>
              <w:rPr>
                <w:rFonts w:hint="eastAsia" w:cs="Times New Roman"/>
                <w:color w:val="auto"/>
                <w:highlight w:val="none"/>
                <w:lang w:val="en-US" w:eastAsia="zh-CN"/>
              </w:rPr>
              <w:t>51</w:t>
            </w:r>
            <w:r>
              <w:rPr>
                <w:rFonts w:hint="default" w:ascii="Times New Roman" w:hAnsi="Times New Roman" w:cs="Times New Roman"/>
                <w:color w:val="auto"/>
                <w:highlight w:val="none"/>
                <w:lang w:val="en-US" w:eastAsia="zh-CN"/>
              </w:rPr>
              <w:t>人，提供餐食，生活用水按 50L/人·d 计，则生活用水量为</w:t>
            </w:r>
            <w:r>
              <w:rPr>
                <w:rFonts w:hint="eastAsia" w:cs="Times New Roman"/>
                <w:color w:val="auto"/>
                <w:highlight w:val="none"/>
                <w:lang w:val="en-US" w:eastAsia="zh-CN"/>
              </w:rPr>
              <w:t>2.55m³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153m³</w:t>
            </w:r>
            <w:r>
              <w:rPr>
                <w:rFonts w:hint="default" w:ascii="Times New Roman" w:hAnsi="Times New Roman" w:cs="Times New Roman"/>
                <w:color w:val="auto"/>
                <w:highlight w:val="none"/>
                <w:lang w:val="en-US" w:eastAsia="zh-CN"/>
              </w:rPr>
              <w:t>/a。</w:t>
            </w:r>
          </w:p>
          <w:p w14:paraId="3DAE5B13">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原料清洗用水：水果原料需进行2次清洗，第一次清洗采用自来水，第二次清洗采用软水。项目设2台鼓泡清洗机，分别用于第一次清洗和第二次清洗。鼓泡清洗机设1个1.5</w:t>
            </w:r>
            <w:r>
              <w:rPr>
                <w:rFonts w:hint="eastAsia" w:cs="Times New Roman"/>
                <w:color w:val="auto"/>
                <w:highlight w:val="none"/>
                <w:lang w:val="en-US" w:eastAsia="zh-CN"/>
              </w:rPr>
              <w:t>m³</w:t>
            </w:r>
            <w:r>
              <w:rPr>
                <w:rFonts w:hint="default" w:ascii="Times New Roman" w:hAnsi="Times New Roman" w:cs="Times New Roman"/>
                <w:color w:val="auto"/>
                <w:highlight w:val="none"/>
                <w:lang w:val="en-US" w:eastAsia="zh-CN"/>
              </w:rPr>
              <w:t>的水箱（使用率 80%），利用气体在液体中形成大量细小气泡，通过泡沫的振动和冲击实现清洗。水果进入鼓泡清洗机水箱后，会在气泡和水的作用下做翻滚状态，并随网带不断向前推进，在出水面时，设有喷淋头进行冲洗。清洗用水循环使用，定期补充、定期更换。</w:t>
            </w:r>
          </w:p>
          <w:p w14:paraId="73397028">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①第一次清洗自来水循环量为</w:t>
            </w:r>
            <w:r>
              <w:rPr>
                <w:rFonts w:hint="eastAsia" w:cs="Times New Roman"/>
                <w:color w:val="auto"/>
                <w:highlight w:val="none"/>
                <w:lang w:val="en-US" w:eastAsia="zh-CN"/>
              </w:rPr>
              <w:t>1m³</w:t>
            </w:r>
            <w:r>
              <w:rPr>
                <w:rFonts w:hint="default" w:ascii="Times New Roman" w:hAnsi="Times New Roman" w:cs="Times New Roman"/>
                <w:color w:val="auto"/>
                <w:highlight w:val="none"/>
                <w:lang w:val="en-US" w:eastAsia="zh-CN"/>
              </w:rPr>
              <w:t>/h ，补充水量约为循环量的10% ，补充水量为</w:t>
            </w:r>
            <w:r>
              <w:rPr>
                <w:rFonts w:hint="eastAsia" w:cs="Times New Roman"/>
                <w:color w:val="auto"/>
                <w:highlight w:val="none"/>
                <w:lang w:val="en-US" w:eastAsia="zh-CN"/>
              </w:rPr>
              <w:t>2.4m³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144m³</w:t>
            </w:r>
            <w:r>
              <w:rPr>
                <w:rFonts w:hint="default" w:ascii="Times New Roman" w:hAnsi="Times New Roman" w:cs="Times New Roman"/>
                <w:color w:val="auto"/>
                <w:highlight w:val="none"/>
                <w:lang w:val="en-US" w:eastAsia="zh-CN"/>
              </w:rPr>
              <w:t>/a</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清洗用水每天更换2次，更换量为2.4</w:t>
            </w:r>
            <w:r>
              <w:rPr>
                <w:rFonts w:hint="eastAsia" w:cs="Times New Roman"/>
                <w:color w:val="auto"/>
                <w:highlight w:val="none"/>
                <w:lang w:val="en-US" w:eastAsia="zh-CN"/>
              </w:rPr>
              <w:t>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144m³</w:t>
            </w:r>
            <w:r>
              <w:rPr>
                <w:rFonts w:hint="default" w:ascii="Times New Roman" w:hAnsi="Times New Roman" w:cs="Times New Roman"/>
                <w:color w:val="auto"/>
                <w:highlight w:val="none"/>
                <w:lang w:val="en-US" w:eastAsia="zh-CN"/>
              </w:rPr>
              <w:t>/a。第一次清洗自来水合计用水量为4.</w:t>
            </w:r>
            <w:r>
              <w:rPr>
                <w:rFonts w:hint="eastAsia" w:cs="Times New Roman"/>
                <w:color w:val="auto"/>
                <w:highlight w:val="none"/>
                <w:lang w:val="en-US" w:eastAsia="zh-CN"/>
              </w:rPr>
              <w:t>8m³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288m³</w:t>
            </w:r>
            <w:r>
              <w:rPr>
                <w:rFonts w:hint="default" w:ascii="Times New Roman" w:hAnsi="Times New Roman" w:cs="Times New Roman"/>
                <w:color w:val="auto"/>
                <w:highlight w:val="none"/>
                <w:lang w:val="en-US" w:eastAsia="zh-CN"/>
              </w:rPr>
              <w:t>/a。</w:t>
            </w:r>
          </w:p>
          <w:p w14:paraId="2791CA81">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②第二次清洗软水循环量为</w:t>
            </w:r>
            <w:r>
              <w:rPr>
                <w:rFonts w:hint="eastAsia" w:cs="Times New Roman"/>
                <w:color w:val="auto"/>
                <w:highlight w:val="none"/>
                <w:lang w:val="en-US" w:eastAsia="zh-CN"/>
              </w:rPr>
              <w:t>1m³</w:t>
            </w:r>
            <w:r>
              <w:rPr>
                <w:rFonts w:hint="default" w:ascii="Times New Roman" w:hAnsi="Times New Roman" w:cs="Times New Roman"/>
                <w:color w:val="auto"/>
                <w:highlight w:val="none"/>
                <w:lang w:val="en-US" w:eastAsia="zh-CN"/>
              </w:rPr>
              <w:t>/h ，补充水量约为循环量的10% ，补充水量为</w:t>
            </w:r>
            <w:r>
              <w:rPr>
                <w:rFonts w:hint="eastAsia" w:cs="Times New Roman"/>
                <w:color w:val="auto"/>
                <w:highlight w:val="none"/>
                <w:lang w:val="en-US" w:eastAsia="zh-CN"/>
              </w:rPr>
              <w:t>2.4m³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144m³</w:t>
            </w:r>
            <w:r>
              <w:rPr>
                <w:rFonts w:hint="default" w:ascii="Times New Roman" w:hAnsi="Times New Roman" w:cs="Times New Roman"/>
                <w:color w:val="auto"/>
                <w:highlight w:val="none"/>
                <w:lang w:val="en-US" w:eastAsia="zh-CN"/>
              </w:rPr>
              <w:t>/a；清洗用水每天更换1次，更换量为1.2</w:t>
            </w:r>
            <w:r>
              <w:rPr>
                <w:rFonts w:hint="eastAsia" w:cs="Times New Roman"/>
                <w:color w:val="auto"/>
                <w:highlight w:val="none"/>
                <w:lang w:val="en-US" w:eastAsia="zh-CN"/>
              </w:rPr>
              <w:t>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72m³</w:t>
            </w:r>
            <w:r>
              <w:rPr>
                <w:rFonts w:hint="default" w:ascii="Times New Roman" w:hAnsi="Times New Roman" w:cs="Times New Roman"/>
                <w:color w:val="auto"/>
                <w:highlight w:val="none"/>
                <w:lang w:val="en-US" w:eastAsia="zh-CN"/>
              </w:rPr>
              <w:t>/a 。第二次清洗软水合计用水量为</w:t>
            </w:r>
            <w:r>
              <w:rPr>
                <w:rFonts w:hint="eastAsia" w:cs="Times New Roman"/>
                <w:color w:val="auto"/>
                <w:highlight w:val="none"/>
                <w:lang w:val="en-US" w:eastAsia="zh-CN"/>
              </w:rPr>
              <w:t>3.6m³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216m³</w:t>
            </w:r>
            <w:r>
              <w:rPr>
                <w:rFonts w:hint="default" w:ascii="Times New Roman" w:hAnsi="Times New Roman" w:cs="Times New Roman"/>
                <w:color w:val="auto"/>
                <w:highlight w:val="none"/>
                <w:lang w:val="en-US" w:eastAsia="zh-CN"/>
              </w:rPr>
              <w:t>/a。项目软水采用</w:t>
            </w:r>
            <w:r>
              <w:rPr>
                <w:rFonts w:hint="eastAsia" w:cs="Times New Roman"/>
                <w:color w:val="auto"/>
                <w:highlight w:val="none"/>
                <w:lang w:val="en-US" w:eastAsia="zh-CN"/>
              </w:rPr>
              <w:t>RO</w:t>
            </w:r>
            <w:r>
              <w:rPr>
                <w:rFonts w:hint="default" w:ascii="Times New Roman" w:hAnsi="Times New Roman" w:cs="Times New Roman"/>
                <w:color w:val="auto"/>
                <w:highlight w:val="none"/>
                <w:lang w:val="en-US" w:eastAsia="zh-CN"/>
              </w:rPr>
              <w:t>工艺，软水制备率为75% ，则第二次清洗需新鲜水量为</w:t>
            </w:r>
            <w:r>
              <w:rPr>
                <w:rFonts w:hint="eastAsia" w:cs="Times New Roman"/>
                <w:color w:val="auto"/>
                <w:highlight w:val="none"/>
                <w:lang w:val="en-US" w:eastAsia="zh-CN"/>
              </w:rPr>
              <w:t>4.8m³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288m³</w:t>
            </w:r>
            <w:r>
              <w:rPr>
                <w:rFonts w:hint="default" w:ascii="Times New Roman" w:hAnsi="Times New Roman" w:cs="Times New Roman"/>
                <w:color w:val="auto"/>
                <w:highlight w:val="none"/>
                <w:lang w:val="en-US" w:eastAsia="zh-CN"/>
              </w:rPr>
              <w:t>/a。</w:t>
            </w:r>
          </w:p>
          <w:p w14:paraId="1FA2AB75">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综上，项目清洗用水量为</w:t>
            </w:r>
            <w:r>
              <w:rPr>
                <w:rFonts w:hint="eastAsia" w:cs="Times New Roman"/>
                <w:color w:val="auto"/>
                <w:highlight w:val="none"/>
                <w:lang w:val="en-US" w:eastAsia="zh-CN"/>
              </w:rPr>
              <w:t>9.6m³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576m³</w:t>
            </w:r>
            <w:r>
              <w:rPr>
                <w:rFonts w:hint="default" w:ascii="Times New Roman" w:hAnsi="Times New Roman" w:cs="Times New Roman"/>
                <w:color w:val="auto"/>
                <w:highlight w:val="none"/>
                <w:lang w:val="en-US" w:eastAsia="zh-CN"/>
              </w:rPr>
              <w:t>/a。</w:t>
            </w:r>
          </w:p>
          <w:p w14:paraId="1D624926">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设备清洗用水：项目生产设备更换原料及每天生产结束后需进行一次</w:t>
            </w:r>
            <w:r>
              <w:rPr>
                <w:rFonts w:hint="eastAsia" w:cs="Times New Roman"/>
                <w:color w:val="auto"/>
                <w:highlight w:val="none"/>
                <w:lang w:val="en-US" w:eastAsia="zh-CN"/>
              </w:rPr>
              <w:t>清洗</w:t>
            </w:r>
            <w:r>
              <w:rPr>
                <w:rFonts w:hint="default" w:ascii="Times New Roman" w:hAnsi="Times New Roman" w:cs="Times New Roman"/>
                <w:color w:val="auto"/>
                <w:highlight w:val="none"/>
                <w:lang w:val="en-US" w:eastAsia="zh-CN"/>
              </w:rPr>
              <w:t>采用 CIP 清洗工艺，即用0.8-1.2%碱液、0.8-1.2%的酸液和热水（软水）分别对设备冲洗，CIP 清洗系统配有</w:t>
            </w:r>
            <w:r>
              <w:rPr>
                <w:rFonts w:hint="eastAsia" w:cs="Times New Roman"/>
                <w:color w:val="auto"/>
                <w:highlight w:val="none"/>
                <w:lang w:val="en-US" w:eastAsia="zh-CN"/>
              </w:rPr>
              <w:t>3m³</w:t>
            </w:r>
            <w:r>
              <w:rPr>
                <w:rFonts w:hint="default" w:ascii="Times New Roman" w:hAnsi="Times New Roman" w:cs="Times New Roman"/>
                <w:color w:val="auto"/>
                <w:highlight w:val="none"/>
                <w:lang w:val="en-US" w:eastAsia="zh-CN"/>
              </w:rPr>
              <w:t>酸液罐、碱液罐各1只（使用率按 90%计）。</w:t>
            </w:r>
          </w:p>
          <w:p w14:paraId="3036FD03">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①碱洗、酸洗：清洗用碱液、酸液由自来水与酸性、碱性清洗剂</w:t>
            </w:r>
            <w:r>
              <w:rPr>
                <w:rFonts w:hint="eastAsia" w:cs="Times New Roman"/>
                <w:color w:val="auto"/>
                <w:highlight w:val="none"/>
                <w:lang w:val="en-US" w:eastAsia="zh-CN"/>
              </w:rPr>
              <w:t>配制</w:t>
            </w:r>
            <w:r>
              <w:rPr>
                <w:rFonts w:hint="default" w:ascii="Times New Roman" w:hAnsi="Times New Roman" w:cs="Times New Roman"/>
                <w:color w:val="auto"/>
                <w:highlight w:val="none"/>
                <w:lang w:val="en-US" w:eastAsia="zh-CN"/>
              </w:rPr>
              <w:t>而成，清洗用酸液、碱液循环使用，使用后返回酸液罐、碱液罐。酸液、碱液每周排放一次（年排放按</w:t>
            </w:r>
            <w:r>
              <w:rPr>
                <w:rFonts w:hint="eastAsia" w:cs="Times New Roman"/>
                <w:color w:val="auto"/>
                <w:highlight w:val="none"/>
                <w:lang w:val="en-US" w:eastAsia="zh-CN"/>
              </w:rPr>
              <w:t>8</w:t>
            </w:r>
            <w:r>
              <w:rPr>
                <w:rFonts w:hint="default" w:ascii="Times New Roman" w:hAnsi="Times New Roman" w:cs="Times New Roman"/>
                <w:color w:val="auto"/>
                <w:highlight w:val="none"/>
                <w:lang w:val="en-US" w:eastAsia="zh-CN"/>
              </w:rPr>
              <w:t>次计）。拟建项目与现有项目共用一套 CIP 清洗系统，酸液、碱液每次各配置</w:t>
            </w:r>
            <w:r>
              <w:rPr>
                <w:rFonts w:hint="eastAsia" w:cs="Times New Roman"/>
                <w:color w:val="auto"/>
                <w:highlight w:val="none"/>
                <w:lang w:val="en-US" w:eastAsia="zh-CN"/>
              </w:rPr>
              <w:t>2.7m³</w:t>
            </w:r>
            <w:r>
              <w:rPr>
                <w:rFonts w:hint="default" w:ascii="Times New Roman" w:hAnsi="Times New Roman" w:cs="Times New Roman"/>
                <w:color w:val="auto"/>
                <w:highlight w:val="none"/>
                <w:lang w:val="en-US" w:eastAsia="zh-CN"/>
              </w:rPr>
              <w:t>，浓度均为1.2%，年配置</w:t>
            </w:r>
            <w:r>
              <w:rPr>
                <w:rFonts w:hint="eastAsia" w:cs="Times New Roman"/>
                <w:color w:val="auto"/>
                <w:highlight w:val="none"/>
                <w:lang w:val="en-US" w:eastAsia="zh-CN"/>
              </w:rPr>
              <w:t>8</w:t>
            </w:r>
            <w:r>
              <w:rPr>
                <w:rFonts w:hint="default" w:ascii="Times New Roman" w:hAnsi="Times New Roman" w:cs="Times New Roman"/>
                <w:color w:val="auto"/>
                <w:highlight w:val="none"/>
                <w:lang w:val="en-US" w:eastAsia="zh-CN"/>
              </w:rPr>
              <w:t>次，合计</w:t>
            </w:r>
            <w:r>
              <w:rPr>
                <w:rFonts w:hint="eastAsia" w:cs="Times New Roman"/>
                <w:color w:val="auto"/>
                <w:highlight w:val="none"/>
                <w:lang w:val="en-US" w:eastAsia="zh-CN"/>
              </w:rPr>
              <w:t>43.2m³</w:t>
            </w:r>
            <w:r>
              <w:rPr>
                <w:rFonts w:hint="default" w:ascii="Times New Roman" w:hAnsi="Times New Roman" w:cs="Times New Roman"/>
                <w:color w:val="auto"/>
                <w:highlight w:val="none"/>
                <w:lang w:val="en-US" w:eastAsia="zh-CN"/>
              </w:rPr>
              <w:t>/a。则清洗剂总用量为</w:t>
            </w:r>
            <w:r>
              <w:rPr>
                <w:rFonts w:hint="eastAsia" w:cs="Times New Roman"/>
                <w:color w:val="auto"/>
                <w:highlight w:val="none"/>
                <w:lang w:val="en-US" w:eastAsia="zh-CN"/>
              </w:rPr>
              <w:t>0.5184</w:t>
            </w:r>
            <w:r>
              <w:rPr>
                <w:rFonts w:hint="default" w:ascii="Times New Roman" w:hAnsi="Times New Roman" w:cs="Times New Roman"/>
                <w:color w:val="auto"/>
                <w:highlight w:val="none"/>
                <w:lang w:val="en-US" w:eastAsia="zh-CN"/>
              </w:rPr>
              <w:t>t/a ，碱液、酸液配置用水量为0.</w:t>
            </w:r>
            <w:r>
              <w:rPr>
                <w:rFonts w:hint="eastAsia" w:cs="Times New Roman"/>
                <w:color w:val="auto"/>
                <w:highlight w:val="none"/>
                <w:lang w:val="en-US" w:eastAsia="zh-CN"/>
              </w:rPr>
              <w:t>7114m³</w:t>
            </w:r>
            <w:r>
              <w:rPr>
                <w:rFonts w:hint="default" w:ascii="Times New Roman" w:hAnsi="Times New Roman" w:cs="Times New Roman"/>
                <w:color w:val="auto"/>
                <w:highlight w:val="none"/>
                <w:lang w:val="en-US" w:eastAsia="zh-CN"/>
              </w:rPr>
              <w:t>/d，42.6816</w:t>
            </w:r>
            <w:r>
              <w:rPr>
                <w:rFonts w:hint="eastAsia" w:cs="Times New Roman"/>
                <w:color w:val="auto"/>
                <w:highlight w:val="none"/>
                <w:lang w:val="en-US" w:eastAsia="zh-CN"/>
              </w:rPr>
              <w:t>m³</w:t>
            </w:r>
            <w:r>
              <w:rPr>
                <w:rFonts w:hint="default" w:ascii="Times New Roman" w:hAnsi="Times New Roman" w:cs="Times New Roman"/>
                <w:color w:val="auto"/>
                <w:highlight w:val="none"/>
                <w:lang w:val="en-US" w:eastAsia="zh-CN"/>
              </w:rPr>
              <w:t>/a。</w:t>
            </w:r>
          </w:p>
          <w:p w14:paraId="493E311A">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②热水（软水）洗：由 CIP 系统电加热制备热水，每次清洗用水量为</w:t>
            </w:r>
            <w:r>
              <w:rPr>
                <w:rFonts w:hint="eastAsia" w:cs="Times New Roman"/>
                <w:color w:val="auto"/>
                <w:highlight w:val="none"/>
                <w:lang w:val="en-US" w:eastAsia="zh-CN"/>
              </w:rPr>
              <w:t>3m³</w:t>
            </w:r>
            <w:r>
              <w:rPr>
                <w:rFonts w:hint="default" w:ascii="Times New Roman" w:hAnsi="Times New Roman" w:cs="Times New Roman"/>
                <w:color w:val="auto"/>
                <w:highlight w:val="none"/>
                <w:lang w:val="en-US" w:eastAsia="zh-CN"/>
              </w:rPr>
              <w:t>，清洗后直接排入厂区污水站处理。则设备清洗软水用水量为</w:t>
            </w:r>
            <w:r>
              <w:rPr>
                <w:rFonts w:hint="eastAsia" w:cs="Times New Roman"/>
                <w:color w:val="auto"/>
                <w:highlight w:val="none"/>
                <w:lang w:val="en-US" w:eastAsia="zh-CN"/>
              </w:rPr>
              <w:t>3m³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180m³</w:t>
            </w:r>
            <w:r>
              <w:rPr>
                <w:rFonts w:hint="default" w:ascii="Times New Roman" w:hAnsi="Times New Roman" w:cs="Times New Roman"/>
                <w:color w:val="auto"/>
                <w:highlight w:val="none"/>
                <w:lang w:val="en-US" w:eastAsia="zh-CN"/>
              </w:rPr>
              <w:t>/a。项目软水采用</w:t>
            </w:r>
            <w:r>
              <w:rPr>
                <w:rFonts w:hint="eastAsia" w:cs="Times New Roman"/>
                <w:color w:val="auto"/>
                <w:highlight w:val="none"/>
                <w:lang w:val="en-US" w:eastAsia="zh-CN"/>
              </w:rPr>
              <w:t>RO</w:t>
            </w:r>
            <w:r>
              <w:rPr>
                <w:rFonts w:hint="default" w:ascii="Times New Roman" w:hAnsi="Times New Roman" w:cs="Times New Roman"/>
                <w:color w:val="auto"/>
                <w:highlight w:val="none"/>
                <w:lang w:val="en-US" w:eastAsia="zh-CN"/>
              </w:rPr>
              <w:t>工艺，软水制备率为75% ，则设备清洗需新鲜水量为</w:t>
            </w:r>
            <w:r>
              <w:rPr>
                <w:rFonts w:hint="eastAsia" w:cs="Times New Roman"/>
                <w:color w:val="auto"/>
                <w:highlight w:val="none"/>
                <w:lang w:val="en-US" w:eastAsia="zh-CN"/>
              </w:rPr>
              <w:t>4m³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240m³</w:t>
            </w:r>
            <w:r>
              <w:rPr>
                <w:rFonts w:hint="default" w:ascii="Times New Roman" w:hAnsi="Times New Roman" w:cs="Times New Roman"/>
                <w:color w:val="auto"/>
                <w:highlight w:val="none"/>
                <w:lang w:val="en-US" w:eastAsia="zh-CN"/>
              </w:rPr>
              <w:t>/a。</w:t>
            </w:r>
          </w:p>
          <w:p w14:paraId="5CE0F550">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综上，设备清洗新鲜水用量为</w:t>
            </w:r>
            <w:r>
              <w:rPr>
                <w:rFonts w:hint="eastAsia" w:cs="Times New Roman"/>
                <w:color w:val="auto"/>
                <w:highlight w:val="none"/>
                <w:lang w:val="en-US" w:eastAsia="zh-CN"/>
              </w:rPr>
              <w:t>4.7114m³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282.6816m³</w:t>
            </w:r>
            <w:r>
              <w:rPr>
                <w:rFonts w:hint="default" w:ascii="Times New Roman" w:hAnsi="Times New Roman" w:cs="Times New Roman"/>
                <w:color w:val="auto"/>
                <w:highlight w:val="none"/>
                <w:lang w:val="en-US" w:eastAsia="zh-CN"/>
              </w:rPr>
              <w:t>/a。</w:t>
            </w:r>
          </w:p>
          <w:p w14:paraId="42157727">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实验室用水：项目实验室及研发室主要用于产品研发及质量检测，用水主要为实验用水、立式高压蒸汽灭菌锅用水。根据企业提供的资料，实验室用水量如下：</w:t>
            </w:r>
          </w:p>
          <w:p w14:paraId="2BF9E2BA">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①实验用水：为软水，用水量为 0.005</w:t>
            </w:r>
            <w:r>
              <w:rPr>
                <w:rFonts w:hint="eastAsia" w:cs="Times New Roman"/>
                <w:color w:val="auto"/>
                <w:highlight w:val="none"/>
                <w:lang w:val="en-US" w:eastAsia="zh-CN"/>
              </w:rPr>
              <w:t>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0.3m³</w:t>
            </w:r>
            <w:r>
              <w:rPr>
                <w:rFonts w:hint="default" w:ascii="Times New Roman" w:hAnsi="Times New Roman" w:cs="Times New Roman"/>
                <w:color w:val="auto"/>
                <w:highlight w:val="none"/>
                <w:lang w:val="en-US" w:eastAsia="zh-CN"/>
              </w:rPr>
              <w:t>/a。软水采用离子交换处理工艺，软水制备率为75% ，则新鲜用水量为0.0067</w:t>
            </w:r>
            <w:r>
              <w:rPr>
                <w:rFonts w:hint="eastAsia" w:cs="Times New Roman"/>
                <w:color w:val="auto"/>
                <w:highlight w:val="none"/>
                <w:lang w:val="en-US" w:eastAsia="zh-CN"/>
              </w:rPr>
              <w:t>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0.4m³</w:t>
            </w:r>
            <w:r>
              <w:rPr>
                <w:rFonts w:hint="default" w:ascii="Times New Roman" w:hAnsi="Times New Roman" w:cs="Times New Roman"/>
                <w:color w:val="auto"/>
                <w:highlight w:val="none"/>
                <w:lang w:val="en-US" w:eastAsia="zh-CN"/>
              </w:rPr>
              <w:t>/a。</w:t>
            </w:r>
          </w:p>
          <w:p w14:paraId="7216FDF2">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②立式高压蒸汽灭菌锅用水：使用自来水，用水量为0.001</w:t>
            </w:r>
            <w:r>
              <w:rPr>
                <w:rFonts w:hint="eastAsia" w:cs="Times New Roman"/>
                <w:color w:val="auto"/>
                <w:highlight w:val="none"/>
                <w:lang w:val="en-US" w:eastAsia="zh-CN"/>
              </w:rPr>
              <w:t>m³</w:t>
            </w:r>
            <w:r>
              <w:rPr>
                <w:rFonts w:hint="default" w:ascii="Times New Roman" w:hAnsi="Times New Roman" w:cs="Times New Roman"/>
                <w:color w:val="auto"/>
                <w:highlight w:val="none"/>
                <w:lang w:val="en-US" w:eastAsia="zh-CN"/>
              </w:rPr>
              <w:t>/d，0.</w:t>
            </w:r>
            <w:r>
              <w:rPr>
                <w:rFonts w:hint="eastAsia" w:cs="Times New Roman"/>
                <w:color w:val="auto"/>
                <w:highlight w:val="none"/>
                <w:lang w:val="en-US" w:eastAsia="zh-CN"/>
              </w:rPr>
              <w:t>06m³</w:t>
            </w:r>
            <w:r>
              <w:rPr>
                <w:rFonts w:hint="default" w:ascii="Times New Roman" w:hAnsi="Times New Roman" w:cs="Times New Roman"/>
                <w:color w:val="auto"/>
                <w:highlight w:val="none"/>
                <w:lang w:val="en-US" w:eastAsia="zh-CN"/>
              </w:rPr>
              <w:t>/a。</w:t>
            </w:r>
          </w:p>
          <w:p w14:paraId="7DEECCE6">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综上，实验室新鲜水用量为 0.00</w:t>
            </w:r>
            <w:r>
              <w:rPr>
                <w:rFonts w:hint="eastAsia" w:cs="Times New Roman"/>
                <w:color w:val="auto"/>
                <w:highlight w:val="none"/>
                <w:lang w:val="en-US" w:eastAsia="zh-CN"/>
              </w:rPr>
              <w:t>77m³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0.46m³</w:t>
            </w:r>
            <w:r>
              <w:rPr>
                <w:rFonts w:hint="default" w:ascii="Times New Roman" w:hAnsi="Times New Roman" w:cs="Times New Roman"/>
                <w:color w:val="auto"/>
                <w:highlight w:val="none"/>
                <w:lang w:val="en-US" w:eastAsia="zh-CN"/>
              </w:rPr>
              <w:t>/a。</w:t>
            </w:r>
          </w:p>
          <w:p w14:paraId="27A40D37">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锅炉用水：项目设1台2t/h 燃气锅炉，用于间接灭菌供热。锅炉年运行时间</w:t>
            </w:r>
            <w:r>
              <w:rPr>
                <w:rFonts w:hint="eastAsia" w:cs="Times New Roman"/>
                <w:color w:val="auto"/>
                <w:highlight w:val="none"/>
                <w:lang w:val="en-US" w:eastAsia="zh-CN"/>
              </w:rPr>
              <w:t>1440</w:t>
            </w:r>
            <w:r>
              <w:rPr>
                <w:rFonts w:hint="default" w:ascii="Times New Roman" w:hAnsi="Times New Roman" w:cs="Times New Roman"/>
                <w:color w:val="auto"/>
                <w:highlight w:val="none"/>
                <w:lang w:val="en-US" w:eastAsia="zh-CN"/>
              </w:rPr>
              <w:t>小时，需定期补充损耗、定期排污。锅炉定期排污水占循环水量的2.5% ，排放量为</w:t>
            </w:r>
            <w:r>
              <w:rPr>
                <w:rFonts w:hint="eastAsia" w:cs="Times New Roman"/>
                <w:color w:val="auto"/>
                <w:highlight w:val="none"/>
                <w:lang w:val="en-US" w:eastAsia="zh-CN"/>
              </w:rPr>
              <w:t>0.6m³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36m³</w:t>
            </w:r>
            <w:r>
              <w:rPr>
                <w:rFonts w:hint="default" w:ascii="Times New Roman" w:hAnsi="Times New Roman" w:cs="Times New Roman"/>
                <w:color w:val="auto"/>
                <w:highlight w:val="none"/>
                <w:lang w:val="en-US" w:eastAsia="zh-CN"/>
              </w:rPr>
              <w:t>/a；锅炉循环用水损耗占循环水量的5% ，损耗量为</w:t>
            </w:r>
            <w:r>
              <w:rPr>
                <w:rFonts w:hint="eastAsia" w:cs="Times New Roman"/>
                <w:color w:val="auto"/>
                <w:highlight w:val="none"/>
                <w:lang w:val="en-US" w:eastAsia="zh-CN"/>
              </w:rPr>
              <w:t>1.2m³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72m³</w:t>
            </w:r>
            <w:r>
              <w:rPr>
                <w:rFonts w:hint="default" w:ascii="Times New Roman" w:hAnsi="Times New Roman" w:cs="Times New Roman"/>
                <w:color w:val="auto"/>
                <w:highlight w:val="none"/>
                <w:lang w:val="en-US" w:eastAsia="zh-CN"/>
              </w:rPr>
              <w:t>/a 。锅炉用水为软水，则锅炉补充</w:t>
            </w:r>
            <w:r>
              <w:rPr>
                <w:rFonts w:hint="eastAsia" w:cs="Times New Roman"/>
                <w:color w:val="auto"/>
                <w:highlight w:val="none"/>
                <w:lang w:val="en-US" w:eastAsia="zh-CN"/>
              </w:rPr>
              <w:t>水量</w:t>
            </w:r>
            <w:r>
              <w:rPr>
                <w:rFonts w:hint="default" w:ascii="Times New Roman" w:hAnsi="Times New Roman" w:cs="Times New Roman"/>
                <w:color w:val="auto"/>
                <w:highlight w:val="none"/>
                <w:lang w:val="en-US" w:eastAsia="zh-CN"/>
              </w:rPr>
              <w:t>为</w:t>
            </w:r>
            <w:r>
              <w:rPr>
                <w:rFonts w:hint="eastAsia" w:cs="Times New Roman"/>
                <w:color w:val="auto"/>
                <w:highlight w:val="none"/>
                <w:lang w:val="en-US" w:eastAsia="zh-CN"/>
              </w:rPr>
              <w:t>1.8m³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108m³</w:t>
            </w:r>
            <w:r>
              <w:rPr>
                <w:rFonts w:hint="default" w:ascii="Times New Roman" w:hAnsi="Times New Roman" w:cs="Times New Roman"/>
                <w:color w:val="auto"/>
                <w:highlight w:val="none"/>
                <w:lang w:val="en-US" w:eastAsia="zh-CN"/>
              </w:rPr>
              <w:t>/a。项目软水采用</w:t>
            </w:r>
            <w:r>
              <w:rPr>
                <w:rFonts w:hint="eastAsia" w:cs="Times New Roman"/>
                <w:color w:val="auto"/>
                <w:highlight w:val="none"/>
                <w:lang w:val="en-US" w:eastAsia="zh-CN"/>
              </w:rPr>
              <w:t>RO</w:t>
            </w:r>
            <w:r>
              <w:rPr>
                <w:rFonts w:hint="default" w:ascii="Times New Roman" w:hAnsi="Times New Roman" w:cs="Times New Roman"/>
                <w:color w:val="auto"/>
                <w:highlight w:val="none"/>
                <w:lang w:val="en-US" w:eastAsia="zh-CN"/>
              </w:rPr>
              <w:t>工艺，软水制备率为75% ，锅炉新鲜用水量为</w:t>
            </w:r>
            <w:r>
              <w:rPr>
                <w:rFonts w:hint="eastAsia" w:cs="Times New Roman"/>
                <w:color w:val="auto"/>
                <w:highlight w:val="none"/>
                <w:lang w:val="en-US" w:eastAsia="zh-CN"/>
              </w:rPr>
              <w:t>2.4m³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144m³</w:t>
            </w:r>
            <w:r>
              <w:rPr>
                <w:rFonts w:hint="default" w:ascii="Times New Roman" w:hAnsi="Times New Roman" w:cs="Times New Roman"/>
                <w:color w:val="auto"/>
                <w:highlight w:val="none"/>
                <w:lang w:val="en-US" w:eastAsia="zh-CN"/>
              </w:rPr>
              <w:t>/a。</w:t>
            </w:r>
          </w:p>
          <w:p w14:paraId="1960A762">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循环冷却用水：本项目生产线工艺冷却采用冰水循环系统（</w:t>
            </w:r>
            <w:r>
              <w:rPr>
                <w:rFonts w:hint="eastAsia" w:cs="Times New Roman"/>
                <w:color w:val="auto"/>
                <w:highlight w:val="none"/>
                <w:lang w:val="en-US" w:eastAsia="zh-CN"/>
              </w:rPr>
              <w:t>凉水塔200m³</w:t>
            </w:r>
            <w:r>
              <w:rPr>
                <w:rFonts w:hint="eastAsia" w:cs="Times New Roman"/>
                <w:color w:val="auto"/>
                <w:highlight w:val="none"/>
                <w:vertAlign w:val="baseline"/>
                <w:lang w:val="en-US" w:eastAsia="zh-CN"/>
              </w:rPr>
              <w:t>/h</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风冷热泵冰水机+冰水罐</w:t>
            </w:r>
            <w:r>
              <w:rPr>
                <w:rFonts w:hint="eastAsia" w:cs="Times New Roman"/>
                <w:color w:val="auto"/>
                <w:highlight w:val="none"/>
                <w:lang w:val="en-US" w:eastAsia="zh-CN"/>
              </w:rPr>
              <w:t>5m³</w:t>
            </w:r>
            <w:r>
              <w:rPr>
                <w:rFonts w:hint="default" w:ascii="Times New Roman" w:hAnsi="Times New Roman" w:cs="Times New Roman"/>
                <w:color w:val="auto"/>
                <w:highlight w:val="none"/>
                <w:lang w:val="en-US" w:eastAsia="zh-CN"/>
              </w:rPr>
              <w:t>+板式换热器），制冷机组冷凝器均为风冷型。为防止循环水质变差，需定期进行排污，企业对循环水每个月定期排放1次（</w:t>
            </w:r>
            <w:r>
              <w:rPr>
                <w:rFonts w:hint="eastAsia" w:cs="Times New Roman"/>
                <w:color w:val="auto"/>
                <w:highlight w:val="none"/>
                <w:lang w:val="en-US" w:eastAsia="zh-CN"/>
              </w:rPr>
              <w:t>2</w:t>
            </w:r>
            <w:r>
              <w:rPr>
                <w:rFonts w:hint="default" w:ascii="Times New Roman" w:hAnsi="Times New Roman" w:cs="Times New Roman"/>
                <w:color w:val="auto"/>
                <w:highlight w:val="none"/>
                <w:lang w:val="en-US" w:eastAsia="zh-CN"/>
              </w:rPr>
              <w:t>次/年），排污水量为</w:t>
            </w:r>
            <w:r>
              <w:rPr>
                <w:rFonts w:hint="eastAsia" w:cs="Times New Roman"/>
                <w:color w:val="auto"/>
                <w:highlight w:val="none"/>
                <w:lang w:val="en-US" w:eastAsia="zh-CN"/>
              </w:rPr>
              <w:t>0.167m³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10m³</w:t>
            </w:r>
            <w:r>
              <w:rPr>
                <w:rFonts w:hint="default" w:ascii="Times New Roman" w:hAnsi="Times New Roman" w:cs="Times New Roman"/>
                <w:color w:val="auto"/>
                <w:highlight w:val="none"/>
                <w:lang w:val="en-US" w:eastAsia="zh-CN"/>
              </w:rPr>
              <w:t>/a。则新鲜水补充水量为</w:t>
            </w:r>
            <w:r>
              <w:rPr>
                <w:rFonts w:hint="eastAsia" w:cs="Times New Roman"/>
                <w:color w:val="auto"/>
                <w:highlight w:val="none"/>
                <w:lang w:val="en-US" w:eastAsia="zh-CN"/>
              </w:rPr>
              <w:t>0.167m³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10m³</w:t>
            </w:r>
            <w:r>
              <w:rPr>
                <w:rFonts w:hint="default" w:ascii="Times New Roman" w:hAnsi="Times New Roman" w:cs="Times New Roman"/>
                <w:color w:val="auto"/>
                <w:highlight w:val="none"/>
                <w:lang w:val="en-US" w:eastAsia="zh-CN"/>
              </w:rPr>
              <w:t>/a。</w:t>
            </w:r>
          </w:p>
          <w:p w14:paraId="2FD7C8A5">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综上，本项目新鲜水用量为</w:t>
            </w:r>
            <w:r>
              <w:rPr>
                <w:rFonts w:hint="eastAsia" w:cs="Times New Roman"/>
                <w:color w:val="auto"/>
                <w:highlight w:val="none"/>
                <w:lang w:val="en-US" w:eastAsia="zh-CN"/>
              </w:rPr>
              <w:t>19.4361m³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1166.166m³</w:t>
            </w:r>
            <w:r>
              <w:rPr>
                <w:rFonts w:hint="default" w:ascii="Times New Roman" w:hAnsi="Times New Roman" w:cs="Times New Roman"/>
                <w:color w:val="auto"/>
                <w:highlight w:val="none"/>
                <w:lang w:val="en-US" w:eastAsia="zh-CN"/>
              </w:rPr>
              <w:t>/a。</w:t>
            </w:r>
          </w:p>
          <w:p w14:paraId="4986124B">
            <w:pPr>
              <w:keepNext w:val="0"/>
              <w:keepLines w:val="0"/>
              <w:pageBreakBefore w:val="0"/>
              <w:kinsoku/>
              <w:wordWrap/>
              <w:overflowPunct/>
              <w:topLinePunct w:val="0"/>
              <w:autoSpaceDE w:val="0"/>
              <w:bidi w:val="0"/>
              <w:adjustRightInd w:val="0"/>
              <w:snapToGrid w:val="0"/>
              <w:spacing w:line="360" w:lineRule="auto"/>
              <w:ind w:firstLine="482"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（2）排水工程</w:t>
            </w:r>
          </w:p>
          <w:p w14:paraId="2C813C9B">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本项目实行雨污分流制。项目实验室立式高压蒸汽灭菌锅</w:t>
            </w:r>
            <w:r>
              <w:rPr>
                <w:rFonts w:hint="eastAsia" w:cs="Times New Roman"/>
                <w:color w:val="auto"/>
                <w:highlight w:val="none"/>
                <w:lang w:val="en-US" w:eastAsia="zh-CN"/>
              </w:rPr>
              <w:t>用水</w:t>
            </w:r>
            <w:r>
              <w:rPr>
                <w:rFonts w:hint="default" w:ascii="Times New Roman" w:hAnsi="Times New Roman" w:cs="Times New Roman"/>
                <w:color w:val="auto"/>
                <w:highlight w:val="none"/>
                <w:lang w:val="en-US" w:eastAsia="zh-CN"/>
              </w:rPr>
              <w:t>全部损耗，实验产生的实验废物按危废处置。废水主要为生活污水、原料清洗废水、设备清洗废水、软水制备浓水、锅炉排污水、循环冷却排污水。</w:t>
            </w:r>
          </w:p>
          <w:p w14:paraId="36EC1377">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生活污水：生活污水产生系数按照0.8计算，则生活污水产生量为</w:t>
            </w:r>
            <w:r>
              <w:rPr>
                <w:rFonts w:hint="eastAsia" w:cs="Times New Roman"/>
                <w:color w:val="auto"/>
                <w:highlight w:val="none"/>
                <w:lang w:val="en-US" w:eastAsia="zh-CN"/>
              </w:rPr>
              <w:t>2.04m³</w:t>
            </w:r>
            <w:r>
              <w:rPr>
                <w:rFonts w:hint="default" w:ascii="Times New Roman" w:hAnsi="Times New Roman" w:cs="Times New Roman"/>
                <w:color w:val="auto"/>
                <w:highlight w:val="none"/>
                <w:lang w:val="en-US" w:eastAsia="zh-CN"/>
              </w:rPr>
              <w:t xml:space="preserve">/d， </w:t>
            </w:r>
            <w:r>
              <w:rPr>
                <w:rFonts w:hint="eastAsia" w:cs="Times New Roman"/>
                <w:color w:val="auto"/>
                <w:highlight w:val="none"/>
                <w:lang w:val="en-US" w:eastAsia="zh-CN"/>
              </w:rPr>
              <w:t>122.4m³</w:t>
            </w:r>
            <w:r>
              <w:rPr>
                <w:rFonts w:hint="default" w:ascii="Times New Roman" w:hAnsi="Times New Roman" w:cs="Times New Roman"/>
                <w:color w:val="auto"/>
                <w:highlight w:val="none"/>
                <w:lang w:val="en-US" w:eastAsia="zh-CN"/>
              </w:rPr>
              <w:t>/a。</w:t>
            </w:r>
          </w:p>
          <w:p w14:paraId="2F25F5F0">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原料清洗废水：原料清洗废水为第一次自来水清洗废水、第二次软水清洗废水，项目自来水、软水总用量为</w:t>
            </w:r>
            <w:r>
              <w:rPr>
                <w:rFonts w:hint="eastAsia" w:cs="Times New Roman"/>
                <w:color w:val="auto"/>
                <w:highlight w:val="none"/>
                <w:lang w:val="en-US" w:eastAsia="zh-CN"/>
              </w:rPr>
              <w:t>504m³</w:t>
            </w:r>
            <w:r>
              <w:rPr>
                <w:rFonts w:hint="default" w:ascii="Times New Roman" w:hAnsi="Times New Roman" w:cs="Times New Roman"/>
                <w:color w:val="auto"/>
                <w:highlight w:val="none"/>
                <w:lang w:val="en-US" w:eastAsia="zh-CN"/>
              </w:rPr>
              <w:t>/a，产污系数按照0.8计算，则原料清洗废水产生量为</w:t>
            </w:r>
            <w:r>
              <w:rPr>
                <w:rFonts w:hint="eastAsia" w:cs="Times New Roman"/>
                <w:color w:val="auto"/>
                <w:highlight w:val="none"/>
                <w:lang w:val="en-US" w:eastAsia="zh-CN"/>
              </w:rPr>
              <w:t>6.72m³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403.2m³</w:t>
            </w:r>
            <w:r>
              <w:rPr>
                <w:rFonts w:hint="default" w:ascii="Times New Roman" w:hAnsi="Times New Roman" w:cs="Times New Roman"/>
                <w:color w:val="auto"/>
                <w:highlight w:val="none"/>
                <w:lang w:val="en-US" w:eastAsia="zh-CN"/>
              </w:rPr>
              <w:t>/a。</w:t>
            </w:r>
          </w:p>
          <w:p w14:paraId="5370338A">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设备清洗废水：设备清洗废水为酸洗、碱洗和热水洗产生的废水，项目酸液、碱液、热水总用量为</w:t>
            </w:r>
            <w:r>
              <w:rPr>
                <w:rFonts w:hint="eastAsia" w:cs="Times New Roman"/>
                <w:color w:val="auto"/>
                <w:highlight w:val="none"/>
                <w:lang w:val="en-US" w:eastAsia="zh-CN"/>
              </w:rPr>
              <w:t>222.684m³</w:t>
            </w:r>
            <w:r>
              <w:rPr>
                <w:rFonts w:hint="default" w:ascii="Times New Roman" w:hAnsi="Times New Roman" w:cs="Times New Roman"/>
                <w:color w:val="auto"/>
                <w:highlight w:val="none"/>
                <w:lang w:val="en-US" w:eastAsia="zh-CN"/>
              </w:rPr>
              <w:t>/a ，产污系数按照 0.8 计算，则设备清洗废水产生量为</w:t>
            </w:r>
            <w:r>
              <w:rPr>
                <w:rFonts w:hint="eastAsia" w:cs="Times New Roman"/>
                <w:color w:val="auto"/>
                <w:highlight w:val="none"/>
                <w:lang w:val="en-US" w:eastAsia="zh-CN"/>
              </w:rPr>
              <w:t>2.9691m³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178.1472m³</w:t>
            </w:r>
            <w:r>
              <w:rPr>
                <w:rFonts w:hint="default" w:ascii="Times New Roman" w:hAnsi="Times New Roman" w:cs="Times New Roman"/>
                <w:color w:val="auto"/>
                <w:highlight w:val="none"/>
                <w:lang w:val="en-US" w:eastAsia="zh-CN"/>
              </w:rPr>
              <w:t>/a。</w:t>
            </w:r>
          </w:p>
          <w:p w14:paraId="5A2E77EF">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软水制备浓水：本项目原料第二次清洗用水、设备热水洗、实验用水及锅炉用水均为软水，软水总用量为</w:t>
            </w:r>
            <w:r>
              <w:rPr>
                <w:rFonts w:hint="eastAsia" w:cs="Times New Roman"/>
                <w:color w:val="auto"/>
                <w:highlight w:val="none"/>
                <w:lang w:val="en-US" w:eastAsia="zh-CN"/>
              </w:rPr>
              <w:t>504.3m³</w:t>
            </w:r>
            <w:r>
              <w:rPr>
                <w:rFonts w:hint="default" w:ascii="Times New Roman" w:hAnsi="Times New Roman" w:cs="Times New Roman"/>
                <w:color w:val="auto"/>
                <w:highlight w:val="none"/>
                <w:lang w:val="en-US" w:eastAsia="zh-CN"/>
              </w:rPr>
              <w:t>/a（需新鲜水量为</w:t>
            </w:r>
            <w:r>
              <w:rPr>
                <w:rFonts w:hint="eastAsia" w:cs="Times New Roman"/>
                <w:color w:val="auto"/>
                <w:highlight w:val="none"/>
                <w:lang w:val="en-US" w:eastAsia="zh-CN"/>
              </w:rPr>
              <w:t>672.4m³</w:t>
            </w:r>
            <w:r>
              <w:rPr>
                <w:rFonts w:hint="default" w:ascii="Times New Roman" w:hAnsi="Times New Roman" w:cs="Times New Roman"/>
                <w:color w:val="auto"/>
                <w:highlight w:val="none"/>
                <w:lang w:val="en-US" w:eastAsia="zh-CN"/>
              </w:rPr>
              <w:t>/a），均采用离子交换处理工艺，软水制备率为75% ，则浓水产生量为</w:t>
            </w:r>
            <w:r>
              <w:rPr>
                <w:rFonts w:hint="eastAsia" w:cs="Times New Roman"/>
                <w:color w:val="auto"/>
                <w:highlight w:val="none"/>
                <w:lang w:val="en-US" w:eastAsia="zh-CN"/>
              </w:rPr>
              <w:t>2.8017m³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168.1m³</w:t>
            </w:r>
            <w:r>
              <w:rPr>
                <w:rFonts w:hint="default" w:ascii="Times New Roman" w:hAnsi="Times New Roman" w:cs="Times New Roman"/>
                <w:color w:val="auto"/>
                <w:highlight w:val="none"/>
                <w:lang w:val="en-US" w:eastAsia="zh-CN"/>
              </w:rPr>
              <w:t>/a。</w:t>
            </w:r>
          </w:p>
          <w:p w14:paraId="34BE374F">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锅炉排污水：本项目燃气锅炉排污水量为0.</w:t>
            </w:r>
            <w:r>
              <w:rPr>
                <w:rFonts w:hint="eastAsia" w:cs="Times New Roman"/>
                <w:color w:val="auto"/>
                <w:highlight w:val="none"/>
                <w:lang w:val="en-US" w:eastAsia="zh-CN"/>
              </w:rPr>
              <w:t>6m³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36m³</w:t>
            </w:r>
            <w:r>
              <w:rPr>
                <w:rFonts w:hint="default" w:ascii="Times New Roman" w:hAnsi="Times New Roman" w:cs="Times New Roman"/>
                <w:color w:val="auto"/>
                <w:highlight w:val="none"/>
                <w:lang w:val="en-US" w:eastAsia="zh-CN"/>
              </w:rPr>
              <w:t>/a</w:t>
            </w:r>
            <w:r>
              <w:rPr>
                <w:rFonts w:hint="eastAsia" w:cs="Times New Roman"/>
                <w:color w:val="auto"/>
                <w:highlight w:val="none"/>
                <w:lang w:val="en-US" w:eastAsia="zh-CN"/>
              </w:rPr>
              <w:t>。</w:t>
            </w:r>
          </w:p>
          <w:p w14:paraId="12792C76">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循环冷却排污水：本项目循环冷却水需定期排污，约每月排放一次。循环冷却排污水产生量为</w:t>
            </w:r>
            <w:r>
              <w:rPr>
                <w:rFonts w:hint="eastAsia" w:cs="Times New Roman"/>
                <w:color w:val="auto"/>
                <w:highlight w:val="none"/>
                <w:lang w:val="en-US" w:eastAsia="zh-CN"/>
              </w:rPr>
              <w:t>0.167m³</w:t>
            </w:r>
            <w:r>
              <w:rPr>
                <w:rFonts w:hint="default" w:ascii="Times New Roman" w:hAnsi="Times New Roman" w:cs="Times New Roman"/>
                <w:color w:val="auto"/>
                <w:highlight w:val="none"/>
                <w:lang w:val="en-US" w:eastAsia="zh-CN"/>
              </w:rPr>
              <w:t>/d 、</w:t>
            </w:r>
            <w:r>
              <w:rPr>
                <w:rFonts w:hint="eastAsia" w:cs="Times New Roman"/>
                <w:color w:val="auto"/>
                <w:highlight w:val="none"/>
                <w:lang w:val="en-US" w:eastAsia="zh-CN"/>
              </w:rPr>
              <w:t>10m³</w:t>
            </w:r>
            <w:r>
              <w:rPr>
                <w:rFonts w:hint="default" w:ascii="Times New Roman" w:hAnsi="Times New Roman" w:cs="Times New Roman"/>
                <w:color w:val="auto"/>
                <w:highlight w:val="none"/>
                <w:lang w:val="en-US" w:eastAsia="zh-CN"/>
              </w:rPr>
              <w:t>/a。</w:t>
            </w:r>
          </w:p>
          <w:p w14:paraId="26141D9E">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综上，项目产生的废水量为</w:t>
            </w:r>
            <w:r>
              <w:rPr>
                <w:rFonts w:hint="eastAsia" w:cs="Times New Roman"/>
                <w:color w:val="auto"/>
                <w:highlight w:val="none"/>
                <w:lang w:val="en-US" w:eastAsia="zh-CN"/>
              </w:rPr>
              <w:t>15.2978m³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917.868m³</w:t>
            </w:r>
            <w:r>
              <w:rPr>
                <w:rFonts w:hint="default" w:ascii="Times New Roman" w:hAnsi="Times New Roman" w:cs="Times New Roman"/>
                <w:color w:val="auto"/>
                <w:highlight w:val="none"/>
                <w:lang w:val="en-US" w:eastAsia="zh-CN"/>
              </w:rPr>
              <w:t>/a。其中生活污水产生量为</w:t>
            </w:r>
            <w:r>
              <w:rPr>
                <w:rFonts w:hint="eastAsia" w:cs="Times New Roman"/>
                <w:color w:val="auto"/>
                <w:highlight w:val="none"/>
                <w:lang w:val="en-US" w:eastAsia="zh-CN"/>
              </w:rPr>
              <w:t>2.04m³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122.4m³</w:t>
            </w:r>
            <w:r>
              <w:rPr>
                <w:rFonts w:hint="default" w:ascii="Times New Roman" w:hAnsi="Times New Roman" w:cs="Times New Roman"/>
                <w:color w:val="auto"/>
                <w:highlight w:val="none"/>
                <w:lang w:val="en-US" w:eastAsia="zh-CN"/>
              </w:rPr>
              <w:t>/a，浓水、锅炉排污水、循环冷却排污水总产生量为</w:t>
            </w:r>
            <w:r>
              <w:rPr>
                <w:rFonts w:hint="eastAsia" w:cs="Times New Roman"/>
                <w:color w:val="auto"/>
                <w:highlight w:val="none"/>
                <w:lang w:val="en-US" w:eastAsia="zh-CN"/>
              </w:rPr>
              <w:t>3.568m³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214.1m³</w:t>
            </w:r>
            <w:r>
              <w:rPr>
                <w:rFonts w:hint="default" w:ascii="Times New Roman" w:hAnsi="Times New Roman" w:cs="Times New Roman"/>
                <w:color w:val="auto"/>
                <w:highlight w:val="none"/>
                <w:lang w:val="en-US" w:eastAsia="zh-CN"/>
              </w:rPr>
              <w:t>/a，原料清洗废水、设备清洗废水产生量为</w:t>
            </w:r>
            <w:r>
              <w:rPr>
                <w:rFonts w:hint="eastAsia" w:cs="Times New Roman"/>
                <w:color w:val="auto"/>
                <w:highlight w:val="none"/>
                <w:lang w:val="en-US" w:eastAsia="zh-CN"/>
              </w:rPr>
              <w:t>10.4891m³</w:t>
            </w:r>
            <w:r>
              <w:rPr>
                <w:rFonts w:hint="default" w:ascii="Times New Roman" w:hAnsi="Times New Roman" w:cs="Times New Roman"/>
                <w:color w:val="auto"/>
                <w:highlight w:val="none"/>
                <w:lang w:val="en-US" w:eastAsia="zh-CN"/>
              </w:rPr>
              <w:t>/d、</w:t>
            </w:r>
            <w:r>
              <w:rPr>
                <w:rFonts w:hint="eastAsia" w:cs="Times New Roman"/>
                <w:color w:val="auto"/>
                <w:highlight w:val="none"/>
                <w:lang w:val="en-US" w:eastAsia="zh-CN"/>
              </w:rPr>
              <w:t>629.3453m³</w:t>
            </w:r>
            <w:r>
              <w:rPr>
                <w:rFonts w:hint="default" w:ascii="Times New Roman" w:hAnsi="Times New Roman" w:cs="Times New Roman"/>
                <w:color w:val="auto"/>
                <w:highlight w:val="none"/>
                <w:lang w:val="en-US" w:eastAsia="zh-CN"/>
              </w:rPr>
              <w:t>/a。</w:t>
            </w:r>
            <w:r>
              <w:rPr>
                <w:rFonts w:hint="eastAsia" w:cs="Times New Roman"/>
                <w:color w:val="auto"/>
                <w:highlight w:val="none"/>
                <w:lang w:val="en-US" w:eastAsia="zh-CN"/>
              </w:rPr>
              <w:t>废水</w:t>
            </w:r>
            <w:r>
              <w:rPr>
                <w:rFonts w:hint="default" w:ascii="Times New Roman" w:hAnsi="Times New Roman" w:cs="Times New Roman"/>
                <w:color w:val="auto"/>
                <w:highlight w:val="none"/>
                <w:lang w:val="en-US" w:eastAsia="zh-CN"/>
              </w:rPr>
              <w:t>经化粪池处理后，</w:t>
            </w:r>
            <w:r>
              <w:rPr>
                <w:rFonts w:hint="eastAsia" w:cs="Times New Roman"/>
                <w:color w:val="auto"/>
                <w:highlight w:val="none"/>
                <w:lang w:val="en-US" w:eastAsia="zh-CN"/>
              </w:rPr>
              <w:t>排</w:t>
            </w:r>
            <w:r>
              <w:rPr>
                <w:rFonts w:hint="default" w:ascii="Times New Roman" w:hAnsi="Times New Roman" w:cs="Times New Roman"/>
                <w:color w:val="auto"/>
                <w:highlight w:val="none"/>
                <w:lang w:val="en-US" w:eastAsia="zh-CN"/>
              </w:rPr>
              <w:t>入市政</w:t>
            </w:r>
            <w:r>
              <w:rPr>
                <w:rFonts w:hint="eastAsia" w:cs="Times New Roman"/>
                <w:color w:val="auto"/>
                <w:highlight w:val="none"/>
                <w:lang w:val="en-US" w:eastAsia="zh-CN"/>
              </w:rPr>
              <w:t>污水管网</w:t>
            </w:r>
            <w:r>
              <w:rPr>
                <w:rFonts w:hint="default" w:ascii="Times New Roman" w:hAnsi="Times New Roman" w:cs="Times New Roman"/>
                <w:color w:val="auto"/>
                <w:highlight w:val="none"/>
                <w:lang w:val="en-US" w:eastAsia="zh-CN"/>
              </w:rPr>
              <w:t>。废水满足</w:t>
            </w:r>
            <w:r>
              <w:rPr>
                <w:rFonts w:hint="eastAsia" w:cs="Times New Roman"/>
                <w:color w:val="auto"/>
                <w:highlight w:val="none"/>
                <w:lang w:val="en-US" w:eastAsia="zh-CN"/>
              </w:rPr>
              <w:t>《污水综合排放标准》（GB8978-1996）及修改单</w:t>
            </w:r>
            <w:r>
              <w:rPr>
                <w:rFonts w:hint="default" w:ascii="Times New Roman" w:hAnsi="Times New Roman" w:cs="Times New Roman"/>
                <w:color w:val="auto"/>
                <w:highlight w:val="none"/>
                <w:lang w:val="en-US" w:eastAsia="zh-CN"/>
              </w:rPr>
              <w:t>三级标准及</w:t>
            </w:r>
            <w:r>
              <w:rPr>
                <w:rFonts w:hint="eastAsia" w:cs="Times New Roman"/>
                <w:color w:val="auto"/>
                <w:highlight w:val="none"/>
                <w:lang w:val="en-US" w:eastAsia="zh-CN"/>
              </w:rPr>
              <w:t>园区废水处理厂</w:t>
            </w:r>
            <w:r>
              <w:rPr>
                <w:rFonts w:hint="default" w:ascii="Times New Roman" w:hAnsi="Times New Roman" w:cs="Times New Roman"/>
                <w:color w:val="auto"/>
                <w:highlight w:val="none"/>
                <w:lang w:val="en-US" w:eastAsia="zh-CN"/>
              </w:rPr>
              <w:t>进水水质要求</w:t>
            </w:r>
            <w:r>
              <w:rPr>
                <w:rFonts w:hint="eastAsia" w:cs="Times New Roman"/>
                <w:color w:val="auto"/>
                <w:highlight w:val="none"/>
                <w:lang w:val="en-US" w:eastAsia="zh-CN"/>
              </w:rPr>
              <w:t>，《污水综合排放标准》（GB8978-1996）及修改单三级标准、园区废水处理厂</w:t>
            </w:r>
            <w:r>
              <w:rPr>
                <w:rFonts w:hint="default" w:ascii="Times New Roman" w:hAnsi="Times New Roman" w:cs="Times New Roman"/>
                <w:color w:val="auto"/>
                <w:highlight w:val="none"/>
                <w:lang w:val="en-US" w:eastAsia="zh-CN"/>
              </w:rPr>
              <w:t>进水水质</w:t>
            </w:r>
            <w:r>
              <w:rPr>
                <w:rFonts w:hint="eastAsia" w:cs="Times New Roman"/>
                <w:color w:val="auto"/>
                <w:highlight w:val="none"/>
                <w:lang w:val="en-US" w:eastAsia="zh-CN"/>
              </w:rPr>
              <w:t>要求及本项目出水水质要求见表2-7</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项目</w:t>
            </w:r>
            <w:r>
              <w:rPr>
                <w:rFonts w:hint="default" w:ascii="Times New Roman" w:hAnsi="Times New Roman" w:cs="Times New Roman"/>
                <w:color w:val="auto"/>
                <w:highlight w:val="none"/>
                <w:lang w:val="en-US" w:eastAsia="zh-CN"/>
              </w:rPr>
              <w:t>供排水估算</w:t>
            </w:r>
            <w:r>
              <w:rPr>
                <w:rFonts w:hint="eastAsia" w:cs="Times New Roman"/>
                <w:color w:val="auto"/>
                <w:highlight w:val="none"/>
                <w:lang w:val="en-US" w:eastAsia="zh-CN"/>
              </w:rPr>
              <w:t>见表2-8，</w:t>
            </w:r>
            <w:r>
              <w:rPr>
                <w:rFonts w:hint="default" w:ascii="Times New Roman" w:hAnsi="Times New Roman" w:cs="Times New Roman"/>
                <w:color w:val="auto"/>
                <w:highlight w:val="none"/>
                <w:lang w:val="en-US" w:eastAsia="zh-CN"/>
              </w:rPr>
              <w:t>水平衡见图</w:t>
            </w:r>
            <w:r>
              <w:rPr>
                <w:rFonts w:hint="eastAsia" w:cs="Times New Roman"/>
                <w:color w:val="auto"/>
                <w:highlight w:val="none"/>
                <w:lang w:val="en-US" w:eastAsia="zh-CN"/>
              </w:rPr>
              <w:t>6</w:t>
            </w:r>
            <w:r>
              <w:rPr>
                <w:rFonts w:hint="default" w:ascii="Times New Roman" w:hAnsi="Times New Roman" w:cs="Times New Roman"/>
                <w:color w:val="auto"/>
                <w:highlight w:val="none"/>
                <w:lang w:val="en-US" w:eastAsia="zh-CN"/>
              </w:rPr>
              <w:t>。</w:t>
            </w:r>
          </w:p>
          <w:p w14:paraId="33FC2C6C">
            <w:pPr>
              <w:keepNext w:val="0"/>
              <w:keepLines w:val="0"/>
              <w:pageBreakBefore w:val="0"/>
              <w:widowControl w:val="0"/>
              <w:kinsoku/>
              <w:wordWrap/>
              <w:overflowPunct/>
              <w:topLinePunct w:val="0"/>
              <w:autoSpaceDE w:val="0"/>
              <w:autoSpaceDN/>
              <w:bidi w:val="0"/>
              <w:adjustRightInd/>
              <w:snapToGrid/>
              <w:spacing w:line="240" w:lineRule="auto"/>
              <w:jc w:val="center"/>
              <w:textAlignment w:val="baseline"/>
              <w:rPr>
                <w:rFonts w:hint="eastAsia" w:eastAsia="黑体" w:cs="Times New Roman"/>
                <w:color w:val="auto"/>
                <w:highlight w:val="none"/>
                <w:lang w:val="en-US" w:eastAsia="zh-CN"/>
              </w:rPr>
            </w:pPr>
            <w:r>
              <w:rPr>
                <w:rFonts w:hint="eastAsia" w:eastAsia="黑体" w:cs="Times New Roman"/>
                <w:color w:val="auto"/>
                <w:highlight w:val="none"/>
                <w:lang w:val="en-US" w:eastAsia="zh-CN"/>
              </w:rPr>
              <w:t>表2-7</w:t>
            </w:r>
            <w:r>
              <w:rPr>
                <w:rFonts w:hint="default" w:eastAsia="黑体" w:cs="Times New Roman"/>
                <w:color w:val="auto"/>
                <w:highlight w:val="none"/>
                <w:lang w:val="en-US" w:eastAsia="zh-CN"/>
              </w:rPr>
              <w:t xml:space="preserve"> </w:t>
            </w:r>
            <w:r>
              <w:rPr>
                <w:rFonts w:hint="eastAsia" w:eastAsia="黑体" w:cs="Times New Roman"/>
                <w:color w:val="auto"/>
                <w:highlight w:val="none"/>
                <w:lang w:val="en-US" w:eastAsia="zh-CN"/>
              </w:rPr>
              <w:t xml:space="preserve">     设计进水水质指标</w:t>
            </w:r>
          </w:p>
          <w:tbl>
            <w:tblPr>
              <w:tblStyle w:val="30"/>
              <w:tblW w:w="4995"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7"/>
              <w:gridCol w:w="554"/>
              <w:gridCol w:w="741"/>
              <w:gridCol w:w="651"/>
              <w:gridCol w:w="585"/>
              <w:gridCol w:w="720"/>
              <w:gridCol w:w="495"/>
              <w:gridCol w:w="427"/>
              <w:gridCol w:w="877"/>
              <w:gridCol w:w="728"/>
              <w:gridCol w:w="969"/>
            </w:tblGrid>
            <w:tr w14:paraId="1E7D0FA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293" w:type="pct"/>
                  <w:gridSpan w:val="2"/>
                  <w:tcBorders>
                    <w:bottom w:val="single" w:color="000000" w:sz="4" w:space="0"/>
                    <w:right w:val="single" w:color="000000" w:sz="4" w:space="0"/>
                  </w:tcBorders>
                  <w:shd w:val="clear" w:color="auto" w:fill="auto"/>
                  <w:vAlign w:val="center"/>
                </w:tcPr>
                <w:p w14:paraId="2B4F305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指标</w:t>
                  </w:r>
                </w:p>
              </w:tc>
              <w:tc>
                <w:tcPr>
                  <w:tcW w:w="443" w:type="pct"/>
                  <w:tcBorders>
                    <w:left w:val="single" w:color="000000" w:sz="4" w:space="0"/>
                    <w:bottom w:val="single" w:color="000000" w:sz="4" w:space="0"/>
                    <w:right w:val="single" w:color="000000" w:sz="4" w:space="0"/>
                  </w:tcBorders>
                  <w:shd w:val="clear" w:color="auto" w:fill="auto"/>
                  <w:vAlign w:val="center"/>
                </w:tcPr>
                <w:p w14:paraId="28EBA42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CODcr</w:t>
                  </w:r>
                </w:p>
              </w:tc>
              <w:tc>
                <w:tcPr>
                  <w:tcW w:w="389" w:type="pct"/>
                  <w:tcBorders>
                    <w:left w:val="single" w:color="000000" w:sz="4" w:space="0"/>
                    <w:bottom w:val="single" w:color="000000" w:sz="4" w:space="0"/>
                    <w:right w:val="single" w:color="000000" w:sz="4" w:space="0"/>
                  </w:tcBorders>
                  <w:shd w:val="clear" w:color="auto" w:fill="auto"/>
                  <w:vAlign w:val="center"/>
                </w:tcPr>
                <w:p w14:paraId="1F3B5F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BOD</w:t>
                  </w:r>
                  <w:r>
                    <w:rPr>
                      <w:rFonts w:hint="default"/>
                      <w:bCs/>
                      <w:color w:val="auto"/>
                      <w:sz w:val="18"/>
                      <w:szCs w:val="18"/>
                      <w:highlight w:val="none"/>
                      <w:lang w:val="en-US" w:eastAsia="zh-CN"/>
                    </w:rPr>
                    <w:t>₅</w:t>
                  </w:r>
                </w:p>
              </w:tc>
              <w:tc>
                <w:tcPr>
                  <w:tcW w:w="350" w:type="pct"/>
                  <w:tcBorders>
                    <w:left w:val="single" w:color="000000" w:sz="4" w:space="0"/>
                    <w:bottom w:val="single" w:color="000000" w:sz="4" w:space="0"/>
                    <w:right w:val="single" w:color="000000" w:sz="4" w:space="0"/>
                  </w:tcBorders>
                  <w:shd w:val="clear" w:color="auto" w:fill="auto"/>
                  <w:vAlign w:val="center"/>
                </w:tcPr>
                <w:p w14:paraId="67DF1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SS</w:t>
                  </w:r>
                </w:p>
              </w:tc>
              <w:tc>
                <w:tcPr>
                  <w:tcW w:w="430" w:type="pct"/>
                  <w:tcBorders>
                    <w:left w:val="single" w:color="000000" w:sz="4" w:space="0"/>
                    <w:bottom w:val="single" w:color="000000" w:sz="4" w:space="0"/>
                    <w:right w:val="single" w:color="000000" w:sz="4" w:space="0"/>
                  </w:tcBorders>
                  <w:shd w:val="clear" w:color="auto" w:fill="auto"/>
                  <w:vAlign w:val="center"/>
                </w:tcPr>
                <w:p w14:paraId="69ACEFE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NH</w:t>
                  </w:r>
                  <w:r>
                    <w:rPr>
                      <w:rFonts w:hint="default"/>
                      <w:bCs/>
                      <w:color w:val="auto"/>
                      <w:sz w:val="18"/>
                      <w:szCs w:val="18"/>
                      <w:highlight w:val="none"/>
                      <w:lang w:val="en-US" w:eastAsia="zh-CN"/>
                    </w:rPr>
                    <w:t>₃</w:t>
                  </w:r>
                  <w:r>
                    <w:rPr>
                      <w:bCs/>
                      <w:color w:val="auto"/>
                      <w:sz w:val="18"/>
                      <w:szCs w:val="18"/>
                      <w:highlight w:val="none"/>
                      <w:lang w:val="en-US" w:eastAsia="zh-CN"/>
                    </w:rPr>
                    <w:t>-N</w:t>
                  </w:r>
                </w:p>
              </w:tc>
              <w:tc>
                <w:tcPr>
                  <w:tcW w:w="296" w:type="pct"/>
                  <w:tcBorders>
                    <w:left w:val="single" w:color="000000" w:sz="4" w:space="0"/>
                    <w:bottom w:val="single" w:color="000000" w:sz="4" w:space="0"/>
                    <w:right w:val="single" w:color="000000" w:sz="4" w:space="0"/>
                  </w:tcBorders>
                  <w:shd w:val="clear" w:color="auto" w:fill="auto"/>
                  <w:vAlign w:val="center"/>
                </w:tcPr>
                <w:p w14:paraId="6730E0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TN</w:t>
                  </w:r>
                </w:p>
              </w:tc>
              <w:tc>
                <w:tcPr>
                  <w:tcW w:w="255" w:type="pct"/>
                  <w:tcBorders>
                    <w:left w:val="single" w:color="000000" w:sz="4" w:space="0"/>
                    <w:bottom w:val="single" w:color="000000" w:sz="4" w:space="0"/>
                    <w:right w:val="single" w:color="000000" w:sz="4" w:space="0"/>
                  </w:tcBorders>
                  <w:shd w:val="clear" w:color="auto" w:fill="auto"/>
                  <w:vAlign w:val="center"/>
                </w:tcPr>
                <w:p w14:paraId="4E29743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TP</w:t>
                  </w:r>
                </w:p>
              </w:tc>
              <w:tc>
                <w:tcPr>
                  <w:tcW w:w="524" w:type="pct"/>
                  <w:tcBorders>
                    <w:left w:val="single" w:color="000000" w:sz="4" w:space="0"/>
                    <w:bottom w:val="single" w:color="000000" w:sz="4" w:space="0"/>
                    <w:right w:val="single" w:color="000000" w:sz="4" w:space="0"/>
                  </w:tcBorders>
                  <w:shd w:val="clear" w:color="auto" w:fill="auto"/>
                  <w:vAlign w:val="center"/>
                </w:tcPr>
                <w:p w14:paraId="462021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动植物油</w:t>
                  </w:r>
                </w:p>
              </w:tc>
              <w:tc>
                <w:tcPr>
                  <w:tcW w:w="435" w:type="pct"/>
                  <w:tcBorders>
                    <w:left w:val="single" w:color="000000" w:sz="4" w:space="0"/>
                    <w:bottom w:val="single" w:color="000000" w:sz="4" w:space="0"/>
                    <w:right w:val="single" w:color="000000" w:sz="4" w:space="0"/>
                  </w:tcBorders>
                  <w:shd w:val="clear" w:color="auto" w:fill="auto"/>
                  <w:vAlign w:val="center"/>
                </w:tcPr>
                <w:p w14:paraId="075F10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pH</w:t>
                  </w:r>
                </w:p>
              </w:tc>
              <w:tc>
                <w:tcPr>
                  <w:tcW w:w="579" w:type="pct"/>
                  <w:tcBorders>
                    <w:left w:val="single" w:color="000000" w:sz="4" w:space="0"/>
                    <w:bottom w:val="single" w:color="000000" w:sz="4" w:space="0"/>
                  </w:tcBorders>
                  <w:shd w:val="clear" w:color="auto" w:fill="auto"/>
                  <w:vAlign w:val="center"/>
                </w:tcPr>
                <w:p w14:paraId="24E8F7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溶解性总</w:t>
                  </w:r>
                  <w:r>
                    <w:rPr>
                      <w:bCs/>
                      <w:color w:val="auto"/>
                      <w:sz w:val="18"/>
                      <w:szCs w:val="18"/>
                      <w:highlight w:val="none"/>
                      <w:lang w:val="en-US" w:eastAsia="zh-CN"/>
                    </w:rPr>
                    <w:br w:type="textWrapping"/>
                  </w:r>
                  <w:r>
                    <w:rPr>
                      <w:bCs/>
                      <w:color w:val="auto"/>
                      <w:sz w:val="18"/>
                      <w:szCs w:val="18"/>
                      <w:highlight w:val="none"/>
                      <w:lang w:val="en-US" w:eastAsia="zh-CN"/>
                    </w:rPr>
                    <w:t>固体</w:t>
                  </w:r>
                </w:p>
              </w:tc>
            </w:tr>
            <w:tr w14:paraId="1CA885A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pct"/>
                  <w:tcBorders>
                    <w:top w:val="single" w:color="000000" w:sz="4" w:space="0"/>
                    <w:right w:val="single" w:color="000000" w:sz="4" w:space="0"/>
                  </w:tcBorders>
                  <w:shd w:val="clear" w:color="auto" w:fill="auto"/>
                  <w:vAlign w:val="center"/>
                </w:tcPr>
                <w:p w14:paraId="648E895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lang w:val="en-US" w:eastAsia="zh-CN"/>
                    </w:rPr>
                  </w:pPr>
                  <w:r>
                    <w:rPr>
                      <w:rFonts w:hint="eastAsia"/>
                      <w:bCs/>
                      <w:color w:val="auto"/>
                      <w:sz w:val="18"/>
                      <w:szCs w:val="18"/>
                      <w:highlight w:val="none"/>
                      <w:lang w:val="en-US" w:eastAsia="zh-CN"/>
                    </w:rPr>
                    <w:t>《污水综合排放标准》（GB8978-1996）及修改单</w:t>
                  </w:r>
                  <w:r>
                    <w:rPr>
                      <w:rFonts w:hint="default"/>
                      <w:bCs/>
                      <w:color w:val="auto"/>
                      <w:sz w:val="18"/>
                      <w:szCs w:val="18"/>
                      <w:highlight w:val="none"/>
                      <w:lang w:val="en-US" w:eastAsia="zh-CN"/>
                    </w:rPr>
                    <w:t>三级标准</w:t>
                  </w:r>
                </w:p>
              </w:tc>
              <w:tc>
                <w:tcPr>
                  <w:tcW w:w="331" w:type="pct"/>
                  <w:tcBorders>
                    <w:top w:val="single" w:color="000000" w:sz="4" w:space="0"/>
                    <w:right w:val="single" w:color="000000" w:sz="4" w:space="0"/>
                  </w:tcBorders>
                  <w:shd w:val="clear" w:color="auto" w:fill="auto"/>
                  <w:vAlign w:val="center"/>
                </w:tcPr>
                <w:p w14:paraId="3730C78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18"/>
                      <w:szCs w:val="18"/>
                      <w:highlight w:val="none"/>
                      <w:lang w:val="en-US" w:eastAsia="zh-CN"/>
                    </w:rPr>
                  </w:pPr>
                  <w:r>
                    <w:rPr>
                      <w:rFonts w:hint="eastAsia"/>
                      <w:bCs/>
                      <w:color w:val="auto"/>
                      <w:sz w:val="18"/>
                      <w:szCs w:val="18"/>
                      <w:highlight w:val="none"/>
                      <w:lang w:val="en-US" w:eastAsia="zh-CN"/>
                    </w:rPr>
                    <w:t>范围</w:t>
                  </w:r>
                </w:p>
              </w:tc>
              <w:tc>
                <w:tcPr>
                  <w:tcW w:w="443" w:type="pct"/>
                  <w:tcBorders>
                    <w:top w:val="single" w:color="000000" w:sz="4" w:space="0"/>
                    <w:left w:val="single" w:color="000000" w:sz="4" w:space="0"/>
                    <w:right w:val="single" w:color="000000" w:sz="4" w:space="0"/>
                  </w:tcBorders>
                  <w:shd w:val="clear" w:color="auto" w:fill="auto"/>
                  <w:vAlign w:val="center"/>
                </w:tcPr>
                <w:p w14:paraId="1D1D88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18"/>
                      <w:szCs w:val="18"/>
                      <w:highlight w:val="none"/>
                      <w:lang w:val="en-US" w:eastAsia="zh-CN"/>
                    </w:rPr>
                  </w:pPr>
                  <w:r>
                    <w:rPr>
                      <w:bCs/>
                      <w:color w:val="auto"/>
                      <w:sz w:val="18"/>
                      <w:szCs w:val="18"/>
                      <w:highlight w:val="none"/>
                      <w:lang w:val="en-US" w:eastAsia="zh-CN"/>
                    </w:rPr>
                    <w:t>≤</w:t>
                  </w:r>
                  <w:r>
                    <w:rPr>
                      <w:rFonts w:hint="eastAsia"/>
                      <w:bCs/>
                      <w:color w:val="auto"/>
                      <w:sz w:val="18"/>
                      <w:szCs w:val="18"/>
                      <w:highlight w:val="none"/>
                      <w:lang w:val="en-US" w:eastAsia="zh-CN"/>
                    </w:rPr>
                    <w:t>500</w:t>
                  </w:r>
                </w:p>
              </w:tc>
              <w:tc>
                <w:tcPr>
                  <w:tcW w:w="389" w:type="pct"/>
                  <w:tcBorders>
                    <w:top w:val="single" w:color="000000" w:sz="4" w:space="0"/>
                    <w:left w:val="single" w:color="000000" w:sz="4" w:space="0"/>
                    <w:right w:val="single" w:color="000000" w:sz="4" w:space="0"/>
                  </w:tcBorders>
                  <w:shd w:val="clear" w:color="auto" w:fill="auto"/>
                  <w:vAlign w:val="center"/>
                </w:tcPr>
                <w:p w14:paraId="0A266B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18"/>
                      <w:szCs w:val="18"/>
                      <w:highlight w:val="none"/>
                      <w:lang w:val="en-US" w:eastAsia="zh-CN"/>
                    </w:rPr>
                  </w:pPr>
                  <w:r>
                    <w:rPr>
                      <w:bCs/>
                      <w:color w:val="auto"/>
                      <w:sz w:val="18"/>
                      <w:szCs w:val="18"/>
                      <w:highlight w:val="none"/>
                      <w:lang w:val="en-US" w:eastAsia="zh-CN"/>
                    </w:rPr>
                    <w:t>≤</w:t>
                  </w:r>
                  <w:r>
                    <w:rPr>
                      <w:rFonts w:hint="eastAsia"/>
                      <w:bCs/>
                      <w:color w:val="auto"/>
                      <w:sz w:val="18"/>
                      <w:szCs w:val="18"/>
                      <w:highlight w:val="none"/>
                      <w:lang w:val="en-US" w:eastAsia="zh-CN"/>
                    </w:rPr>
                    <w:t>300</w:t>
                  </w:r>
                </w:p>
              </w:tc>
              <w:tc>
                <w:tcPr>
                  <w:tcW w:w="350" w:type="pct"/>
                  <w:tcBorders>
                    <w:top w:val="single" w:color="000000" w:sz="4" w:space="0"/>
                    <w:left w:val="single" w:color="000000" w:sz="4" w:space="0"/>
                    <w:right w:val="single" w:color="000000" w:sz="4" w:space="0"/>
                  </w:tcBorders>
                  <w:shd w:val="clear" w:color="auto" w:fill="auto"/>
                  <w:vAlign w:val="center"/>
                </w:tcPr>
                <w:p w14:paraId="599C431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18"/>
                      <w:szCs w:val="18"/>
                      <w:highlight w:val="none"/>
                      <w:lang w:val="en-US" w:eastAsia="zh-CN"/>
                    </w:rPr>
                  </w:pPr>
                  <w:r>
                    <w:rPr>
                      <w:bCs/>
                      <w:color w:val="auto"/>
                      <w:sz w:val="18"/>
                      <w:szCs w:val="18"/>
                      <w:highlight w:val="none"/>
                      <w:lang w:val="en-US" w:eastAsia="zh-CN"/>
                    </w:rPr>
                    <w:t>≤</w:t>
                  </w:r>
                  <w:r>
                    <w:rPr>
                      <w:rFonts w:hint="eastAsia"/>
                      <w:bCs/>
                      <w:color w:val="auto"/>
                      <w:sz w:val="18"/>
                      <w:szCs w:val="18"/>
                      <w:highlight w:val="none"/>
                      <w:lang w:val="en-US" w:eastAsia="zh-CN"/>
                    </w:rPr>
                    <w:t>400</w:t>
                  </w:r>
                </w:p>
              </w:tc>
              <w:tc>
                <w:tcPr>
                  <w:tcW w:w="430" w:type="pct"/>
                  <w:tcBorders>
                    <w:top w:val="single" w:color="000000" w:sz="4" w:space="0"/>
                    <w:left w:val="single" w:color="000000" w:sz="4" w:space="0"/>
                    <w:right w:val="single" w:color="000000" w:sz="4" w:space="0"/>
                  </w:tcBorders>
                  <w:shd w:val="clear" w:color="auto" w:fill="auto"/>
                  <w:vAlign w:val="center"/>
                </w:tcPr>
                <w:p w14:paraId="2EAAAA9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18"/>
                      <w:szCs w:val="18"/>
                      <w:highlight w:val="none"/>
                      <w:lang w:val="en-US" w:eastAsia="zh-CN"/>
                    </w:rPr>
                  </w:pPr>
                  <w:r>
                    <w:rPr>
                      <w:rFonts w:hint="eastAsia"/>
                      <w:bCs/>
                      <w:color w:val="auto"/>
                      <w:sz w:val="18"/>
                      <w:szCs w:val="18"/>
                      <w:highlight w:val="none"/>
                      <w:lang w:val="en-US" w:eastAsia="zh-CN"/>
                    </w:rPr>
                    <w:t>--</w:t>
                  </w:r>
                </w:p>
              </w:tc>
              <w:tc>
                <w:tcPr>
                  <w:tcW w:w="296" w:type="pct"/>
                  <w:tcBorders>
                    <w:top w:val="single" w:color="000000" w:sz="4" w:space="0"/>
                    <w:left w:val="single" w:color="000000" w:sz="4" w:space="0"/>
                    <w:right w:val="single" w:color="000000" w:sz="4" w:space="0"/>
                  </w:tcBorders>
                  <w:shd w:val="clear" w:color="auto" w:fill="auto"/>
                  <w:vAlign w:val="center"/>
                </w:tcPr>
                <w:p w14:paraId="4ADDA3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18"/>
                      <w:szCs w:val="18"/>
                      <w:highlight w:val="none"/>
                      <w:lang w:val="en-US" w:eastAsia="zh-CN"/>
                    </w:rPr>
                  </w:pPr>
                  <w:r>
                    <w:rPr>
                      <w:rFonts w:hint="eastAsia"/>
                      <w:bCs/>
                      <w:color w:val="auto"/>
                      <w:sz w:val="18"/>
                      <w:szCs w:val="18"/>
                      <w:highlight w:val="none"/>
                      <w:lang w:val="en-US" w:eastAsia="zh-CN"/>
                    </w:rPr>
                    <w:t>--</w:t>
                  </w:r>
                </w:p>
              </w:tc>
              <w:tc>
                <w:tcPr>
                  <w:tcW w:w="255" w:type="pct"/>
                  <w:tcBorders>
                    <w:top w:val="single" w:color="000000" w:sz="4" w:space="0"/>
                    <w:left w:val="single" w:color="000000" w:sz="4" w:space="0"/>
                    <w:right w:val="single" w:color="000000" w:sz="4" w:space="0"/>
                  </w:tcBorders>
                  <w:shd w:val="clear" w:color="auto" w:fill="auto"/>
                  <w:vAlign w:val="center"/>
                </w:tcPr>
                <w:p w14:paraId="1AB449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18"/>
                      <w:szCs w:val="18"/>
                      <w:highlight w:val="none"/>
                      <w:lang w:val="en-US" w:eastAsia="zh-CN"/>
                    </w:rPr>
                  </w:pPr>
                  <w:r>
                    <w:rPr>
                      <w:rFonts w:hint="eastAsia"/>
                      <w:bCs/>
                      <w:color w:val="auto"/>
                      <w:sz w:val="18"/>
                      <w:szCs w:val="18"/>
                      <w:highlight w:val="none"/>
                      <w:lang w:val="en-US" w:eastAsia="zh-CN"/>
                    </w:rPr>
                    <w:t>--</w:t>
                  </w:r>
                </w:p>
              </w:tc>
              <w:tc>
                <w:tcPr>
                  <w:tcW w:w="524" w:type="pct"/>
                  <w:tcBorders>
                    <w:top w:val="single" w:color="000000" w:sz="4" w:space="0"/>
                    <w:left w:val="single" w:color="000000" w:sz="4" w:space="0"/>
                    <w:right w:val="single" w:color="000000" w:sz="4" w:space="0"/>
                  </w:tcBorders>
                  <w:shd w:val="clear" w:color="auto" w:fill="auto"/>
                  <w:vAlign w:val="center"/>
                </w:tcPr>
                <w:p w14:paraId="65F8B5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18"/>
                      <w:szCs w:val="18"/>
                      <w:highlight w:val="none"/>
                      <w:lang w:val="en-US" w:eastAsia="zh-CN"/>
                    </w:rPr>
                  </w:pPr>
                  <w:r>
                    <w:rPr>
                      <w:bCs/>
                      <w:color w:val="auto"/>
                      <w:sz w:val="18"/>
                      <w:szCs w:val="18"/>
                      <w:highlight w:val="none"/>
                      <w:lang w:val="en-US" w:eastAsia="zh-CN"/>
                    </w:rPr>
                    <w:t>≤</w:t>
                  </w:r>
                  <w:r>
                    <w:rPr>
                      <w:rFonts w:hint="eastAsia"/>
                      <w:bCs/>
                      <w:color w:val="auto"/>
                      <w:sz w:val="18"/>
                      <w:szCs w:val="18"/>
                      <w:highlight w:val="none"/>
                      <w:lang w:val="en-US" w:eastAsia="zh-CN"/>
                    </w:rPr>
                    <w:t>100</w:t>
                  </w:r>
                </w:p>
              </w:tc>
              <w:tc>
                <w:tcPr>
                  <w:tcW w:w="435" w:type="pct"/>
                  <w:tcBorders>
                    <w:top w:val="single" w:color="000000" w:sz="4" w:space="0"/>
                    <w:left w:val="single" w:color="000000" w:sz="4" w:space="0"/>
                    <w:right w:val="single" w:color="000000" w:sz="4" w:space="0"/>
                  </w:tcBorders>
                  <w:shd w:val="clear" w:color="auto" w:fill="auto"/>
                  <w:vAlign w:val="center"/>
                </w:tcPr>
                <w:p w14:paraId="5061A9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18"/>
                      <w:szCs w:val="18"/>
                      <w:highlight w:val="none"/>
                      <w:lang w:val="en-US" w:eastAsia="zh-CN"/>
                    </w:rPr>
                  </w:pPr>
                  <w:r>
                    <w:rPr>
                      <w:rFonts w:hint="eastAsia"/>
                      <w:bCs/>
                      <w:color w:val="auto"/>
                      <w:sz w:val="18"/>
                      <w:szCs w:val="18"/>
                      <w:highlight w:val="none"/>
                      <w:lang w:val="en-US" w:eastAsia="zh-CN"/>
                    </w:rPr>
                    <w:t>6-9</w:t>
                  </w:r>
                </w:p>
              </w:tc>
              <w:tc>
                <w:tcPr>
                  <w:tcW w:w="579" w:type="pct"/>
                  <w:tcBorders>
                    <w:top w:val="single" w:color="000000" w:sz="4" w:space="0"/>
                    <w:left w:val="single" w:color="000000" w:sz="4" w:space="0"/>
                  </w:tcBorders>
                  <w:shd w:val="clear" w:color="auto" w:fill="auto"/>
                  <w:vAlign w:val="center"/>
                </w:tcPr>
                <w:p w14:paraId="6444800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18"/>
                      <w:szCs w:val="18"/>
                      <w:highlight w:val="none"/>
                      <w:lang w:val="en-US" w:eastAsia="zh-CN"/>
                    </w:rPr>
                  </w:pPr>
                  <w:r>
                    <w:rPr>
                      <w:rFonts w:hint="eastAsia"/>
                      <w:bCs/>
                      <w:color w:val="auto"/>
                      <w:sz w:val="18"/>
                      <w:szCs w:val="18"/>
                      <w:highlight w:val="none"/>
                      <w:lang w:val="en-US" w:eastAsia="zh-CN"/>
                    </w:rPr>
                    <w:t>--</w:t>
                  </w:r>
                </w:p>
              </w:tc>
            </w:tr>
            <w:tr w14:paraId="21DC222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pct"/>
                  <w:tcBorders>
                    <w:top w:val="single" w:color="000000" w:sz="4" w:space="0"/>
                    <w:bottom w:val="single" w:color="000000" w:sz="4" w:space="0"/>
                    <w:right w:val="single" w:color="000000" w:sz="4" w:space="0"/>
                  </w:tcBorders>
                  <w:shd w:val="clear" w:color="auto" w:fill="auto"/>
                  <w:vAlign w:val="center"/>
                </w:tcPr>
                <w:p w14:paraId="464927F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lang w:val="en-US" w:eastAsia="zh-CN"/>
                    </w:rPr>
                  </w:pPr>
                  <w:r>
                    <w:rPr>
                      <w:rFonts w:hint="eastAsia"/>
                      <w:bCs/>
                      <w:color w:val="auto"/>
                      <w:sz w:val="18"/>
                      <w:szCs w:val="18"/>
                      <w:highlight w:val="none"/>
                      <w:lang w:val="en-US" w:eastAsia="zh-CN"/>
                    </w:rPr>
                    <w:t>园区废水处理厂</w:t>
                  </w:r>
                  <w:r>
                    <w:rPr>
                      <w:rFonts w:hint="default"/>
                      <w:bCs/>
                      <w:color w:val="auto"/>
                      <w:sz w:val="18"/>
                      <w:szCs w:val="18"/>
                      <w:highlight w:val="none"/>
                      <w:lang w:val="en-US" w:eastAsia="zh-CN"/>
                    </w:rPr>
                    <w:t>进水水质要求</w:t>
                  </w:r>
                </w:p>
              </w:tc>
              <w:tc>
                <w:tcPr>
                  <w:tcW w:w="331" w:type="pct"/>
                  <w:tcBorders>
                    <w:top w:val="single" w:color="000000" w:sz="4" w:space="0"/>
                    <w:bottom w:val="single" w:color="000000" w:sz="4" w:space="0"/>
                    <w:right w:val="single" w:color="000000" w:sz="4" w:space="0"/>
                  </w:tcBorders>
                  <w:shd w:val="clear" w:color="auto" w:fill="auto"/>
                  <w:vAlign w:val="center"/>
                </w:tcPr>
                <w:p w14:paraId="31B1713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范围</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56F1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≤500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4628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≤350</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7152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≤400</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F56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≤45</w:t>
                  </w:r>
                </w:p>
              </w:tc>
              <w:tc>
                <w:tcPr>
                  <w:tcW w:w="2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7BD0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≤70</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7A44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E7B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≤100</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71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6.5-9.5</w:t>
                  </w:r>
                </w:p>
              </w:tc>
              <w:tc>
                <w:tcPr>
                  <w:tcW w:w="579" w:type="pct"/>
                  <w:tcBorders>
                    <w:top w:val="single" w:color="000000" w:sz="4" w:space="0"/>
                    <w:left w:val="single" w:color="000000" w:sz="4" w:space="0"/>
                    <w:bottom w:val="single" w:color="000000" w:sz="4" w:space="0"/>
                  </w:tcBorders>
                  <w:shd w:val="clear" w:color="auto" w:fill="auto"/>
                  <w:vAlign w:val="center"/>
                </w:tcPr>
                <w:p w14:paraId="42E3B3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rPr>
                  </w:pPr>
                  <w:r>
                    <w:rPr>
                      <w:bCs/>
                      <w:color w:val="auto"/>
                      <w:sz w:val="18"/>
                      <w:szCs w:val="18"/>
                      <w:highlight w:val="none"/>
                      <w:lang w:val="en-US" w:eastAsia="zh-CN"/>
                    </w:rPr>
                    <w:t>≤1500</w:t>
                  </w:r>
                </w:p>
              </w:tc>
            </w:tr>
            <w:tr w14:paraId="7C4973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pct"/>
                  <w:tcBorders>
                    <w:top w:val="single" w:color="000000" w:sz="4" w:space="0"/>
                    <w:right w:val="single" w:color="000000" w:sz="4" w:space="0"/>
                  </w:tcBorders>
                  <w:shd w:val="clear" w:color="auto" w:fill="auto"/>
                  <w:vAlign w:val="center"/>
                </w:tcPr>
                <w:p w14:paraId="42CF2D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18"/>
                      <w:szCs w:val="18"/>
                      <w:highlight w:val="none"/>
                      <w:lang w:val="en-US" w:eastAsia="zh-CN"/>
                    </w:rPr>
                  </w:pPr>
                  <w:r>
                    <w:rPr>
                      <w:rFonts w:hint="eastAsia"/>
                      <w:bCs/>
                      <w:color w:val="auto"/>
                      <w:sz w:val="18"/>
                      <w:szCs w:val="18"/>
                      <w:highlight w:val="none"/>
                      <w:lang w:val="en-US" w:eastAsia="zh-CN"/>
                    </w:rPr>
                    <w:t>本项目出水水质要求</w:t>
                  </w:r>
                </w:p>
              </w:tc>
              <w:tc>
                <w:tcPr>
                  <w:tcW w:w="331" w:type="pct"/>
                  <w:tcBorders>
                    <w:top w:val="single" w:color="000000" w:sz="4" w:space="0"/>
                    <w:right w:val="single" w:color="000000" w:sz="4" w:space="0"/>
                  </w:tcBorders>
                  <w:shd w:val="clear" w:color="auto" w:fill="auto"/>
                  <w:vAlign w:val="center"/>
                </w:tcPr>
                <w:p w14:paraId="0B4DF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lang w:val="en-US" w:eastAsia="zh-CN"/>
                    </w:rPr>
                  </w:pPr>
                  <w:r>
                    <w:rPr>
                      <w:rFonts w:hint="eastAsia"/>
                      <w:bCs/>
                      <w:color w:val="auto"/>
                      <w:sz w:val="18"/>
                      <w:szCs w:val="18"/>
                      <w:highlight w:val="none"/>
                      <w:lang w:val="en-US" w:eastAsia="zh-CN"/>
                    </w:rPr>
                    <w:t>范围</w:t>
                  </w:r>
                </w:p>
              </w:tc>
              <w:tc>
                <w:tcPr>
                  <w:tcW w:w="443" w:type="pct"/>
                  <w:tcBorders>
                    <w:top w:val="single" w:color="000000" w:sz="4" w:space="0"/>
                    <w:left w:val="single" w:color="000000" w:sz="4" w:space="0"/>
                    <w:right w:val="single" w:color="000000" w:sz="4" w:space="0"/>
                  </w:tcBorders>
                  <w:shd w:val="clear" w:color="auto" w:fill="auto"/>
                  <w:vAlign w:val="center"/>
                </w:tcPr>
                <w:p w14:paraId="3032B26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lang w:val="en-US" w:eastAsia="zh-CN"/>
                    </w:rPr>
                  </w:pPr>
                  <w:r>
                    <w:rPr>
                      <w:bCs/>
                      <w:color w:val="auto"/>
                      <w:sz w:val="18"/>
                      <w:szCs w:val="18"/>
                      <w:highlight w:val="none"/>
                      <w:lang w:val="en-US" w:eastAsia="zh-CN"/>
                    </w:rPr>
                    <w:t>≤</w:t>
                  </w:r>
                  <w:r>
                    <w:rPr>
                      <w:rFonts w:hint="eastAsia"/>
                      <w:bCs/>
                      <w:color w:val="auto"/>
                      <w:sz w:val="18"/>
                      <w:szCs w:val="18"/>
                      <w:highlight w:val="none"/>
                      <w:lang w:val="en-US" w:eastAsia="zh-CN"/>
                    </w:rPr>
                    <w:t>500</w:t>
                  </w:r>
                </w:p>
              </w:tc>
              <w:tc>
                <w:tcPr>
                  <w:tcW w:w="389" w:type="pct"/>
                  <w:tcBorders>
                    <w:top w:val="single" w:color="000000" w:sz="4" w:space="0"/>
                    <w:left w:val="single" w:color="000000" w:sz="4" w:space="0"/>
                    <w:right w:val="single" w:color="000000" w:sz="4" w:space="0"/>
                  </w:tcBorders>
                  <w:shd w:val="clear" w:color="auto" w:fill="auto"/>
                  <w:vAlign w:val="center"/>
                </w:tcPr>
                <w:p w14:paraId="7F6DFA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lang w:val="en-US" w:eastAsia="zh-CN"/>
                    </w:rPr>
                  </w:pPr>
                  <w:r>
                    <w:rPr>
                      <w:bCs/>
                      <w:color w:val="auto"/>
                      <w:sz w:val="18"/>
                      <w:szCs w:val="18"/>
                      <w:highlight w:val="none"/>
                      <w:lang w:val="en-US" w:eastAsia="zh-CN"/>
                    </w:rPr>
                    <w:t>≤</w:t>
                  </w:r>
                  <w:r>
                    <w:rPr>
                      <w:rFonts w:hint="eastAsia"/>
                      <w:bCs/>
                      <w:color w:val="auto"/>
                      <w:sz w:val="18"/>
                      <w:szCs w:val="18"/>
                      <w:highlight w:val="none"/>
                      <w:lang w:val="en-US" w:eastAsia="zh-CN"/>
                    </w:rPr>
                    <w:t>300</w:t>
                  </w:r>
                </w:p>
              </w:tc>
              <w:tc>
                <w:tcPr>
                  <w:tcW w:w="350" w:type="pct"/>
                  <w:tcBorders>
                    <w:top w:val="single" w:color="000000" w:sz="4" w:space="0"/>
                    <w:left w:val="single" w:color="000000" w:sz="4" w:space="0"/>
                    <w:right w:val="single" w:color="000000" w:sz="4" w:space="0"/>
                  </w:tcBorders>
                  <w:shd w:val="clear" w:color="auto" w:fill="auto"/>
                  <w:vAlign w:val="center"/>
                </w:tcPr>
                <w:p w14:paraId="6D6198F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lang w:val="en-US" w:eastAsia="zh-CN"/>
                    </w:rPr>
                  </w:pPr>
                  <w:r>
                    <w:rPr>
                      <w:bCs/>
                      <w:color w:val="auto"/>
                      <w:sz w:val="18"/>
                      <w:szCs w:val="18"/>
                      <w:highlight w:val="none"/>
                      <w:lang w:val="en-US" w:eastAsia="zh-CN"/>
                    </w:rPr>
                    <w:t>≤</w:t>
                  </w:r>
                  <w:r>
                    <w:rPr>
                      <w:rFonts w:hint="eastAsia"/>
                      <w:bCs/>
                      <w:color w:val="auto"/>
                      <w:sz w:val="18"/>
                      <w:szCs w:val="18"/>
                      <w:highlight w:val="none"/>
                      <w:lang w:val="en-US" w:eastAsia="zh-CN"/>
                    </w:rPr>
                    <w:t>400</w:t>
                  </w:r>
                </w:p>
              </w:tc>
              <w:tc>
                <w:tcPr>
                  <w:tcW w:w="430" w:type="pct"/>
                  <w:tcBorders>
                    <w:top w:val="single" w:color="000000" w:sz="4" w:space="0"/>
                    <w:left w:val="single" w:color="000000" w:sz="4" w:space="0"/>
                    <w:right w:val="single" w:color="000000" w:sz="4" w:space="0"/>
                  </w:tcBorders>
                  <w:shd w:val="clear" w:color="auto" w:fill="auto"/>
                  <w:vAlign w:val="center"/>
                </w:tcPr>
                <w:p w14:paraId="4FB5E2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lang w:val="en-US" w:eastAsia="zh-CN"/>
                    </w:rPr>
                  </w:pPr>
                  <w:r>
                    <w:rPr>
                      <w:bCs/>
                      <w:color w:val="auto"/>
                      <w:sz w:val="18"/>
                      <w:szCs w:val="18"/>
                      <w:highlight w:val="none"/>
                      <w:lang w:val="en-US" w:eastAsia="zh-CN"/>
                    </w:rPr>
                    <w:t>≤45</w:t>
                  </w:r>
                </w:p>
              </w:tc>
              <w:tc>
                <w:tcPr>
                  <w:tcW w:w="296" w:type="pct"/>
                  <w:tcBorders>
                    <w:top w:val="single" w:color="000000" w:sz="4" w:space="0"/>
                    <w:left w:val="single" w:color="000000" w:sz="4" w:space="0"/>
                    <w:right w:val="single" w:color="000000" w:sz="4" w:space="0"/>
                  </w:tcBorders>
                  <w:shd w:val="clear" w:color="auto" w:fill="auto"/>
                  <w:vAlign w:val="center"/>
                </w:tcPr>
                <w:p w14:paraId="2E9E21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lang w:val="en-US" w:eastAsia="zh-CN"/>
                    </w:rPr>
                  </w:pPr>
                  <w:r>
                    <w:rPr>
                      <w:bCs/>
                      <w:color w:val="auto"/>
                      <w:sz w:val="18"/>
                      <w:szCs w:val="18"/>
                      <w:highlight w:val="none"/>
                      <w:lang w:val="en-US" w:eastAsia="zh-CN"/>
                    </w:rPr>
                    <w:t>≤70</w:t>
                  </w:r>
                </w:p>
              </w:tc>
              <w:tc>
                <w:tcPr>
                  <w:tcW w:w="255" w:type="pct"/>
                  <w:tcBorders>
                    <w:top w:val="single" w:color="000000" w:sz="4" w:space="0"/>
                    <w:left w:val="single" w:color="000000" w:sz="4" w:space="0"/>
                    <w:right w:val="single" w:color="000000" w:sz="4" w:space="0"/>
                  </w:tcBorders>
                  <w:shd w:val="clear" w:color="auto" w:fill="auto"/>
                  <w:vAlign w:val="center"/>
                </w:tcPr>
                <w:p w14:paraId="2FC275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lang w:val="en-US" w:eastAsia="zh-CN"/>
                    </w:rPr>
                  </w:pPr>
                  <w:r>
                    <w:rPr>
                      <w:bCs/>
                      <w:color w:val="auto"/>
                      <w:sz w:val="18"/>
                      <w:szCs w:val="18"/>
                      <w:highlight w:val="none"/>
                      <w:lang w:val="en-US" w:eastAsia="zh-CN"/>
                    </w:rPr>
                    <w:t>≤8</w:t>
                  </w:r>
                </w:p>
              </w:tc>
              <w:tc>
                <w:tcPr>
                  <w:tcW w:w="524" w:type="pct"/>
                  <w:tcBorders>
                    <w:top w:val="single" w:color="000000" w:sz="4" w:space="0"/>
                    <w:left w:val="single" w:color="000000" w:sz="4" w:space="0"/>
                    <w:right w:val="single" w:color="000000" w:sz="4" w:space="0"/>
                  </w:tcBorders>
                  <w:shd w:val="clear" w:color="auto" w:fill="auto"/>
                  <w:vAlign w:val="center"/>
                </w:tcPr>
                <w:p w14:paraId="0DF64B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bCs/>
                      <w:color w:val="auto"/>
                      <w:sz w:val="18"/>
                      <w:szCs w:val="18"/>
                      <w:highlight w:val="none"/>
                      <w:lang w:val="en-US" w:eastAsia="zh-CN"/>
                    </w:rPr>
                    <w:t>≤</w:t>
                  </w:r>
                  <w:r>
                    <w:rPr>
                      <w:rFonts w:hint="eastAsia"/>
                      <w:bCs/>
                      <w:color w:val="auto"/>
                      <w:sz w:val="18"/>
                      <w:szCs w:val="18"/>
                      <w:highlight w:val="none"/>
                      <w:lang w:val="en-US" w:eastAsia="zh-CN"/>
                    </w:rPr>
                    <w:t>100</w:t>
                  </w:r>
                </w:p>
              </w:tc>
              <w:tc>
                <w:tcPr>
                  <w:tcW w:w="435" w:type="pct"/>
                  <w:tcBorders>
                    <w:top w:val="single" w:color="000000" w:sz="4" w:space="0"/>
                    <w:left w:val="single" w:color="000000" w:sz="4" w:space="0"/>
                    <w:right w:val="single" w:color="000000" w:sz="4" w:space="0"/>
                  </w:tcBorders>
                  <w:shd w:val="clear" w:color="auto" w:fill="auto"/>
                  <w:vAlign w:val="center"/>
                </w:tcPr>
                <w:p w14:paraId="6A80B5A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18"/>
                      <w:szCs w:val="18"/>
                      <w:highlight w:val="none"/>
                      <w:lang w:val="en-US" w:eastAsia="zh-CN" w:bidi="ar-SA"/>
                    </w:rPr>
                  </w:pPr>
                  <w:r>
                    <w:rPr>
                      <w:rFonts w:hint="eastAsia"/>
                      <w:bCs/>
                      <w:color w:val="auto"/>
                      <w:sz w:val="18"/>
                      <w:szCs w:val="18"/>
                      <w:highlight w:val="none"/>
                      <w:lang w:val="en-US" w:eastAsia="zh-CN"/>
                    </w:rPr>
                    <w:t>6-9</w:t>
                  </w:r>
                </w:p>
              </w:tc>
              <w:tc>
                <w:tcPr>
                  <w:tcW w:w="579" w:type="pct"/>
                  <w:tcBorders>
                    <w:top w:val="single" w:color="000000" w:sz="4" w:space="0"/>
                    <w:left w:val="single" w:color="000000" w:sz="4" w:space="0"/>
                  </w:tcBorders>
                  <w:shd w:val="clear" w:color="auto" w:fill="auto"/>
                  <w:vAlign w:val="center"/>
                </w:tcPr>
                <w:p w14:paraId="5FDFE3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18"/>
                      <w:szCs w:val="18"/>
                      <w:highlight w:val="none"/>
                      <w:lang w:val="en-US" w:eastAsia="zh-CN"/>
                    </w:rPr>
                  </w:pPr>
                  <w:r>
                    <w:rPr>
                      <w:bCs/>
                      <w:color w:val="auto"/>
                      <w:sz w:val="18"/>
                      <w:szCs w:val="18"/>
                      <w:highlight w:val="none"/>
                      <w:lang w:val="en-US" w:eastAsia="zh-CN"/>
                    </w:rPr>
                    <w:t>≤1500</w:t>
                  </w:r>
                </w:p>
              </w:tc>
            </w:tr>
          </w:tbl>
          <w:p w14:paraId="6BFF7BEA">
            <w:pPr>
              <w:keepNext w:val="0"/>
              <w:keepLines w:val="0"/>
              <w:pageBreakBefore w:val="0"/>
              <w:widowControl w:val="0"/>
              <w:kinsoku/>
              <w:wordWrap/>
              <w:overflowPunct/>
              <w:topLinePunct w:val="0"/>
              <w:autoSpaceDE w:val="0"/>
              <w:autoSpaceDN/>
              <w:bidi w:val="0"/>
              <w:adjustRightInd/>
              <w:snapToGrid/>
              <w:spacing w:line="240" w:lineRule="auto"/>
              <w:jc w:val="center"/>
              <w:textAlignment w:val="baseline"/>
              <w:rPr>
                <w:rFonts w:hint="default" w:ascii="Times New Roman" w:hAnsi="Times New Roman" w:eastAsia="黑体" w:cs="Times New Roman"/>
                <w:color w:val="auto"/>
                <w:highlight w:val="none"/>
                <w:lang w:val="en-US" w:eastAsia="zh-CN"/>
              </w:rPr>
            </w:pPr>
            <w:r>
              <w:rPr>
                <w:rFonts w:hint="eastAsia" w:eastAsia="黑体" w:cs="Times New Roman"/>
                <w:color w:val="auto"/>
                <w:highlight w:val="none"/>
                <w:lang w:val="en-US" w:eastAsia="zh-CN"/>
              </w:rPr>
              <w:t xml:space="preserve">表2-8     </w:t>
            </w:r>
            <w:r>
              <w:rPr>
                <w:rFonts w:hint="default" w:ascii="Times New Roman" w:hAnsi="Times New Roman" w:eastAsia="黑体" w:cs="Times New Roman"/>
                <w:color w:val="auto"/>
                <w:highlight w:val="none"/>
                <w:lang w:val="en-US" w:eastAsia="zh-CN"/>
              </w:rPr>
              <w:t>项目供排水估算汇总表          单位：m³/d</w:t>
            </w:r>
          </w:p>
          <w:tbl>
            <w:tblPr>
              <w:tblStyle w:val="30"/>
              <w:tblW w:w="4936"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310"/>
              <w:gridCol w:w="1310"/>
              <w:gridCol w:w="1310"/>
              <w:gridCol w:w="1310"/>
              <w:gridCol w:w="1313"/>
            </w:tblGrid>
            <w:tr w14:paraId="61B674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30" w:type="pct"/>
                  <w:shd w:val="clear" w:color="auto" w:fill="auto"/>
                  <w:vAlign w:val="center"/>
                </w:tcPr>
                <w:p w14:paraId="6A6F3180">
                  <w:pPr>
                    <w:adjustRightInd w:val="0"/>
                    <w:snapToGrid w:val="0"/>
                    <w:jc w:val="center"/>
                    <w:rPr>
                      <w:bCs/>
                      <w:color w:val="auto"/>
                      <w:sz w:val="18"/>
                      <w:szCs w:val="18"/>
                      <w:highlight w:val="none"/>
                    </w:rPr>
                  </w:pPr>
                  <w:r>
                    <w:rPr>
                      <w:bCs/>
                      <w:color w:val="auto"/>
                      <w:sz w:val="18"/>
                      <w:szCs w:val="18"/>
                      <w:highlight w:val="none"/>
                    </w:rPr>
                    <w:t>工序</w:t>
                  </w:r>
                </w:p>
              </w:tc>
              <w:tc>
                <w:tcPr>
                  <w:tcW w:w="793" w:type="pct"/>
                  <w:shd w:val="clear" w:color="auto" w:fill="auto"/>
                  <w:vAlign w:val="center"/>
                </w:tcPr>
                <w:p w14:paraId="6973D9DF">
                  <w:pPr>
                    <w:adjustRightInd w:val="0"/>
                    <w:snapToGrid w:val="0"/>
                    <w:jc w:val="center"/>
                    <w:rPr>
                      <w:bCs/>
                      <w:color w:val="auto"/>
                      <w:sz w:val="18"/>
                      <w:szCs w:val="18"/>
                      <w:highlight w:val="none"/>
                    </w:rPr>
                  </w:pPr>
                  <w:r>
                    <w:rPr>
                      <w:bCs/>
                      <w:color w:val="auto"/>
                      <w:sz w:val="18"/>
                      <w:szCs w:val="18"/>
                      <w:highlight w:val="none"/>
                    </w:rPr>
                    <w:t>新水消耗量</w:t>
                  </w:r>
                </w:p>
              </w:tc>
              <w:tc>
                <w:tcPr>
                  <w:tcW w:w="793" w:type="pct"/>
                  <w:shd w:val="clear" w:color="auto" w:fill="auto"/>
                  <w:vAlign w:val="center"/>
                </w:tcPr>
                <w:p w14:paraId="14569648">
                  <w:pPr>
                    <w:adjustRightInd w:val="0"/>
                    <w:snapToGrid w:val="0"/>
                    <w:jc w:val="center"/>
                    <w:rPr>
                      <w:bCs/>
                      <w:color w:val="auto"/>
                      <w:sz w:val="18"/>
                      <w:szCs w:val="18"/>
                      <w:highlight w:val="none"/>
                    </w:rPr>
                  </w:pPr>
                  <w:r>
                    <w:rPr>
                      <w:bCs/>
                      <w:color w:val="auto"/>
                      <w:sz w:val="18"/>
                      <w:szCs w:val="18"/>
                      <w:highlight w:val="none"/>
                    </w:rPr>
                    <w:t>产纯水量</w:t>
                  </w:r>
                </w:p>
              </w:tc>
              <w:tc>
                <w:tcPr>
                  <w:tcW w:w="793" w:type="pct"/>
                  <w:shd w:val="clear" w:color="auto" w:fill="auto"/>
                  <w:vAlign w:val="center"/>
                </w:tcPr>
                <w:p w14:paraId="40F676BE">
                  <w:pPr>
                    <w:adjustRightInd w:val="0"/>
                    <w:snapToGrid w:val="0"/>
                    <w:jc w:val="center"/>
                    <w:rPr>
                      <w:bCs/>
                      <w:color w:val="auto"/>
                      <w:sz w:val="18"/>
                      <w:szCs w:val="18"/>
                      <w:highlight w:val="none"/>
                    </w:rPr>
                  </w:pPr>
                  <w:r>
                    <w:rPr>
                      <w:bCs/>
                      <w:color w:val="auto"/>
                      <w:sz w:val="18"/>
                      <w:szCs w:val="18"/>
                      <w:highlight w:val="none"/>
                    </w:rPr>
                    <w:t>用纯水量</w:t>
                  </w:r>
                </w:p>
              </w:tc>
              <w:tc>
                <w:tcPr>
                  <w:tcW w:w="793" w:type="pct"/>
                  <w:shd w:val="clear" w:color="auto" w:fill="auto"/>
                  <w:vAlign w:val="center"/>
                </w:tcPr>
                <w:p w14:paraId="57D07944">
                  <w:pPr>
                    <w:adjustRightInd w:val="0"/>
                    <w:snapToGrid w:val="0"/>
                    <w:jc w:val="center"/>
                    <w:rPr>
                      <w:bCs/>
                      <w:color w:val="auto"/>
                      <w:sz w:val="18"/>
                      <w:szCs w:val="18"/>
                      <w:highlight w:val="none"/>
                    </w:rPr>
                  </w:pPr>
                  <w:r>
                    <w:rPr>
                      <w:bCs/>
                      <w:color w:val="auto"/>
                      <w:sz w:val="18"/>
                      <w:szCs w:val="18"/>
                      <w:highlight w:val="none"/>
                    </w:rPr>
                    <w:t>损耗量</w:t>
                  </w:r>
                </w:p>
              </w:tc>
              <w:tc>
                <w:tcPr>
                  <w:tcW w:w="794" w:type="pct"/>
                  <w:shd w:val="clear" w:color="auto" w:fill="auto"/>
                  <w:vAlign w:val="center"/>
                </w:tcPr>
                <w:p w14:paraId="297D4FE0">
                  <w:pPr>
                    <w:adjustRightInd w:val="0"/>
                    <w:snapToGrid w:val="0"/>
                    <w:jc w:val="center"/>
                    <w:rPr>
                      <w:bCs/>
                      <w:color w:val="auto"/>
                      <w:sz w:val="18"/>
                      <w:szCs w:val="18"/>
                      <w:highlight w:val="none"/>
                    </w:rPr>
                  </w:pPr>
                  <w:r>
                    <w:rPr>
                      <w:bCs/>
                      <w:color w:val="auto"/>
                      <w:sz w:val="18"/>
                      <w:szCs w:val="18"/>
                      <w:highlight w:val="none"/>
                    </w:rPr>
                    <w:t>废水产生量</w:t>
                  </w:r>
                </w:p>
              </w:tc>
            </w:tr>
            <w:tr w14:paraId="7AC461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030" w:type="pct"/>
                  <w:shd w:val="clear" w:color="auto" w:fill="auto"/>
                  <w:vAlign w:val="center"/>
                </w:tcPr>
                <w:p w14:paraId="55A0E46F">
                  <w:pPr>
                    <w:adjustRightInd w:val="0"/>
                    <w:snapToGrid w:val="0"/>
                    <w:jc w:val="center"/>
                    <w:rPr>
                      <w:bCs/>
                      <w:color w:val="auto"/>
                      <w:sz w:val="18"/>
                      <w:szCs w:val="18"/>
                      <w:highlight w:val="none"/>
                    </w:rPr>
                  </w:pPr>
                  <w:r>
                    <w:rPr>
                      <w:bCs/>
                      <w:color w:val="auto"/>
                      <w:sz w:val="18"/>
                      <w:szCs w:val="18"/>
                      <w:highlight w:val="none"/>
                    </w:rPr>
                    <w:t>纯水制备</w:t>
                  </w:r>
                </w:p>
              </w:tc>
              <w:tc>
                <w:tcPr>
                  <w:tcW w:w="793" w:type="pct"/>
                  <w:shd w:val="clear" w:color="auto" w:fill="auto"/>
                  <w:vAlign w:val="center"/>
                </w:tcPr>
                <w:p w14:paraId="438F906B">
                  <w:pPr>
                    <w:adjustRightInd w:val="0"/>
                    <w:snapToGrid w:val="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11.2067</w:t>
                  </w:r>
                </w:p>
              </w:tc>
              <w:tc>
                <w:tcPr>
                  <w:tcW w:w="793" w:type="pct"/>
                  <w:shd w:val="clear" w:color="auto" w:fill="auto"/>
                  <w:vAlign w:val="center"/>
                </w:tcPr>
                <w:p w14:paraId="1DFDDED5">
                  <w:pPr>
                    <w:adjustRightInd w:val="0"/>
                    <w:snapToGrid w:val="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8.405</w:t>
                  </w:r>
                </w:p>
              </w:tc>
              <w:tc>
                <w:tcPr>
                  <w:tcW w:w="793" w:type="pct"/>
                  <w:shd w:val="clear" w:color="auto" w:fill="auto"/>
                  <w:vAlign w:val="center"/>
                </w:tcPr>
                <w:p w14:paraId="427373FF">
                  <w:pPr>
                    <w:adjustRightInd w:val="0"/>
                    <w:snapToGrid w:val="0"/>
                    <w:jc w:val="center"/>
                    <w:rPr>
                      <w:bCs/>
                      <w:color w:val="auto"/>
                      <w:sz w:val="18"/>
                      <w:szCs w:val="18"/>
                      <w:highlight w:val="none"/>
                    </w:rPr>
                  </w:pPr>
                  <w:r>
                    <w:rPr>
                      <w:bCs/>
                      <w:color w:val="auto"/>
                      <w:sz w:val="18"/>
                      <w:szCs w:val="18"/>
                      <w:highlight w:val="none"/>
                    </w:rPr>
                    <w:t>0</w:t>
                  </w:r>
                </w:p>
              </w:tc>
              <w:tc>
                <w:tcPr>
                  <w:tcW w:w="793" w:type="pct"/>
                  <w:shd w:val="clear" w:color="auto" w:fill="auto"/>
                  <w:vAlign w:val="center"/>
                </w:tcPr>
                <w:p w14:paraId="160F6954">
                  <w:pPr>
                    <w:adjustRightInd w:val="0"/>
                    <w:snapToGrid w:val="0"/>
                    <w:jc w:val="center"/>
                    <w:rPr>
                      <w:bCs/>
                      <w:color w:val="auto"/>
                      <w:sz w:val="18"/>
                      <w:szCs w:val="18"/>
                      <w:highlight w:val="none"/>
                    </w:rPr>
                  </w:pPr>
                  <w:r>
                    <w:rPr>
                      <w:bCs/>
                      <w:color w:val="auto"/>
                      <w:sz w:val="18"/>
                      <w:szCs w:val="18"/>
                      <w:highlight w:val="none"/>
                    </w:rPr>
                    <w:t>0</w:t>
                  </w:r>
                </w:p>
              </w:tc>
              <w:tc>
                <w:tcPr>
                  <w:tcW w:w="794" w:type="pct"/>
                  <w:shd w:val="clear" w:color="auto" w:fill="auto"/>
                  <w:vAlign w:val="center"/>
                </w:tcPr>
                <w:p w14:paraId="1F2E480F">
                  <w:pPr>
                    <w:adjustRightInd w:val="0"/>
                    <w:snapToGrid w:val="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2.8017</w:t>
                  </w:r>
                </w:p>
              </w:tc>
            </w:tr>
            <w:tr w14:paraId="4A5432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030" w:type="pct"/>
                  <w:shd w:val="clear" w:color="auto" w:fill="auto"/>
                  <w:vAlign w:val="center"/>
                </w:tcPr>
                <w:p w14:paraId="57F32779">
                  <w:pPr>
                    <w:adjustRightInd w:val="0"/>
                    <w:snapToGrid w:val="0"/>
                    <w:jc w:val="center"/>
                    <w:rPr>
                      <w:bCs/>
                      <w:color w:val="auto"/>
                      <w:sz w:val="18"/>
                      <w:szCs w:val="18"/>
                      <w:highlight w:val="none"/>
                    </w:rPr>
                  </w:pPr>
                  <w:r>
                    <w:rPr>
                      <w:bCs/>
                      <w:color w:val="auto"/>
                      <w:sz w:val="18"/>
                      <w:szCs w:val="18"/>
                      <w:highlight w:val="none"/>
                    </w:rPr>
                    <w:t>生活用水</w:t>
                  </w:r>
                </w:p>
              </w:tc>
              <w:tc>
                <w:tcPr>
                  <w:tcW w:w="793" w:type="pct"/>
                  <w:shd w:val="clear" w:color="auto" w:fill="auto"/>
                  <w:vAlign w:val="center"/>
                </w:tcPr>
                <w:p w14:paraId="1CFB6945">
                  <w:pPr>
                    <w:adjustRightInd w:val="0"/>
                    <w:snapToGrid w:val="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2.55</w:t>
                  </w:r>
                </w:p>
              </w:tc>
              <w:tc>
                <w:tcPr>
                  <w:tcW w:w="793" w:type="pct"/>
                  <w:shd w:val="clear" w:color="auto" w:fill="auto"/>
                  <w:vAlign w:val="center"/>
                </w:tcPr>
                <w:p w14:paraId="23074217">
                  <w:pPr>
                    <w:adjustRightInd w:val="0"/>
                    <w:snapToGrid w:val="0"/>
                    <w:jc w:val="center"/>
                    <w:rPr>
                      <w:bCs/>
                      <w:color w:val="auto"/>
                      <w:sz w:val="18"/>
                      <w:szCs w:val="18"/>
                      <w:highlight w:val="none"/>
                    </w:rPr>
                  </w:pPr>
                  <w:r>
                    <w:rPr>
                      <w:bCs/>
                      <w:color w:val="auto"/>
                      <w:sz w:val="18"/>
                      <w:szCs w:val="18"/>
                      <w:highlight w:val="none"/>
                    </w:rPr>
                    <w:t>0</w:t>
                  </w:r>
                </w:p>
              </w:tc>
              <w:tc>
                <w:tcPr>
                  <w:tcW w:w="793" w:type="pct"/>
                  <w:shd w:val="clear" w:color="auto" w:fill="auto"/>
                  <w:vAlign w:val="center"/>
                </w:tcPr>
                <w:p w14:paraId="0C21A4E8">
                  <w:pPr>
                    <w:adjustRightInd w:val="0"/>
                    <w:snapToGrid w:val="0"/>
                    <w:jc w:val="center"/>
                    <w:rPr>
                      <w:rFonts w:hint="eastAsia" w:eastAsia="宋体"/>
                      <w:bCs/>
                      <w:color w:val="auto"/>
                      <w:sz w:val="18"/>
                      <w:szCs w:val="18"/>
                      <w:highlight w:val="none"/>
                      <w:lang w:eastAsia="zh-CN"/>
                    </w:rPr>
                  </w:pPr>
                  <w:r>
                    <w:rPr>
                      <w:rFonts w:hint="eastAsia"/>
                      <w:bCs/>
                      <w:color w:val="auto"/>
                      <w:sz w:val="18"/>
                      <w:szCs w:val="18"/>
                      <w:highlight w:val="none"/>
                      <w:lang w:val="en-US" w:eastAsia="zh-CN"/>
                    </w:rPr>
                    <w:t>0</w:t>
                  </w:r>
                </w:p>
              </w:tc>
              <w:tc>
                <w:tcPr>
                  <w:tcW w:w="793" w:type="pct"/>
                  <w:shd w:val="clear" w:color="auto" w:fill="auto"/>
                  <w:vAlign w:val="center"/>
                </w:tcPr>
                <w:p w14:paraId="70DA57FE">
                  <w:pPr>
                    <w:adjustRightInd w:val="0"/>
                    <w:snapToGrid w:val="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0.51</w:t>
                  </w:r>
                </w:p>
              </w:tc>
              <w:tc>
                <w:tcPr>
                  <w:tcW w:w="794" w:type="pct"/>
                  <w:shd w:val="clear" w:color="auto" w:fill="auto"/>
                  <w:vAlign w:val="center"/>
                </w:tcPr>
                <w:p w14:paraId="1E58DA52">
                  <w:pPr>
                    <w:adjustRightInd w:val="0"/>
                    <w:snapToGrid w:val="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2.04</w:t>
                  </w:r>
                </w:p>
              </w:tc>
            </w:tr>
            <w:tr w14:paraId="16419F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30" w:type="pct"/>
                  <w:shd w:val="clear" w:color="auto" w:fill="auto"/>
                  <w:vAlign w:val="center"/>
                </w:tcPr>
                <w:p w14:paraId="2F2F2CF7">
                  <w:pPr>
                    <w:adjustRightInd w:val="0"/>
                    <w:snapToGrid w:val="0"/>
                    <w:jc w:val="center"/>
                    <w:rPr>
                      <w:bCs/>
                      <w:color w:val="auto"/>
                      <w:sz w:val="18"/>
                      <w:szCs w:val="18"/>
                      <w:highlight w:val="none"/>
                    </w:rPr>
                  </w:pPr>
                  <w:r>
                    <w:rPr>
                      <w:bCs/>
                      <w:color w:val="auto"/>
                      <w:sz w:val="18"/>
                      <w:szCs w:val="18"/>
                      <w:highlight w:val="none"/>
                    </w:rPr>
                    <w:t>原料第一次清洗（自来水）</w:t>
                  </w:r>
                </w:p>
              </w:tc>
              <w:tc>
                <w:tcPr>
                  <w:tcW w:w="793" w:type="pct"/>
                  <w:shd w:val="clear" w:color="auto" w:fill="auto"/>
                  <w:vAlign w:val="center"/>
                </w:tcPr>
                <w:p w14:paraId="1585E76D">
                  <w:pPr>
                    <w:adjustRightInd w:val="0"/>
                    <w:snapToGrid w:val="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4.8</w:t>
                  </w:r>
                </w:p>
              </w:tc>
              <w:tc>
                <w:tcPr>
                  <w:tcW w:w="793" w:type="pct"/>
                  <w:shd w:val="clear" w:color="auto" w:fill="auto"/>
                  <w:vAlign w:val="center"/>
                </w:tcPr>
                <w:p w14:paraId="01909FBB">
                  <w:pPr>
                    <w:adjustRightInd w:val="0"/>
                    <w:snapToGrid w:val="0"/>
                    <w:jc w:val="center"/>
                    <w:rPr>
                      <w:bCs/>
                      <w:color w:val="auto"/>
                      <w:sz w:val="18"/>
                      <w:szCs w:val="18"/>
                      <w:highlight w:val="none"/>
                    </w:rPr>
                  </w:pPr>
                  <w:r>
                    <w:rPr>
                      <w:bCs/>
                      <w:color w:val="auto"/>
                      <w:sz w:val="18"/>
                      <w:szCs w:val="18"/>
                      <w:highlight w:val="none"/>
                    </w:rPr>
                    <w:t>0</w:t>
                  </w:r>
                </w:p>
              </w:tc>
              <w:tc>
                <w:tcPr>
                  <w:tcW w:w="793" w:type="pct"/>
                  <w:shd w:val="clear" w:color="auto" w:fill="auto"/>
                  <w:vAlign w:val="center"/>
                </w:tcPr>
                <w:p w14:paraId="0A5DE116">
                  <w:pPr>
                    <w:adjustRightInd w:val="0"/>
                    <w:snapToGrid w:val="0"/>
                    <w:jc w:val="center"/>
                    <w:rPr>
                      <w:rFonts w:hint="eastAsia" w:eastAsia="宋体"/>
                      <w:bCs/>
                      <w:color w:val="auto"/>
                      <w:sz w:val="18"/>
                      <w:szCs w:val="18"/>
                      <w:highlight w:val="none"/>
                      <w:lang w:eastAsia="zh-CN"/>
                    </w:rPr>
                  </w:pPr>
                  <w:r>
                    <w:rPr>
                      <w:rFonts w:hint="eastAsia"/>
                      <w:bCs/>
                      <w:color w:val="auto"/>
                      <w:sz w:val="18"/>
                      <w:szCs w:val="18"/>
                      <w:highlight w:val="none"/>
                      <w:lang w:val="en-US" w:eastAsia="zh-CN"/>
                    </w:rPr>
                    <w:t>0</w:t>
                  </w:r>
                </w:p>
              </w:tc>
              <w:tc>
                <w:tcPr>
                  <w:tcW w:w="793" w:type="pct"/>
                  <w:shd w:val="clear" w:color="auto" w:fill="auto"/>
                  <w:vAlign w:val="center"/>
                </w:tcPr>
                <w:p w14:paraId="3C0D1847">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0.96</w:t>
                  </w:r>
                </w:p>
              </w:tc>
              <w:tc>
                <w:tcPr>
                  <w:tcW w:w="794" w:type="pct"/>
                  <w:shd w:val="clear" w:color="auto" w:fill="auto"/>
                  <w:vAlign w:val="center"/>
                </w:tcPr>
                <w:p w14:paraId="50CD8486">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3.84</w:t>
                  </w:r>
                </w:p>
              </w:tc>
            </w:tr>
            <w:tr w14:paraId="1FC2BE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30" w:type="pct"/>
                  <w:shd w:val="clear" w:color="auto" w:fill="auto"/>
                  <w:vAlign w:val="center"/>
                </w:tcPr>
                <w:p w14:paraId="0D44D5DC">
                  <w:pPr>
                    <w:adjustRightInd w:val="0"/>
                    <w:snapToGrid w:val="0"/>
                    <w:jc w:val="center"/>
                    <w:rPr>
                      <w:bCs/>
                      <w:color w:val="auto"/>
                      <w:sz w:val="18"/>
                      <w:szCs w:val="18"/>
                      <w:highlight w:val="none"/>
                    </w:rPr>
                  </w:pPr>
                  <w:r>
                    <w:rPr>
                      <w:bCs/>
                      <w:color w:val="auto"/>
                      <w:sz w:val="18"/>
                      <w:szCs w:val="18"/>
                      <w:highlight w:val="none"/>
                    </w:rPr>
                    <w:t>原料第二次清洗（软水）</w:t>
                  </w:r>
                </w:p>
              </w:tc>
              <w:tc>
                <w:tcPr>
                  <w:tcW w:w="793" w:type="pct"/>
                  <w:shd w:val="clear" w:color="auto" w:fill="auto"/>
                  <w:vAlign w:val="center"/>
                </w:tcPr>
                <w:p w14:paraId="4FE4B03F">
                  <w:pPr>
                    <w:adjustRightInd w:val="0"/>
                    <w:snapToGrid w:val="0"/>
                    <w:ind w:left="-120" w:leftChars="-50" w:right="-120" w:rightChars="-50"/>
                    <w:jc w:val="center"/>
                    <w:rPr>
                      <w:rFonts w:hint="eastAsia" w:eastAsia="宋体"/>
                      <w:color w:val="auto"/>
                      <w:sz w:val="18"/>
                      <w:szCs w:val="18"/>
                      <w:highlight w:val="none"/>
                      <w:lang w:eastAsia="zh-CN"/>
                    </w:rPr>
                  </w:pPr>
                  <w:r>
                    <w:rPr>
                      <w:rFonts w:hint="eastAsia"/>
                      <w:color w:val="auto"/>
                      <w:sz w:val="18"/>
                      <w:szCs w:val="18"/>
                      <w:highlight w:val="none"/>
                      <w:lang w:val="en-US" w:eastAsia="zh-CN"/>
                    </w:rPr>
                    <w:t>0</w:t>
                  </w:r>
                </w:p>
              </w:tc>
              <w:tc>
                <w:tcPr>
                  <w:tcW w:w="793" w:type="pct"/>
                  <w:shd w:val="clear" w:color="auto" w:fill="auto"/>
                  <w:vAlign w:val="center"/>
                </w:tcPr>
                <w:p w14:paraId="3BA8399C">
                  <w:pPr>
                    <w:adjustRightInd w:val="0"/>
                    <w:snapToGrid w:val="0"/>
                    <w:jc w:val="center"/>
                    <w:rPr>
                      <w:bCs/>
                      <w:color w:val="auto"/>
                      <w:sz w:val="18"/>
                      <w:szCs w:val="18"/>
                      <w:highlight w:val="none"/>
                    </w:rPr>
                  </w:pPr>
                  <w:r>
                    <w:rPr>
                      <w:bCs/>
                      <w:color w:val="auto"/>
                      <w:sz w:val="18"/>
                      <w:szCs w:val="18"/>
                      <w:highlight w:val="none"/>
                    </w:rPr>
                    <w:t>0</w:t>
                  </w:r>
                </w:p>
              </w:tc>
              <w:tc>
                <w:tcPr>
                  <w:tcW w:w="793" w:type="pct"/>
                  <w:shd w:val="clear" w:color="auto" w:fill="auto"/>
                  <w:vAlign w:val="center"/>
                </w:tcPr>
                <w:p w14:paraId="3F18C07E">
                  <w:pPr>
                    <w:adjustRightInd w:val="0"/>
                    <w:snapToGrid w:val="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3.6</w:t>
                  </w:r>
                </w:p>
              </w:tc>
              <w:tc>
                <w:tcPr>
                  <w:tcW w:w="793" w:type="pct"/>
                  <w:shd w:val="clear" w:color="auto" w:fill="auto"/>
                  <w:vAlign w:val="center"/>
                </w:tcPr>
                <w:p w14:paraId="045ABAB6">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0.72</w:t>
                  </w:r>
                </w:p>
              </w:tc>
              <w:tc>
                <w:tcPr>
                  <w:tcW w:w="794" w:type="pct"/>
                  <w:shd w:val="clear" w:color="auto" w:fill="auto"/>
                  <w:vAlign w:val="center"/>
                </w:tcPr>
                <w:p w14:paraId="6EF75E9B">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2.88</w:t>
                  </w:r>
                </w:p>
              </w:tc>
            </w:tr>
            <w:tr w14:paraId="7424D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30" w:type="pct"/>
                  <w:shd w:val="clear" w:color="auto" w:fill="auto"/>
                  <w:vAlign w:val="center"/>
                </w:tcPr>
                <w:p w14:paraId="327D8DBC">
                  <w:pPr>
                    <w:adjustRightInd w:val="0"/>
                    <w:snapToGrid w:val="0"/>
                    <w:jc w:val="center"/>
                    <w:rPr>
                      <w:bCs/>
                      <w:color w:val="auto"/>
                      <w:sz w:val="18"/>
                      <w:szCs w:val="18"/>
                      <w:highlight w:val="none"/>
                    </w:rPr>
                  </w:pPr>
                  <w:r>
                    <w:rPr>
                      <w:bCs/>
                      <w:color w:val="auto"/>
                      <w:sz w:val="18"/>
                      <w:szCs w:val="18"/>
                      <w:highlight w:val="none"/>
                    </w:rPr>
                    <w:t>设备CIP清洗（酸/碱）</w:t>
                  </w:r>
                </w:p>
              </w:tc>
              <w:tc>
                <w:tcPr>
                  <w:tcW w:w="793" w:type="pct"/>
                  <w:shd w:val="clear" w:color="auto" w:fill="auto"/>
                  <w:vAlign w:val="center"/>
                </w:tcPr>
                <w:p w14:paraId="17F9610F">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0.7114</w:t>
                  </w:r>
                </w:p>
              </w:tc>
              <w:tc>
                <w:tcPr>
                  <w:tcW w:w="793" w:type="pct"/>
                  <w:shd w:val="clear" w:color="auto" w:fill="auto"/>
                  <w:vAlign w:val="center"/>
                </w:tcPr>
                <w:p w14:paraId="48B2059D">
                  <w:pPr>
                    <w:adjustRightInd w:val="0"/>
                    <w:snapToGrid w:val="0"/>
                    <w:jc w:val="center"/>
                    <w:rPr>
                      <w:bCs/>
                      <w:color w:val="auto"/>
                      <w:sz w:val="18"/>
                      <w:szCs w:val="18"/>
                      <w:highlight w:val="none"/>
                    </w:rPr>
                  </w:pPr>
                  <w:r>
                    <w:rPr>
                      <w:bCs/>
                      <w:color w:val="auto"/>
                      <w:sz w:val="18"/>
                      <w:szCs w:val="18"/>
                      <w:highlight w:val="none"/>
                    </w:rPr>
                    <w:t>0</w:t>
                  </w:r>
                </w:p>
              </w:tc>
              <w:tc>
                <w:tcPr>
                  <w:tcW w:w="793" w:type="pct"/>
                  <w:shd w:val="clear" w:color="auto" w:fill="auto"/>
                  <w:vAlign w:val="center"/>
                </w:tcPr>
                <w:p w14:paraId="21E3119A">
                  <w:pPr>
                    <w:adjustRightInd w:val="0"/>
                    <w:snapToGrid w:val="0"/>
                    <w:jc w:val="center"/>
                    <w:rPr>
                      <w:bCs/>
                      <w:color w:val="auto"/>
                      <w:sz w:val="18"/>
                      <w:szCs w:val="18"/>
                      <w:highlight w:val="none"/>
                    </w:rPr>
                  </w:pPr>
                  <w:r>
                    <w:rPr>
                      <w:bCs/>
                      <w:color w:val="auto"/>
                      <w:sz w:val="18"/>
                      <w:szCs w:val="18"/>
                      <w:highlight w:val="none"/>
                    </w:rPr>
                    <w:t>0</w:t>
                  </w:r>
                </w:p>
              </w:tc>
              <w:tc>
                <w:tcPr>
                  <w:tcW w:w="793" w:type="pct"/>
                  <w:shd w:val="clear" w:color="auto" w:fill="auto"/>
                  <w:vAlign w:val="center"/>
                </w:tcPr>
                <w:p w14:paraId="33EF2EC8">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0.1423</w:t>
                  </w:r>
                </w:p>
              </w:tc>
              <w:tc>
                <w:tcPr>
                  <w:tcW w:w="794" w:type="pct"/>
                  <w:shd w:val="clear" w:color="auto" w:fill="auto"/>
                  <w:vAlign w:val="center"/>
                </w:tcPr>
                <w:p w14:paraId="7CA9F027">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0.5691</w:t>
                  </w:r>
                </w:p>
              </w:tc>
            </w:tr>
            <w:tr w14:paraId="4E004E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30" w:type="pct"/>
                  <w:shd w:val="clear" w:color="auto" w:fill="auto"/>
                  <w:vAlign w:val="center"/>
                </w:tcPr>
                <w:p w14:paraId="1B52E7C7">
                  <w:pPr>
                    <w:adjustRightInd w:val="0"/>
                    <w:snapToGrid w:val="0"/>
                    <w:jc w:val="center"/>
                    <w:rPr>
                      <w:bCs/>
                      <w:color w:val="auto"/>
                      <w:sz w:val="18"/>
                      <w:szCs w:val="18"/>
                      <w:highlight w:val="none"/>
                    </w:rPr>
                  </w:pPr>
                  <w:r>
                    <w:rPr>
                      <w:bCs/>
                      <w:color w:val="auto"/>
                      <w:sz w:val="18"/>
                      <w:szCs w:val="18"/>
                      <w:highlight w:val="none"/>
                    </w:rPr>
                    <w:t>设备CIP清洗（热水）</w:t>
                  </w:r>
                </w:p>
              </w:tc>
              <w:tc>
                <w:tcPr>
                  <w:tcW w:w="793" w:type="pct"/>
                  <w:shd w:val="clear" w:color="auto" w:fill="auto"/>
                  <w:vAlign w:val="center"/>
                </w:tcPr>
                <w:p w14:paraId="1A2AD2BE">
                  <w:pPr>
                    <w:adjustRightInd w:val="0"/>
                    <w:snapToGrid w:val="0"/>
                    <w:ind w:left="-120" w:leftChars="-50" w:right="-120" w:rightChars="-5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0</w:t>
                  </w:r>
                </w:p>
              </w:tc>
              <w:tc>
                <w:tcPr>
                  <w:tcW w:w="793" w:type="pct"/>
                  <w:shd w:val="clear" w:color="auto" w:fill="auto"/>
                  <w:vAlign w:val="center"/>
                </w:tcPr>
                <w:p w14:paraId="6464C0BA">
                  <w:pPr>
                    <w:adjustRightInd w:val="0"/>
                    <w:snapToGrid w:val="0"/>
                    <w:jc w:val="center"/>
                    <w:rPr>
                      <w:rFonts w:hint="eastAsia" w:eastAsia="宋体"/>
                      <w:bCs/>
                      <w:color w:val="auto"/>
                      <w:sz w:val="18"/>
                      <w:szCs w:val="18"/>
                      <w:highlight w:val="none"/>
                      <w:lang w:val="en-US" w:eastAsia="zh-CN"/>
                    </w:rPr>
                  </w:pPr>
                  <w:r>
                    <w:rPr>
                      <w:rFonts w:hint="eastAsia"/>
                      <w:bCs/>
                      <w:color w:val="auto"/>
                      <w:sz w:val="18"/>
                      <w:szCs w:val="18"/>
                      <w:highlight w:val="none"/>
                      <w:lang w:val="en-US" w:eastAsia="zh-CN"/>
                    </w:rPr>
                    <w:t>0</w:t>
                  </w:r>
                </w:p>
              </w:tc>
              <w:tc>
                <w:tcPr>
                  <w:tcW w:w="793" w:type="pct"/>
                  <w:shd w:val="clear" w:color="auto" w:fill="auto"/>
                  <w:vAlign w:val="center"/>
                </w:tcPr>
                <w:p w14:paraId="5EBC96CE">
                  <w:pPr>
                    <w:adjustRightInd w:val="0"/>
                    <w:snapToGrid w:val="0"/>
                    <w:jc w:val="center"/>
                    <w:rPr>
                      <w:rFonts w:hint="eastAsia" w:eastAsia="宋体"/>
                      <w:bCs/>
                      <w:color w:val="auto"/>
                      <w:sz w:val="18"/>
                      <w:szCs w:val="18"/>
                      <w:highlight w:val="none"/>
                      <w:lang w:val="en-US" w:eastAsia="zh-CN"/>
                    </w:rPr>
                  </w:pPr>
                  <w:r>
                    <w:rPr>
                      <w:rFonts w:hint="eastAsia"/>
                      <w:bCs/>
                      <w:color w:val="auto"/>
                      <w:sz w:val="18"/>
                      <w:szCs w:val="18"/>
                      <w:highlight w:val="none"/>
                      <w:lang w:val="en-US" w:eastAsia="zh-CN"/>
                    </w:rPr>
                    <w:t>3</w:t>
                  </w:r>
                </w:p>
              </w:tc>
              <w:tc>
                <w:tcPr>
                  <w:tcW w:w="793" w:type="pct"/>
                  <w:shd w:val="clear" w:color="auto" w:fill="auto"/>
                  <w:vAlign w:val="center"/>
                </w:tcPr>
                <w:p w14:paraId="0A70836D">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0.6</w:t>
                  </w:r>
                </w:p>
              </w:tc>
              <w:tc>
                <w:tcPr>
                  <w:tcW w:w="794" w:type="pct"/>
                  <w:shd w:val="clear" w:color="auto" w:fill="auto"/>
                  <w:vAlign w:val="center"/>
                </w:tcPr>
                <w:p w14:paraId="64188FAE">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2.4</w:t>
                  </w:r>
                </w:p>
              </w:tc>
            </w:tr>
            <w:tr w14:paraId="5CD4A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030" w:type="pct"/>
                  <w:shd w:val="clear" w:color="auto" w:fill="auto"/>
                  <w:vAlign w:val="center"/>
                </w:tcPr>
                <w:p w14:paraId="439261BE">
                  <w:pPr>
                    <w:adjustRightInd w:val="0"/>
                    <w:snapToGrid w:val="0"/>
                    <w:jc w:val="center"/>
                    <w:rPr>
                      <w:bCs/>
                      <w:color w:val="auto"/>
                      <w:sz w:val="18"/>
                      <w:szCs w:val="18"/>
                      <w:highlight w:val="none"/>
                    </w:rPr>
                  </w:pPr>
                  <w:r>
                    <w:rPr>
                      <w:bCs/>
                      <w:color w:val="auto"/>
                      <w:sz w:val="18"/>
                      <w:szCs w:val="18"/>
                      <w:highlight w:val="none"/>
                    </w:rPr>
                    <w:t>实验室用水</w:t>
                  </w:r>
                </w:p>
              </w:tc>
              <w:tc>
                <w:tcPr>
                  <w:tcW w:w="793" w:type="pct"/>
                  <w:shd w:val="clear" w:color="auto" w:fill="auto"/>
                  <w:vAlign w:val="center"/>
                </w:tcPr>
                <w:p w14:paraId="5AD0098D">
                  <w:pPr>
                    <w:adjustRightInd w:val="0"/>
                    <w:snapToGrid w:val="0"/>
                    <w:ind w:left="-120" w:leftChars="-50" w:right="-120" w:rightChars="-50"/>
                    <w:jc w:val="center"/>
                    <w:rPr>
                      <w:rFonts w:hint="eastAsia" w:eastAsia="宋体"/>
                      <w:color w:val="auto"/>
                      <w:sz w:val="18"/>
                      <w:szCs w:val="18"/>
                      <w:highlight w:val="none"/>
                      <w:lang w:eastAsia="zh-CN"/>
                    </w:rPr>
                  </w:pPr>
                  <w:r>
                    <w:rPr>
                      <w:rFonts w:hint="eastAsia"/>
                      <w:color w:val="auto"/>
                      <w:sz w:val="18"/>
                      <w:szCs w:val="18"/>
                      <w:highlight w:val="none"/>
                      <w:lang w:val="en-US" w:eastAsia="zh-CN"/>
                    </w:rPr>
                    <w:t>0</w:t>
                  </w:r>
                </w:p>
              </w:tc>
              <w:tc>
                <w:tcPr>
                  <w:tcW w:w="793" w:type="pct"/>
                  <w:shd w:val="clear" w:color="auto" w:fill="auto"/>
                  <w:vAlign w:val="center"/>
                </w:tcPr>
                <w:p w14:paraId="35B5600B">
                  <w:pPr>
                    <w:adjustRightInd w:val="0"/>
                    <w:snapToGrid w:val="0"/>
                    <w:jc w:val="center"/>
                    <w:rPr>
                      <w:bCs/>
                      <w:color w:val="auto"/>
                      <w:sz w:val="18"/>
                      <w:szCs w:val="18"/>
                      <w:highlight w:val="none"/>
                    </w:rPr>
                  </w:pPr>
                  <w:r>
                    <w:rPr>
                      <w:bCs/>
                      <w:color w:val="auto"/>
                      <w:sz w:val="18"/>
                      <w:szCs w:val="18"/>
                      <w:highlight w:val="none"/>
                    </w:rPr>
                    <w:t>0</w:t>
                  </w:r>
                </w:p>
              </w:tc>
              <w:tc>
                <w:tcPr>
                  <w:tcW w:w="793" w:type="pct"/>
                  <w:shd w:val="clear" w:color="auto" w:fill="auto"/>
                  <w:vAlign w:val="center"/>
                </w:tcPr>
                <w:p w14:paraId="6FB7E2A6">
                  <w:pPr>
                    <w:adjustRightInd w:val="0"/>
                    <w:snapToGrid w:val="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0.005</w:t>
                  </w:r>
                </w:p>
              </w:tc>
              <w:tc>
                <w:tcPr>
                  <w:tcW w:w="793" w:type="pct"/>
                  <w:shd w:val="clear" w:color="auto" w:fill="auto"/>
                  <w:vAlign w:val="center"/>
                </w:tcPr>
                <w:p w14:paraId="7E5B9DDB">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0.005</w:t>
                  </w:r>
                </w:p>
              </w:tc>
              <w:tc>
                <w:tcPr>
                  <w:tcW w:w="794" w:type="pct"/>
                  <w:shd w:val="clear" w:color="auto" w:fill="auto"/>
                  <w:vAlign w:val="center"/>
                </w:tcPr>
                <w:p w14:paraId="0BD3D864">
                  <w:pPr>
                    <w:adjustRightInd w:val="0"/>
                    <w:snapToGrid w:val="0"/>
                    <w:ind w:left="-120" w:leftChars="-50" w:right="-120" w:rightChars="-50"/>
                    <w:jc w:val="center"/>
                    <w:rPr>
                      <w:color w:val="auto"/>
                      <w:sz w:val="18"/>
                      <w:szCs w:val="18"/>
                      <w:highlight w:val="none"/>
                    </w:rPr>
                  </w:pPr>
                  <w:r>
                    <w:rPr>
                      <w:color w:val="auto"/>
                      <w:sz w:val="18"/>
                      <w:szCs w:val="18"/>
                      <w:highlight w:val="none"/>
                    </w:rPr>
                    <w:t>0</w:t>
                  </w:r>
                </w:p>
              </w:tc>
            </w:tr>
            <w:tr w14:paraId="357073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030" w:type="pct"/>
                  <w:shd w:val="clear" w:color="auto" w:fill="auto"/>
                  <w:vAlign w:val="center"/>
                </w:tcPr>
                <w:p w14:paraId="3B67F0E4">
                  <w:pPr>
                    <w:adjustRightInd w:val="0"/>
                    <w:snapToGrid w:val="0"/>
                    <w:jc w:val="center"/>
                    <w:rPr>
                      <w:bCs/>
                      <w:color w:val="auto"/>
                      <w:sz w:val="18"/>
                      <w:szCs w:val="18"/>
                      <w:highlight w:val="none"/>
                    </w:rPr>
                  </w:pPr>
                  <w:r>
                    <w:rPr>
                      <w:bCs/>
                      <w:color w:val="auto"/>
                      <w:sz w:val="18"/>
                      <w:szCs w:val="18"/>
                      <w:highlight w:val="none"/>
                    </w:rPr>
                    <w:t>锅炉用水</w:t>
                  </w:r>
                </w:p>
              </w:tc>
              <w:tc>
                <w:tcPr>
                  <w:tcW w:w="793" w:type="pct"/>
                  <w:shd w:val="clear" w:color="auto" w:fill="auto"/>
                  <w:vAlign w:val="center"/>
                </w:tcPr>
                <w:p w14:paraId="03E898F5">
                  <w:pPr>
                    <w:adjustRightInd w:val="0"/>
                    <w:snapToGrid w:val="0"/>
                    <w:ind w:left="-120" w:leftChars="-50" w:right="-120" w:rightChars="-50"/>
                    <w:jc w:val="center"/>
                    <w:rPr>
                      <w:rFonts w:hint="eastAsia" w:eastAsia="宋体"/>
                      <w:color w:val="auto"/>
                      <w:sz w:val="18"/>
                      <w:szCs w:val="18"/>
                      <w:highlight w:val="none"/>
                      <w:lang w:eastAsia="zh-CN"/>
                    </w:rPr>
                  </w:pPr>
                  <w:r>
                    <w:rPr>
                      <w:rFonts w:hint="eastAsia"/>
                      <w:color w:val="auto"/>
                      <w:sz w:val="18"/>
                      <w:szCs w:val="18"/>
                      <w:highlight w:val="none"/>
                      <w:lang w:val="en-US" w:eastAsia="zh-CN"/>
                    </w:rPr>
                    <w:t>0</w:t>
                  </w:r>
                </w:p>
              </w:tc>
              <w:tc>
                <w:tcPr>
                  <w:tcW w:w="793" w:type="pct"/>
                  <w:shd w:val="clear" w:color="auto" w:fill="auto"/>
                  <w:vAlign w:val="center"/>
                </w:tcPr>
                <w:p w14:paraId="49AF9AD1">
                  <w:pPr>
                    <w:adjustRightInd w:val="0"/>
                    <w:snapToGrid w:val="0"/>
                    <w:jc w:val="center"/>
                    <w:rPr>
                      <w:bCs/>
                      <w:color w:val="auto"/>
                      <w:sz w:val="18"/>
                      <w:szCs w:val="18"/>
                      <w:highlight w:val="none"/>
                    </w:rPr>
                  </w:pPr>
                  <w:r>
                    <w:rPr>
                      <w:bCs/>
                      <w:color w:val="auto"/>
                      <w:sz w:val="18"/>
                      <w:szCs w:val="18"/>
                      <w:highlight w:val="none"/>
                    </w:rPr>
                    <w:t>0</w:t>
                  </w:r>
                </w:p>
              </w:tc>
              <w:tc>
                <w:tcPr>
                  <w:tcW w:w="793" w:type="pct"/>
                  <w:shd w:val="clear" w:color="auto" w:fill="auto"/>
                  <w:vAlign w:val="center"/>
                </w:tcPr>
                <w:p w14:paraId="7A7B53B4">
                  <w:pPr>
                    <w:adjustRightInd w:val="0"/>
                    <w:snapToGrid w:val="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1.8</w:t>
                  </w:r>
                </w:p>
              </w:tc>
              <w:tc>
                <w:tcPr>
                  <w:tcW w:w="793" w:type="pct"/>
                  <w:shd w:val="clear" w:color="auto" w:fill="auto"/>
                  <w:vAlign w:val="center"/>
                </w:tcPr>
                <w:p w14:paraId="42B34CD1">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1.2</w:t>
                  </w:r>
                </w:p>
              </w:tc>
              <w:tc>
                <w:tcPr>
                  <w:tcW w:w="794" w:type="pct"/>
                  <w:shd w:val="clear" w:color="auto" w:fill="auto"/>
                  <w:vAlign w:val="center"/>
                </w:tcPr>
                <w:p w14:paraId="6C2DC953">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0.6</w:t>
                  </w:r>
                </w:p>
              </w:tc>
            </w:tr>
            <w:tr w14:paraId="52CA0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030" w:type="pct"/>
                  <w:shd w:val="clear" w:color="auto" w:fill="auto"/>
                  <w:vAlign w:val="center"/>
                </w:tcPr>
                <w:p w14:paraId="37242FEF">
                  <w:pPr>
                    <w:adjustRightInd w:val="0"/>
                    <w:snapToGrid w:val="0"/>
                    <w:jc w:val="center"/>
                    <w:rPr>
                      <w:bCs/>
                      <w:color w:val="auto"/>
                      <w:sz w:val="18"/>
                      <w:szCs w:val="18"/>
                      <w:highlight w:val="none"/>
                    </w:rPr>
                  </w:pPr>
                  <w:r>
                    <w:rPr>
                      <w:bCs/>
                      <w:color w:val="auto"/>
                      <w:sz w:val="18"/>
                      <w:szCs w:val="18"/>
                      <w:highlight w:val="none"/>
                    </w:rPr>
                    <w:t>循环冷却用水</w:t>
                  </w:r>
                </w:p>
              </w:tc>
              <w:tc>
                <w:tcPr>
                  <w:tcW w:w="793" w:type="pct"/>
                  <w:shd w:val="clear" w:color="auto" w:fill="auto"/>
                  <w:vAlign w:val="center"/>
                </w:tcPr>
                <w:p w14:paraId="5CD36DDA">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0.167</w:t>
                  </w:r>
                </w:p>
              </w:tc>
              <w:tc>
                <w:tcPr>
                  <w:tcW w:w="793" w:type="pct"/>
                  <w:shd w:val="clear" w:color="auto" w:fill="auto"/>
                  <w:vAlign w:val="center"/>
                </w:tcPr>
                <w:p w14:paraId="008D1965">
                  <w:pPr>
                    <w:adjustRightInd w:val="0"/>
                    <w:snapToGrid w:val="0"/>
                    <w:jc w:val="center"/>
                    <w:rPr>
                      <w:bCs/>
                      <w:color w:val="auto"/>
                      <w:sz w:val="18"/>
                      <w:szCs w:val="18"/>
                      <w:highlight w:val="none"/>
                    </w:rPr>
                  </w:pPr>
                  <w:r>
                    <w:rPr>
                      <w:bCs/>
                      <w:color w:val="auto"/>
                      <w:sz w:val="18"/>
                      <w:szCs w:val="18"/>
                      <w:highlight w:val="none"/>
                    </w:rPr>
                    <w:t>0</w:t>
                  </w:r>
                </w:p>
              </w:tc>
              <w:tc>
                <w:tcPr>
                  <w:tcW w:w="793" w:type="pct"/>
                  <w:shd w:val="clear" w:color="auto" w:fill="auto"/>
                  <w:vAlign w:val="center"/>
                </w:tcPr>
                <w:p w14:paraId="12B7E950">
                  <w:pPr>
                    <w:adjustRightInd w:val="0"/>
                    <w:snapToGrid w:val="0"/>
                    <w:jc w:val="center"/>
                    <w:rPr>
                      <w:bCs/>
                      <w:color w:val="auto"/>
                      <w:sz w:val="18"/>
                      <w:szCs w:val="18"/>
                      <w:highlight w:val="none"/>
                    </w:rPr>
                  </w:pPr>
                  <w:r>
                    <w:rPr>
                      <w:bCs/>
                      <w:color w:val="auto"/>
                      <w:sz w:val="18"/>
                      <w:szCs w:val="18"/>
                      <w:highlight w:val="none"/>
                    </w:rPr>
                    <w:t>0</w:t>
                  </w:r>
                </w:p>
              </w:tc>
              <w:tc>
                <w:tcPr>
                  <w:tcW w:w="793" w:type="pct"/>
                  <w:shd w:val="clear" w:color="auto" w:fill="auto"/>
                  <w:vAlign w:val="center"/>
                </w:tcPr>
                <w:p w14:paraId="6F4FC1C0">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w:t>
                  </w:r>
                </w:p>
              </w:tc>
              <w:tc>
                <w:tcPr>
                  <w:tcW w:w="794" w:type="pct"/>
                  <w:shd w:val="clear" w:color="auto" w:fill="auto"/>
                  <w:vAlign w:val="center"/>
                </w:tcPr>
                <w:p w14:paraId="30F2F071">
                  <w:pPr>
                    <w:adjustRightInd w:val="0"/>
                    <w:snapToGrid w:val="0"/>
                    <w:ind w:left="-120" w:leftChars="-50" w:right="-120"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0.167</w:t>
                  </w:r>
                </w:p>
              </w:tc>
            </w:tr>
            <w:tr w14:paraId="671F1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030" w:type="pct"/>
                  <w:shd w:val="clear" w:color="auto" w:fill="auto"/>
                  <w:vAlign w:val="center"/>
                </w:tcPr>
                <w:p w14:paraId="5E751B98">
                  <w:pPr>
                    <w:adjustRightInd w:val="0"/>
                    <w:snapToGrid w:val="0"/>
                    <w:jc w:val="center"/>
                    <w:rPr>
                      <w:bCs/>
                      <w:color w:val="auto"/>
                      <w:sz w:val="18"/>
                      <w:szCs w:val="18"/>
                      <w:highlight w:val="none"/>
                    </w:rPr>
                  </w:pPr>
                  <w:r>
                    <w:rPr>
                      <w:rFonts w:hint="eastAsia"/>
                      <w:bCs/>
                      <w:color w:val="auto"/>
                      <w:sz w:val="18"/>
                      <w:szCs w:val="18"/>
                      <w:highlight w:val="none"/>
                    </w:rPr>
                    <w:t>立式高压蒸汽灭菌锅用水</w:t>
                  </w:r>
                </w:p>
              </w:tc>
              <w:tc>
                <w:tcPr>
                  <w:tcW w:w="793" w:type="pct"/>
                  <w:shd w:val="clear" w:color="auto" w:fill="auto"/>
                  <w:vAlign w:val="center"/>
                </w:tcPr>
                <w:p w14:paraId="59B97D87">
                  <w:pPr>
                    <w:adjustRightInd w:val="0"/>
                    <w:snapToGrid w:val="0"/>
                    <w:ind w:left="-120" w:leftChars="-50" w:right="-120"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0.001</w:t>
                  </w:r>
                </w:p>
              </w:tc>
              <w:tc>
                <w:tcPr>
                  <w:tcW w:w="793" w:type="pct"/>
                  <w:shd w:val="clear" w:color="auto" w:fill="auto"/>
                  <w:vAlign w:val="center"/>
                </w:tcPr>
                <w:p w14:paraId="28E36A9A">
                  <w:pPr>
                    <w:adjustRightInd w:val="0"/>
                    <w:snapToGrid w:val="0"/>
                    <w:jc w:val="center"/>
                    <w:rPr>
                      <w:rFonts w:hint="eastAsia" w:eastAsia="宋体"/>
                      <w:bCs/>
                      <w:color w:val="auto"/>
                      <w:sz w:val="18"/>
                      <w:szCs w:val="18"/>
                      <w:highlight w:val="none"/>
                      <w:lang w:val="en-US" w:eastAsia="zh-CN"/>
                    </w:rPr>
                  </w:pPr>
                  <w:r>
                    <w:rPr>
                      <w:rFonts w:hint="eastAsia"/>
                      <w:bCs/>
                      <w:color w:val="auto"/>
                      <w:sz w:val="18"/>
                      <w:szCs w:val="18"/>
                      <w:highlight w:val="none"/>
                      <w:lang w:val="en-US" w:eastAsia="zh-CN"/>
                    </w:rPr>
                    <w:t>0</w:t>
                  </w:r>
                </w:p>
              </w:tc>
              <w:tc>
                <w:tcPr>
                  <w:tcW w:w="793" w:type="pct"/>
                  <w:shd w:val="clear" w:color="auto" w:fill="auto"/>
                  <w:vAlign w:val="center"/>
                </w:tcPr>
                <w:p w14:paraId="60CACD4F">
                  <w:pPr>
                    <w:adjustRightInd w:val="0"/>
                    <w:snapToGrid w:val="0"/>
                    <w:jc w:val="center"/>
                    <w:rPr>
                      <w:rFonts w:hint="eastAsia" w:eastAsia="宋体"/>
                      <w:bCs/>
                      <w:color w:val="auto"/>
                      <w:sz w:val="18"/>
                      <w:szCs w:val="18"/>
                      <w:highlight w:val="none"/>
                      <w:lang w:val="en-US" w:eastAsia="zh-CN"/>
                    </w:rPr>
                  </w:pPr>
                  <w:r>
                    <w:rPr>
                      <w:rFonts w:hint="eastAsia"/>
                      <w:bCs/>
                      <w:color w:val="auto"/>
                      <w:sz w:val="18"/>
                      <w:szCs w:val="18"/>
                      <w:highlight w:val="none"/>
                      <w:lang w:val="en-US" w:eastAsia="zh-CN"/>
                    </w:rPr>
                    <w:t>0</w:t>
                  </w:r>
                </w:p>
              </w:tc>
              <w:tc>
                <w:tcPr>
                  <w:tcW w:w="793" w:type="pct"/>
                  <w:shd w:val="clear" w:color="auto" w:fill="auto"/>
                  <w:vAlign w:val="center"/>
                </w:tcPr>
                <w:p w14:paraId="12389B43">
                  <w:pPr>
                    <w:adjustRightInd w:val="0"/>
                    <w:snapToGrid w:val="0"/>
                    <w:ind w:left="-120" w:leftChars="-50" w:right="-120"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0.001</w:t>
                  </w:r>
                </w:p>
              </w:tc>
              <w:tc>
                <w:tcPr>
                  <w:tcW w:w="794" w:type="pct"/>
                  <w:shd w:val="clear" w:color="auto" w:fill="auto"/>
                  <w:vAlign w:val="center"/>
                </w:tcPr>
                <w:p w14:paraId="234533FC">
                  <w:pPr>
                    <w:adjustRightInd w:val="0"/>
                    <w:snapToGrid w:val="0"/>
                    <w:ind w:left="-120" w:leftChars="-50" w:right="-120" w:rightChars="-5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0</w:t>
                  </w:r>
                </w:p>
              </w:tc>
            </w:tr>
            <w:tr w14:paraId="7AA63D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030" w:type="pct"/>
                  <w:shd w:val="clear" w:color="auto" w:fill="auto"/>
                  <w:vAlign w:val="center"/>
                </w:tcPr>
                <w:p w14:paraId="2853E8C1">
                  <w:pPr>
                    <w:adjustRightInd w:val="0"/>
                    <w:snapToGrid w:val="0"/>
                    <w:ind w:left="-120" w:leftChars="-50" w:right="-120" w:rightChars="-50"/>
                    <w:jc w:val="center"/>
                    <w:rPr>
                      <w:bCs/>
                      <w:color w:val="auto"/>
                      <w:sz w:val="18"/>
                      <w:szCs w:val="18"/>
                      <w:highlight w:val="none"/>
                    </w:rPr>
                  </w:pPr>
                  <w:r>
                    <w:rPr>
                      <w:bCs/>
                      <w:color w:val="auto"/>
                      <w:sz w:val="18"/>
                      <w:szCs w:val="18"/>
                      <w:highlight w:val="none"/>
                    </w:rPr>
                    <w:t>合计</w:t>
                  </w:r>
                </w:p>
              </w:tc>
              <w:tc>
                <w:tcPr>
                  <w:tcW w:w="793" w:type="pct"/>
                  <w:shd w:val="clear" w:color="auto" w:fill="auto"/>
                  <w:vAlign w:val="center"/>
                </w:tcPr>
                <w:p w14:paraId="4F1EDBBB">
                  <w:pPr>
                    <w:adjustRightInd w:val="0"/>
                    <w:snapToGrid w:val="0"/>
                    <w:ind w:left="-120" w:leftChars="-50" w:right="-120" w:rightChars="-50"/>
                    <w:jc w:val="center"/>
                    <w:rPr>
                      <w:color w:val="auto"/>
                      <w:sz w:val="18"/>
                      <w:szCs w:val="18"/>
                      <w:highlight w:val="none"/>
                    </w:rPr>
                  </w:pPr>
                  <w:r>
                    <w:rPr>
                      <w:rFonts w:hint="default"/>
                      <w:color w:val="auto"/>
                      <w:sz w:val="18"/>
                      <w:szCs w:val="18"/>
                      <w:highlight w:val="none"/>
                    </w:rPr>
                    <w:fldChar w:fldCharType="begin"/>
                  </w:r>
                  <w:r>
                    <w:rPr>
                      <w:rFonts w:hint="default"/>
                      <w:color w:val="auto"/>
                      <w:sz w:val="18"/>
                      <w:szCs w:val="18"/>
                      <w:highlight w:val="none"/>
                    </w:rPr>
                    <w:instrText xml:space="preserve"> =SUM(ABOVE) \* MERGEFORMAT </w:instrText>
                  </w:r>
                  <w:r>
                    <w:rPr>
                      <w:rFonts w:hint="default"/>
                      <w:color w:val="auto"/>
                      <w:sz w:val="18"/>
                      <w:szCs w:val="18"/>
                      <w:highlight w:val="none"/>
                    </w:rPr>
                    <w:fldChar w:fldCharType="separate"/>
                  </w:r>
                  <w:r>
                    <w:rPr>
                      <w:rFonts w:hint="default"/>
                      <w:color w:val="auto"/>
                      <w:sz w:val="18"/>
                      <w:szCs w:val="18"/>
                      <w:highlight w:val="none"/>
                    </w:rPr>
                    <w:t>19.4361</w:t>
                  </w:r>
                  <w:r>
                    <w:rPr>
                      <w:rFonts w:hint="default"/>
                      <w:color w:val="auto"/>
                      <w:sz w:val="18"/>
                      <w:szCs w:val="18"/>
                      <w:highlight w:val="none"/>
                    </w:rPr>
                    <w:fldChar w:fldCharType="end"/>
                  </w:r>
                </w:p>
              </w:tc>
              <w:tc>
                <w:tcPr>
                  <w:tcW w:w="793" w:type="pct"/>
                  <w:shd w:val="clear" w:color="auto" w:fill="auto"/>
                  <w:vAlign w:val="center"/>
                </w:tcPr>
                <w:p w14:paraId="78538790">
                  <w:pPr>
                    <w:adjustRightInd w:val="0"/>
                    <w:snapToGrid w:val="0"/>
                    <w:jc w:val="center"/>
                    <w:rPr>
                      <w:bCs/>
                      <w:color w:val="auto"/>
                      <w:sz w:val="18"/>
                      <w:szCs w:val="18"/>
                      <w:highlight w:val="none"/>
                    </w:rPr>
                  </w:pPr>
                  <w:r>
                    <w:rPr>
                      <w:rFonts w:hint="default"/>
                      <w:bCs/>
                      <w:color w:val="auto"/>
                      <w:sz w:val="18"/>
                      <w:szCs w:val="18"/>
                      <w:highlight w:val="none"/>
                    </w:rPr>
                    <w:fldChar w:fldCharType="begin"/>
                  </w:r>
                  <w:r>
                    <w:rPr>
                      <w:rFonts w:hint="default"/>
                      <w:bCs/>
                      <w:color w:val="auto"/>
                      <w:sz w:val="18"/>
                      <w:szCs w:val="18"/>
                      <w:highlight w:val="none"/>
                    </w:rPr>
                    <w:instrText xml:space="preserve"> =SUM(ABOVE) \* MERGEFORMAT </w:instrText>
                  </w:r>
                  <w:r>
                    <w:rPr>
                      <w:rFonts w:hint="default"/>
                      <w:bCs/>
                      <w:color w:val="auto"/>
                      <w:sz w:val="18"/>
                      <w:szCs w:val="18"/>
                      <w:highlight w:val="none"/>
                    </w:rPr>
                    <w:fldChar w:fldCharType="separate"/>
                  </w:r>
                  <w:r>
                    <w:rPr>
                      <w:rFonts w:hint="default"/>
                      <w:bCs/>
                      <w:color w:val="auto"/>
                      <w:sz w:val="18"/>
                      <w:szCs w:val="18"/>
                      <w:highlight w:val="none"/>
                    </w:rPr>
                    <w:t>8.405</w:t>
                  </w:r>
                  <w:r>
                    <w:rPr>
                      <w:rFonts w:hint="default"/>
                      <w:bCs/>
                      <w:color w:val="auto"/>
                      <w:sz w:val="18"/>
                      <w:szCs w:val="18"/>
                      <w:highlight w:val="none"/>
                    </w:rPr>
                    <w:fldChar w:fldCharType="end"/>
                  </w:r>
                </w:p>
              </w:tc>
              <w:tc>
                <w:tcPr>
                  <w:tcW w:w="793" w:type="pct"/>
                  <w:shd w:val="clear" w:color="auto" w:fill="auto"/>
                  <w:vAlign w:val="center"/>
                </w:tcPr>
                <w:p w14:paraId="47778F7B">
                  <w:pPr>
                    <w:adjustRightInd w:val="0"/>
                    <w:snapToGrid w:val="0"/>
                    <w:jc w:val="center"/>
                    <w:rPr>
                      <w:bCs/>
                      <w:color w:val="auto"/>
                      <w:sz w:val="18"/>
                      <w:szCs w:val="18"/>
                      <w:highlight w:val="none"/>
                    </w:rPr>
                  </w:pPr>
                  <w:r>
                    <w:rPr>
                      <w:rFonts w:hint="default"/>
                      <w:bCs/>
                      <w:color w:val="auto"/>
                      <w:sz w:val="18"/>
                      <w:szCs w:val="18"/>
                      <w:highlight w:val="none"/>
                    </w:rPr>
                    <w:fldChar w:fldCharType="begin"/>
                  </w:r>
                  <w:r>
                    <w:rPr>
                      <w:rFonts w:hint="default"/>
                      <w:bCs/>
                      <w:color w:val="auto"/>
                      <w:sz w:val="18"/>
                      <w:szCs w:val="18"/>
                      <w:highlight w:val="none"/>
                    </w:rPr>
                    <w:instrText xml:space="preserve"> =SUM(ABOVE) \* MERGEFORMAT </w:instrText>
                  </w:r>
                  <w:r>
                    <w:rPr>
                      <w:rFonts w:hint="default"/>
                      <w:bCs/>
                      <w:color w:val="auto"/>
                      <w:sz w:val="18"/>
                      <w:szCs w:val="18"/>
                      <w:highlight w:val="none"/>
                    </w:rPr>
                    <w:fldChar w:fldCharType="separate"/>
                  </w:r>
                  <w:r>
                    <w:rPr>
                      <w:rFonts w:hint="default"/>
                      <w:bCs/>
                      <w:color w:val="auto"/>
                      <w:sz w:val="18"/>
                      <w:szCs w:val="18"/>
                      <w:highlight w:val="none"/>
                    </w:rPr>
                    <w:t>8.405</w:t>
                  </w:r>
                  <w:r>
                    <w:rPr>
                      <w:rFonts w:hint="default"/>
                      <w:bCs/>
                      <w:color w:val="auto"/>
                      <w:sz w:val="18"/>
                      <w:szCs w:val="18"/>
                      <w:highlight w:val="none"/>
                    </w:rPr>
                    <w:fldChar w:fldCharType="end"/>
                  </w:r>
                </w:p>
              </w:tc>
              <w:tc>
                <w:tcPr>
                  <w:tcW w:w="793" w:type="pct"/>
                  <w:shd w:val="clear" w:color="auto" w:fill="auto"/>
                  <w:vAlign w:val="center"/>
                </w:tcPr>
                <w:p w14:paraId="1D67CC06">
                  <w:pPr>
                    <w:adjustRightInd w:val="0"/>
                    <w:snapToGrid w:val="0"/>
                    <w:ind w:left="-120" w:leftChars="-50" w:right="-120" w:rightChars="-50"/>
                    <w:jc w:val="center"/>
                    <w:rPr>
                      <w:color w:val="auto"/>
                      <w:sz w:val="18"/>
                      <w:szCs w:val="18"/>
                      <w:highlight w:val="none"/>
                    </w:rPr>
                  </w:pPr>
                  <w:r>
                    <w:rPr>
                      <w:rFonts w:hint="default"/>
                      <w:color w:val="auto"/>
                      <w:sz w:val="18"/>
                      <w:szCs w:val="18"/>
                      <w:highlight w:val="none"/>
                    </w:rPr>
                    <w:fldChar w:fldCharType="begin"/>
                  </w:r>
                  <w:r>
                    <w:rPr>
                      <w:rFonts w:hint="default"/>
                      <w:color w:val="auto"/>
                      <w:sz w:val="18"/>
                      <w:szCs w:val="18"/>
                      <w:highlight w:val="none"/>
                    </w:rPr>
                    <w:instrText xml:space="preserve"> =SUM(ABOVE) \* MERGEFORMAT </w:instrText>
                  </w:r>
                  <w:r>
                    <w:rPr>
                      <w:rFonts w:hint="default"/>
                      <w:color w:val="auto"/>
                      <w:sz w:val="18"/>
                      <w:szCs w:val="18"/>
                      <w:highlight w:val="none"/>
                    </w:rPr>
                    <w:fldChar w:fldCharType="separate"/>
                  </w:r>
                  <w:r>
                    <w:rPr>
                      <w:rFonts w:hint="default"/>
                      <w:color w:val="auto"/>
                      <w:sz w:val="18"/>
                      <w:szCs w:val="18"/>
                      <w:highlight w:val="none"/>
                    </w:rPr>
                    <w:t>4.1383</w:t>
                  </w:r>
                  <w:r>
                    <w:rPr>
                      <w:rFonts w:hint="default"/>
                      <w:color w:val="auto"/>
                      <w:sz w:val="18"/>
                      <w:szCs w:val="18"/>
                      <w:highlight w:val="none"/>
                    </w:rPr>
                    <w:fldChar w:fldCharType="end"/>
                  </w:r>
                </w:p>
              </w:tc>
              <w:tc>
                <w:tcPr>
                  <w:tcW w:w="794" w:type="pct"/>
                  <w:shd w:val="clear" w:color="auto" w:fill="auto"/>
                  <w:vAlign w:val="center"/>
                </w:tcPr>
                <w:p w14:paraId="081411D2">
                  <w:pPr>
                    <w:adjustRightInd w:val="0"/>
                    <w:snapToGrid w:val="0"/>
                    <w:ind w:left="-120" w:leftChars="-50" w:right="-120" w:rightChars="-50"/>
                    <w:jc w:val="center"/>
                    <w:rPr>
                      <w:color w:val="auto"/>
                      <w:sz w:val="18"/>
                      <w:szCs w:val="18"/>
                      <w:highlight w:val="none"/>
                    </w:rPr>
                  </w:pPr>
                  <w:r>
                    <w:rPr>
                      <w:rFonts w:hint="default"/>
                      <w:color w:val="auto"/>
                      <w:sz w:val="18"/>
                      <w:szCs w:val="18"/>
                      <w:highlight w:val="none"/>
                    </w:rPr>
                    <w:fldChar w:fldCharType="begin"/>
                  </w:r>
                  <w:r>
                    <w:rPr>
                      <w:rFonts w:hint="default"/>
                      <w:color w:val="auto"/>
                      <w:sz w:val="18"/>
                      <w:szCs w:val="18"/>
                      <w:highlight w:val="none"/>
                    </w:rPr>
                    <w:instrText xml:space="preserve"> =SUM(ABOVE) \* MERGEFORMAT </w:instrText>
                  </w:r>
                  <w:r>
                    <w:rPr>
                      <w:rFonts w:hint="default"/>
                      <w:color w:val="auto"/>
                      <w:sz w:val="18"/>
                      <w:szCs w:val="18"/>
                      <w:highlight w:val="none"/>
                    </w:rPr>
                    <w:fldChar w:fldCharType="separate"/>
                  </w:r>
                  <w:r>
                    <w:rPr>
                      <w:rFonts w:hint="default"/>
                      <w:color w:val="auto"/>
                      <w:sz w:val="18"/>
                      <w:szCs w:val="18"/>
                      <w:highlight w:val="none"/>
                    </w:rPr>
                    <w:t>15.2978</w:t>
                  </w:r>
                  <w:r>
                    <w:rPr>
                      <w:rFonts w:hint="default"/>
                      <w:color w:val="auto"/>
                      <w:sz w:val="18"/>
                      <w:szCs w:val="18"/>
                      <w:highlight w:val="none"/>
                    </w:rPr>
                    <w:fldChar w:fldCharType="end"/>
                  </w:r>
                </w:p>
              </w:tc>
            </w:tr>
          </w:tbl>
          <w:p w14:paraId="0240034A">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p>
          <w:p w14:paraId="3696FCA1">
            <w:pPr>
              <w:keepNext w:val="0"/>
              <w:keepLines w:val="0"/>
              <w:pageBreakBefore w:val="0"/>
              <w:kinsoku/>
              <w:wordWrap/>
              <w:overflowPunct/>
              <w:topLinePunct w:val="0"/>
              <w:autoSpaceDE w:val="0"/>
              <w:bidi w:val="0"/>
              <w:adjustRightInd w:val="0"/>
              <w:snapToGrid w:val="0"/>
              <w:spacing w:line="360" w:lineRule="auto"/>
              <w:textAlignment w:val="baseline"/>
              <w:rPr>
                <w:rFonts w:hint="default" w:ascii="Times New Roman" w:hAnsi="Times New Roman" w:cs="Times New Roman"/>
                <w:b/>
                <w:bCs/>
                <w:color w:val="auto"/>
                <w:highlight w:val="none"/>
                <w:lang w:val="en-US" w:eastAsia="zh-CN"/>
              </w:rPr>
            </w:pPr>
            <w:r>
              <w:drawing>
                <wp:inline distT="0" distB="0" distL="114300" distR="114300">
                  <wp:extent cx="5413375" cy="3848735"/>
                  <wp:effectExtent l="0" t="0" r="12065" b="6985"/>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17"/>
                          <a:stretch>
                            <a:fillRect/>
                          </a:stretch>
                        </pic:blipFill>
                        <pic:spPr>
                          <a:xfrm>
                            <a:off x="0" y="0"/>
                            <a:ext cx="5413375" cy="3848735"/>
                          </a:xfrm>
                          <a:prstGeom prst="rect">
                            <a:avLst/>
                          </a:prstGeom>
                          <a:noFill/>
                          <a:ln>
                            <a:noFill/>
                          </a:ln>
                        </pic:spPr>
                      </pic:pic>
                    </a:graphicData>
                  </a:graphic>
                </wp:inline>
              </w:drawing>
            </w:r>
          </w:p>
          <w:p w14:paraId="124792F0">
            <w:pPr>
              <w:keepNext w:val="0"/>
              <w:keepLines w:val="0"/>
              <w:pageBreakBefore w:val="0"/>
              <w:kinsoku/>
              <w:wordWrap/>
              <w:overflowPunct/>
              <w:topLinePunct w:val="0"/>
              <w:autoSpaceDE w:val="0"/>
              <w:bidi w:val="0"/>
              <w:adjustRightInd w:val="0"/>
              <w:snapToGrid w:val="0"/>
              <w:spacing w:line="360" w:lineRule="auto"/>
              <w:jc w:val="center"/>
              <w:textAlignment w:val="baseline"/>
              <w:rPr>
                <w:rFonts w:hint="default" w:ascii="Times New Roman" w:hAnsi="Times New Roman" w:cs="Times New Roman"/>
                <w:b/>
                <w:bCs/>
                <w:color w:val="auto"/>
                <w:highlight w:val="none"/>
                <w:lang w:val="en-US" w:eastAsia="zh-CN"/>
              </w:rPr>
            </w:pPr>
            <w:r>
              <w:rPr>
                <w:b/>
                <w:bCs/>
                <w:color w:val="auto"/>
                <w:spacing w:val="-3"/>
                <w:highlight w:val="none"/>
              </w:rPr>
              <w:t>拟建项目水平衡图</w:t>
            </w:r>
            <w:r>
              <w:rPr>
                <w:color w:val="auto"/>
                <w:spacing w:val="-3"/>
                <w:highlight w:val="none"/>
              </w:rPr>
              <w:t xml:space="preserve"> </w:t>
            </w:r>
            <w:r>
              <w:rPr>
                <w:b/>
                <w:bCs/>
                <w:color w:val="auto"/>
                <w:spacing w:val="-3"/>
                <w:highlight w:val="none"/>
              </w:rPr>
              <w:t>（单位：</w:t>
            </w:r>
            <w:r>
              <w:rPr>
                <w:rFonts w:hint="eastAsia" w:eastAsia="宋体" w:cs="Times New Roman"/>
                <w:b/>
                <w:bCs/>
                <w:color w:val="auto"/>
                <w:spacing w:val="-3"/>
                <w:highlight w:val="none"/>
                <w:lang w:eastAsia="zh-CN"/>
              </w:rPr>
              <w:t>m³</w:t>
            </w:r>
            <w:r>
              <w:rPr>
                <w:rFonts w:ascii="Times New Roman" w:hAnsi="Times New Roman" w:eastAsia="Times New Roman" w:cs="Times New Roman"/>
                <w:b/>
                <w:bCs/>
                <w:color w:val="auto"/>
                <w:spacing w:val="-3"/>
                <w:highlight w:val="none"/>
              </w:rPr>
              <w:t>/d</w:t>
            </w:r>
            <w:r>
              <w:rPr>
                <w:b/>
                <w:bCs/>
                <w:color w:val="auto"/>
                <w:spacing w:val="-3"/>
                <w:highlight w:val="none"/>
              </w:rPr>
              <w:t>）</w:t>
            </w:r>
          </w:p>
          <w:p w14:paraId="6FD997EB">
            <w:pPr>
              <w:keepNext w:val="0"/>
              <w:keepLines w:val="0"/>
              <w:pageBreakBefore w:val="0"/>
              <w:kinsoku/>
              <w:wordWrap/>
              <w:overflowPunct/>
              <w:topLinePunct w:val="0"/>
              <w:autoSpaceDE w:val="0"/>
              <w:bidi w:val="0"/>
              <w:adjustRightInd w:val="0"/>
              <w:snapToGrid w:val="0"/>
              <w:spacing w:line="360" w:lineRule="auto"/>
              <w:ind w:firstLine="482" w:firstLineChars="200"/>
              <w:textAlignment w:val="baseline"/>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（3）供电工程</w:t>
            </w:r>
          </w:p>
          <w:p w14:paraId="445A68EA">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电源由市政10kV电网引入1路专用线路，引至新建1×2000kVA箱式变电站（SCB14型干式变压器，能效2级），供厂区整体用电；冷库总用电功率580kW（速冻库360kW、冻库220kW），NFC生产线工艺设备预留功率约1600kW，厂房照明及辅助用电按25kW计，补偿后视在功率约1515kVA，变压器负载率约78%，年用电量约140万kWh。室外及厂区照明采用光伏板路灯（与一期型号一致，蓄电池满足3个连续阴雨天用电）。另在车间屋顶设置独立式太阳能光伏发电系统</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7块765Wp单晶硅组件，安装面积约11㎡，配1MWh锂离子储能电池，400V不并网，自发自用。</w:t>
            </w:r>
          </w:p>
          <w:p w14:paraId="0CDD7462">
            <w:pPr>
              <w:keepNext w:val="0"/>
              <w:keepLines w:val="0"/>
              <w:pageBreakBefore w:val="0"/>
              <w:kinsoku/>
              <w:wordWrap/>
              <w:overflowPunct/>
              <w:topLinePunct w:val="0"/>
              <w:autoSpaceDE w:val="0"/>
              <w:bidi w:val="0"/>
              <w:adjustRightInd w:val="0"/>
              <w:snapToGrid w:val="0"/>
              <w:spacing w:line="360" w:lineRule="auto"/>
              <w:ind w:firstLine="482" w:firstLineChars="200"/>
              <w:textAlignment w:val="baseline"/>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（4）制冷</w:t>
            </w:r>
          </w:p>
          <w:p w14:paraId="5341AB43">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项目生产车间采用空调制冷。空调用制冷剂采用环保冷媒R134a</w:t>
            </w:r>
            <w:r>
              <w:rPr>
                <w:rFonts w:hint="eastAsia"/>
                <w:lang w:eastAsia="zh-CN"/>
              </w:rPr>
              <w:t>（</w:t>
            </w:r>
            <w:r>
              <w:rPr>
                <w:rFonts w:hint="eastAsia"/>
                <w:lang w:val="en-US" w:eastAsia="zh-CN"/>
              </w:rPr>
              <w:t>GWP=1300</w:t>
            </w:r>
            <w:r>
              <w:rPr>
                <w:rFonts w:hint="eastAsia"/>
                <w:lang w:eastAsia="zh-CN"/>
              </w:rPr>
              <w:t>）</w:t>
            </w:r>
            <w:r>
              <w:rPr>
                <w:rFonts w:hint="default" w:ascii="Times New Roman" w:hAnsi="Times New Roman" w:cs="Times New Roman"/>
                <w:color w:val="auto"/>
                <w:highlight w:val="none"/>
                <w:lang w:val="en-US" w:eastAsia="zh-CN"/>
              </w:rPr>
              <w:t>，属于 HFC 氢氟烃制冷剂。根据《蒙特利尔议定书》中的相关规定，禁止使用</w:t>
            </w:r>
            <w:r>
              <w:rPr>
                <w:rFonts w:hint="eastAsia" w:cs="Times New Roman"/>
                <w:color w:val="auto"/>
                <w:highlight w:val="none"/>
                <w:lang w:val="en-US" w:eastAsia="zh-CN"/>
              </w:rPr>
              <w:t>的</w:t>
            </w:r>
            <w:r>
              <w:rPr>
                <w:rFonts w:hint="default" w:ascii="Times New Roman" w:hAnsi="Times New Roman" w:cs="Times New Roman"/>
                <w:color w:val="auto"/>
                <w:highlight w:val="none"/>
                <w:lang w:val="en-US" w:eastAsia="zh-CN"/>
              </w:rPr>
              <w:t>制冷剂为：CFC—全氯氟烃（氯氟烃/氯氟化碳）类制冷剂。本项目使用的制冷剂为R134a型环保制冷剂，不属于禁止使用的的制冷剂。</w:t>
            </w:r>
          </w:p>
          <w:p w14:paraId="58E74983">
            <w:pPr>
              <w:keepNext w:val="0"/>
              <w:keepLines w:val="0"/>
              <w:pageBreakBefore w:val="0"/>
              <w:numPr>
                <w:ilvl w:val="0"/>
                <w:numId w:val="0"/>
              </w:numPr>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（5）</w:t>
            </w:r>
            <w:r>
              <w:rPr>
                <w:rFonts w:hint="default" w:ascii="Times New Roman" w:hAnsi="Times New Roman" w:cs="Times New Roman"/>
                <w:color w:val="auto"/>
                <w:highlight w:val="none"/>
                <w:lang w:val="en-US" w:eastAsia="zh-CN"/>
              </w:rPr>
              <w:t>供气</w:t>
            </w:r>
          </w:p>
          <w:p w14:paraId="2E517C2B">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本项目天然气年用量为</w:t>
            </w:r>
            <w:r>
              <w:rPr>
                <w:rFonts w:hint="eastAsia" w:cs="Times New Roman"/>
                <w:color w:val="auto"/>
                <w:highlight w:val="none"/>
                <w:lang w:val="en-US" w:eastAsia="zh-CN"/>
              </w:rPr>
              <w:t>57600m³</w:t>
            </w:r>
            <w:r>
              <w:rPr>
                <w:rFonts w:hint="default" w:ascii="Times New Roman" w:hAnsi="Times New Roman" w:cs="Times New Roman"/>
                <w:color w:val="auto"/>
                <w:highlight w:val="none"/>
                <w:lang w:val="en-US" w:eastAsia="zh-CN"/>
              </w:rPr>
              <w:t>，由市政供气。室外天然气管道支管采用天然气专用复合管，管径为De50，直接埋地敷设。</w:t>
            </w:r>
          </w:p>
          <w:p w14:paraId="68B4EB7F">
            <w:pPr>
              <w:keepNext w:val="0"/>
              <w:keepLines w:val="0"/>
              <w:pageBreakBefore w:val="0"/>
              <w:numPr>
                <w:ilvl w:val="0"/>
                <w:numId w:val="0"/>
              </w:numPr>
              <w:kinsoku/>
              <w:wordWrap/>
              <w:overflowPunct/>
              <w:topLinePunct w:val="0"/>
              <w:bidi w:val="0"/>
              <w:adjustRightInd w:val="0"/>
              <w:snapToGrid w:val="0"/>
              <w:spacing w:line="360" w:lineRule="auto"/>
              <w:ind w:firstLine="482" w:firstLineChars="200"/>
              <w:rPr>
                <w:rFonts w:hint="default" w:ascii="Times New Roman" w:hAnsi="Times New Roman" w:cs="Times New Roman"/>
                <w:b/>
                <w:bCs/>
                <w:color w:val="auto"/>
                <w:szCs w:val="32"/>
                <w:highlight w:val="none"/>
                <w:lang w:val="en-US" w:eastAsia="zh-CN"/>
              </w:rPr>
            </w:pPr>
            <w:r>
              <w:rPr>
                <w:rFonts w:hint="default" w:ascii="Times New Roman" w:hAnsi="Times New Roman" w:cs="Times New Roman"/>
                <w:b/>
                <w:bCs/>
                <w:color w:val="auto"/>
                <w:kern w:val="2"/>
                <w:sz w:val="24"/>
                <w:szCs w:val="32"/>
                <w:highlight w:val="none"/>
                <w:lang w:val="en-US" w:eastAsia="zh-CN" w:bidi="ar-SA"/>
              </w:rPr>
              <w:t>10</w:t>
            </w:r>
            <w:r>
              <w:rPr>
                <w:rFonts w:hint="default" w:ascii="Times New Roman" w:hAnsi="Times New Roman" w:eastAsia="宋体" w:cs="Times New Roman"/>
                <w:b/>
                <w:bCs/>
                <w:color w:val="auto"/>
                <w:kern w:val="2"/>
                <w:sz w:val="24"/>
                <w:szCs w:val="32"/>
                <w:highlight w:val="none"/>
                <w:lang w:val="en-US" w:eastAsia="zh-CN" w:bidi="ar-SA"/>
              </w:rPr>
              <w:t>、</w:t>
            </w:r>
            <w:r>
              <w:rPr>
                <w:rFonts w:hint="default" w:ascii="Times New Roman" w:hAnsi="Times New Roman" w:cs="Times New Roman"/>
                <w:b/>
                <w:bCs/>
                <w:color w:val="auto"/>
                <w:szCs w:val="32"/>
                <w:highlight w:val="none"/>
                <w:lang w:val="en-US" w:eastAsia="zh-CN"/>
              </w:rPr>
              <w:t>劳动定员及工作制度</w:t>
            </w:r>
          </w:p>
          <w:p w14:paraId="00C090EC">
            <w:pPr>
              <w:keepNext w:val="0"/>
              <w:keepLines w:val="0"/>
              <w:pageBreakBefore w:val="0"/>
              <w:widowControl w:val="0"/>
              <w:kinsoku/>
              <w:wordWrap/>
              <w:overflowPunct/>
              <w:topLinePunct w:val="0"/>
              <w:autoSpaceDE w:val="0"/>
              <w:autoSpaceDN/>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劳动定员和工作制度：项目劳动定员</w:t>
            </w:r>
            <w:r>
              <w:rPr>
                <w:rFonts w:hint="default" w:ascii="Times New Roman" w:hAnsi="Times New Roman" w:cs="Times New Roman"/>
                <w:color w:val="auto"/>
                <w:highlight w:val="none"/>
                <w:lang w:val="en-US" w:eastAsia="zh-CN"/>
              </w:rPr>
              <w:t>51</w:t>
            </w:r>
            <w:r>
              <w:rPr>
                <w:rFonts w:hint="default" w:ascii="Times New Roman" w:hAnsi="Times New Roman" w:cs="Times New Roman"/>
                <w:color w:val="auto"/>
                <w:highlight w:val="none"/>
                <w:lang w:eastAsia="zh-CN"/>
              </w:rPr>
              <w:t>人，其中管理人员3人、运营人员3人、技术人员2人、市场人员3人、生产人员40人。每天3个工作班模式，</w:t>
            </w:r>
            <w:r>
              <w:rPr>
                <w:rFonts w:hint="eastAsia" w:cs="Times New Roman"/>
                <w:color w:val="auto"/>
                <w:highlight w:val="none"/>
                <w:lang w:val="en-US" w:eastAsia="zh-CN"/>
              </w:rPr>
              <w:t>单季</w:t>
            </w:r>
            <w:r>
              <w:rPr>
                <w:rFonts w:hint="default" w:ascii="Times New Roman" w:hAnsi="Times New Roman" w:cs="Times New Roman"/>
                <w:color w:val="auto"/>
                <w:highlight w:val="none"/>
                <w:lang w:eastAsia="zh-CN"/>
              </w:rPr>
              <w:t>工作</w:t>
            </w:r>
            <w:r>
              <w:rPr>
                <w:rFonts w:hint="eastAsia" w:cs="Times New Roman"/>
                <w:color w:val="auto"/>
                <w:highlight w:val="none"/>
                <w:lang w:val="en-US" w:eastAsia="zh-CN"/>
              </w:rPr>
              <w:t>60</w:t>
            </w:r>
            <w:r>
              <w:rPr>
                <w:rFonts w:hint="default" w:ascii="Times New Roman" w:hAnsi="Times New Roman" w:cs="Times New Roman"/>
                <w:color w:val="auto"/>
                <w:highlight w:val="none"/>
                <w:lang w:eastAsia="zh-CN"/>
              </w:rPr>
              <w:t>天。</w:t>
            </w:r>
          </w:p>
          <w:p w14:paraId="00E68241">
            <w:pPr>
              <w:keepNext w:val="0"/>
              <w:keepLines w:val="0"/>
              <w:pageBreakBefore w:val="0"/>
              <w:kinsoku/>
              <w:wordWrap/>
              <w:overflowPunct/>
              <w:topLinePunct w:val="0"/>
              <w:bidi w:val="0"/>
              <w:adjustRightInd w:val="0"/>
              <w:snapToGrid w:val="0"/>
              <w:spacing w:line="360" w:lineRule="auto"/>
              <w:ind w:firstLine="482" w:firstLineChars="200"/>
              <w:rPr>
                <w:rFonts w:hint="default" w:ascii="Times New Roman" w:hAnsi="Times New Roman" w:cs="Times New Roman"/>
                <w:b/>
                <w:bCs/>
                <w:color w:val="auto"/>
                <w:szCs w:val="32"/>
                <w:highlight w:val="none"/>
                <w:lang w:val="en-US" w:eastAsia="zh-CN"/>
              </w:rPr>
            </w:pPr>
            <w:r>
              <w:rPr>
                <w:rFonts w:hint="default" w:ascii="Times New Roman" w:hAnsi="Times New Roman" w:cs="Times New Roman"/>
                <w:b/>
                <w:bCs/>
                <w:color w:val="auto"/>
                <w:szCs w:val="32"/>
                <w:highlight w:val="none"/>
                <w:lang w:val="en-US" w:eastAsia="zh-CN"/>
              </w:rPr>
              <w:t>11、环保投资</w:t>
            </w:r>
          </w:p>
          <w:p w14:paraId="52886B1B">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该工程总投资2164万元，其中环保投资</w:t>
            </w:r>
            <w:r>
              <w:rPr>
                <w:rFonts w:hint="eastAsia" w:cs="Times New Roman"/>
                <w:color w:val="auto"/>
                <w:highlight w:val="none"/>
                <w:lang w:val="en-US" w:eastAsia="zh-CN"/>
              </w:rPr>
              <w:t>45</w:t>
            </w:r>
            <w:r>
              <w:rPr>
                <w:rFonts w:hint="default" w:ascii="Times New Roman" w:hAnsi="Times New Roman" w:cs="Times New Roman"/>
                <w:color w:val="auto"/>
                <w:highlight w:val="none"/>
                <w:lang w:val="en-US" w:eastAsia="zh-CN"/>
              </w:rPr>
              <w:t>万元，占总投资的</w:t>
            </w:r>
            <w:r>
              <w:rPr>
                <w:rFonts w:hint="eastAsia" w:cs="Times New Roman"/>
                <w:color w:val="auto"/>
                <w:highlight w:val="none"/>
                <w:lang w:val="en-US" w:eastAsia="zh-CN"/>
              </w:rPr>
              <w:t>2.1</w:t>
            </w:r>
            <w:r>
              <w:rPr>
                <w:rFonts w:hint="default" w:ascii="Times New Roman" w:hAnsi="Times New Roman" w:cs="Times New Roman"/>
                <w:color w:val="auto"/>
                <w:highlight w:val="none"/>
                <w:lang w:val="en-US" w:eastAsia="zh-CN"/>
              </w:rPr>
              <w:t>%。</w:t>
            </w:r>
          </w:p>
          <w:p w14:paraId="491F3646">
            <w:pPr>
              <w:keepNext w:val="0"/>
              <w:keepLines w:val="0"/>
              <w:pageBreakBefore w:val="0"/>
              <w:widowControl w:val="0"/>
              <w:kinsoku/>
              <w:wordWrap/>
              <w:overflowPunct/>
              <w:topLinePunct w:val="0"/>
              <w:autoSpaceDE w:val="0"/>
              <w:autoSpaceDN/>
              <w:bidi w:val="0"/>
              <w:adjustRightInd/>
              <w:snapToGrid/>
              <w:spacing w:line="240" w:lineRule="auto"/>
              <w:jc w:val="center"/>
              <w:textAlignment w:val="baseline"/>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color w:val="auto"/>
                <w:highlight w:val="none"/>
                <w:lang w:val="en-US" w:eastAsia="zh-CN"/>
              </w:rPr>
              <w:t>表2-6  工程环保设施（措施）及投资估算一览表</w:t>
            </w:r>
          </w:p>
          <w:tbl>
            <w:tblPr>
              <w:tblStyle w:val="31"/>
              <w:tblW w:w="4998" w:type="pct"/>
              <w:tblInd w:w="-6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4632"/>
              <w:gridCol w:w="2682"/>
            </w:tblGrid>
            <w:tr w14:paraId="4F60A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25" w:type="pct"/>
                  <w:vAlign w:val="center"/>
                </w:tcPr>
                <w:p w14:paraId="7512E1BB">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项目</w:t>
                  </w:r>
                </w:p>
              </w:tc>
              <w:tc>
                <w:tcPr>
                  <w:tcW w:w="2770" w:type="pct"/>
                  <w:vAlign w:val="center"/>
                </w:tcPr>
                <w:p w14:paraId="7E34300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环保措施</w:t>
                  </w:r>
                </w:p>
              </w:tc>
              <w:tc>
                <w:tcPr>
                  <w:tcW w:w="1604" w:type="pct"/>
                  <w:vAlign w:val="center"/>
                </w:tcPr>
                <w:p w14:paraId="7D89034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投资额（万元）</w:t>
                  </w:r>
                </w:p>
              </w:tc>
            </w:tr>
            <w:tr w14:paraId="47D6D8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25" w:type="pct"/>
                  <w:vAlign w:val="center"/>
                </w:tcPr>
                <w:p w14:paraId="20AB50A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废气</w:t>
                  </w:r>
                </w:p>
              </w:tc>
              <w:tc>
                <w:tcPr>
                  <w:tcW w:w="2770" w:type="pct"/>
                  <w:vAlign w:val="center"/>
                </w:tcPr>
                <w:p w14:paraId="2DBBF7D5">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w:t>
                  </w:r>
                  <w:r>
                    <w:rPr>
                      <w:rFonts w:hint="eastAsia" w:cs="Times New Roman"/>
                      <w:color w:val="auto"/>
                      <w:sz w:val="18"/>
                      <w:szCs w:val="18"/>
                      <w:highlight w:val="none"/>
                      <w:vertAlign w:val="baseline"/>
                      <w:lang w:val="en-US" w:eastAsia="zh-CN"/>
                    </w:rPr>
                    <w:t>2</w:t>
                  </w:r>
                  <w:r>
                    <w:rPr>
                      <w:rFonts w:hint="default" w:ascii="Times New Roman" w:hAnsi="Times New Roman" w:cs="Times New Roman"/>
                      <w:color w:val="auto"/>
                      <w:sz w:val="18"/>
                      <w:szCs w:val="18"/>
                      <w:highlight w:val="none"/>
                      <w:vertAlign w:val="baseline"/>
                      <w:lang w:val="en-US" w:eastAsia="zh-CN"/>
                    </w:rPr>
                    <w:t>m高排气筒</w:t>
                  </w:r>
                  <w:r>
                    <w:rPr>
                      <w:rFonts w:hint="eastAsia" w:cs="Times New Roman"/>
                      <w:color w:val="auto"/>
                      <w:sz w:val="18"/>
                      <w:szCs w:val="18"/>
                      <w:highlight w:val="none"/>
                      <w:vertAlign w:val="baseline"/>
                      <w:lang w:val="en-US" w:eastAsia="zh-CN"/>
                    </w:rPr>
                    <w:t>DA001</w:t>
                  </w:r>
                </w:p>
              </w:tc>
              <w:tc>
                <w:tcPr>
                  <w:tcW w:w="1604" w:type="pct"/>
                  <w:vAlign w:val="center"/>
                </w:tcPr>
                <w:p w14:paraId="7FC97E7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5</w:t>
                  </w:r>
                </w:p>
              </w:tc>
            </w:tr>
            <w:tr w14:paraId="3A343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25" w:type="pct"/>
                  <w:vAlign w:val="center"/>
                </w:tcPr>
                <w:p w14:paraId="5AF3B12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废水</w:t>
                  </w:r>
                </w:p>
              </w:tc>
              <w:tc>
                <w:tcPr>
                  <w:tcW w:w="2770" w:type="pct"/>
                  <w:vAlign w:val="center"/>
                </w:tcPr>
                <w:p w14:paraId="1C9E419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化粪池、隔油池、应急事故池</w:t>
                  </w:r>
                </w:p>
              </w:tc>
              <w:tc>
                <w:tcPr>
                  <w:tcW w:w="1604" w:type="pct"/>
                  <w:vAlign w:val="center"/>
                </w:tcPr>
                <w:p w14:paraId="14A9AA0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12</w:t>
                  </w:r>
                </w:p>
              </w:tc>
            </w:tr>
            <w:tr w14:paraId="0FAAB3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25" w:type="pct"/>
                  <w:vAlign w:val="center"/>
                </w:tcPr>
                <w:p w14:paraId="3DB7640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噪声</w:t>
                  </w:r>
                </w:p>
              </w:tc>
              <w:tc>
                <w:tcPr>
                  <w:tcW w:w="2770" w:type="pct"/>
                  <w:vAlign w:val="center"/>
                </w:tcPr>
                <w:p w14:paraId="7CEFE48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采用低噪声设备，隔声、减</w:t>
                  </w:r>
                  <w:r>
                    <w:rPr>
                      <w:rFonts w:hint="eastAsia" w:cs="Times New Roman"/>
                      <w:color w:val="auto"/>
                      <w:sz w:val="18"/>
                      <w:szCs w:val="18"/>
                      <w:highlight w:val="none"/>
                      <w:vertAlign w:val="baseline"/>
                      <w:lang w:val="en-US" w:eastAsia="zh-CN"/>
                    </w:rPr>
                    <w:t>振</w:t>
                  </w:r>
                </w:p>
              </w:tc>
              <w:tc>
                <w:tcPr>
                  <w:tcW w:w="1604" w:type="pct"/>
                  <w:vAlign w:val="center"/>
                </w:tcPr>
                <w:p w14:paraId="1423526E">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8</w:t>
                  </w:r>
                </w:p>
              </w:tc>
            </w:tr>
            <w:tr w14:paraId="2E83C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25" w:type="pct"/>
                  <w:vAlign w:val="center"/>
                </w:tcPr>
                <w:p w14:paraId="164F49F1">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固废</w:t>
                  </w:r>
                </w:p>
              </w:tc>
              <w:tc>
                <w:tcPr>
                  <w:tcW w:w="2770" w:type="pct"/>
                  <w:vAlign w:val="center"/>
                </w:tcPr>
                <w:p w14:paraId="5D3CC6F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一般固废</w:t>
                  </w:r>
                  <w:r>
                    <w:rPr>
                      <w:rFonts w:hint="eastAsia" w:cs="Times New Roman"/>
                      <w:color w:val="auto"/>
                      <w:sz w:val="18"/>
                      <w:szCs w:val="18"/>
                      <w:highlight w:val="none"/>
                      <w:vertAlign w:val="baseline"/>
                      <w:lang w:val="en-US" w:eastAsia="zh-CN"/>
                    </w:rPr>
                    <w:t>暂存</w:t>
                  </w:r>
                  <w:r>
                    <w:rPr>
                      <w:rFonts w:hint="default" w:ascii="Times New Roman" w:hAnsi="Times New Roman" w:cs="Times New Roman"/>
                      <w:color w:val="auto"/>
                      <w:sz w:val="18"/>
                      <w:szCs w:val="18"/>
                      <w:highlight w:val="none"/>
                      <w:vertAlign w:val="baseline"/>
                      <w:lang w:val="en-US" w:eastAsia="zh-CN"/>
                    </w:rPr>
                    <w:t>间、危废</w:t>
                  </w:r>
                  <w:r>
                    <w:rPr>
                      <w:rFonts w:hint="eastAsia" w:cs="Times New Roman"/>
                      <w:color w:val="auto"/>
                      <w:sz w:val="18"/>
                      <w:szCs w:val="18"/>
                      <w:highlight w:val="none"/>
                      <w:vertAlign w:val="baseline"/>
                      <w:lang w:val="en-US" w:eastAsia="zh-CN"/>
                    </w:rPr>
                    <w:t>暂存库</w:t>
                  </w:r>
                </w:p>
              </w:tc>
              <w:tc>
                <w:tcPr>
                  <w:tcW w:w="1604" w:type="pct"/>
                  <w:vAlign w:val="center"/>
                </w:tcPr>
                <w:p w14:paraId="1419D5F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7</w:t>
                  </w:r>
                </w:p>
              </w:tc>
            </w:tr>
            <w:tr w14:paraId="2ECC8E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25" w:type="pct"/>
                  <w:vAlign w:val="center"/>
                </w:tcPr>
                <w:p w14:paraId="1062F16D">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环境风险</w:t>
                  </w:r>
                </w:p>
              </w:tc>
              <w:tc>
                <w:tcPr>
                  <w:tcW w:w="2770" w:type="pct"/>
                  <w:vAlign w:val="center"/>
                </w:tcPr>
                <w:p w14:paraId="627EA5A0">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厂区配备应急物资（吸油毡、灭火器等）；编制突发环境事件应急预案并备案</w:t>
                  </w:r>
                </w:p>
              </w:tc>
              <w:tc>
                <w:tcPr>
                  <w:tcW w:w="1604" w:type="pct"/>
                  <w:vAlign w:val="center"/>
                </w:tcPr>
                <w:p w14:paraId="3FB65033">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8</w:t>
                  </w:r>
                </w:p>
              </w:tc>
            </w:tr>
            <w:tr w14:paraId="7D81E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25" w:type="pct"/>
                  <w:vAlign w:val="center"/>
                </w:tcPr>
                <w:p w14:paraId="4B2CBB9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生态及施工期</w:t>
                  </w:r>
                </w:p>
              </w:tc>
              <w:tc>
                <w:tcPr>
                  <w:tcW w:w="2770" w:type="pct"/>
                  <w:vAlign w:val="center"/>
                </w:tcPr>
                <w:p w14:paraId="7CA0EA1F">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施工围挡、洒水降尘、物料覆盖、建筑垃圾清运、施工场地恢复等</w:t>
                  </w:r>
                </w:p>
              </w:tc>
              <w:tc>
                <w:tcPr>
                  <w:tcW w:w="1604" w:type="pct"/>
                  <w:vAlign w:val="center"/>
                </w:tcPr>
                <w:p w14:paraId="43B4FDF7">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5</w:t>
                  </w:r>
                </w:p>
              </w:tc>
            </w:tr>
            <w:tr w14:paraId="27E369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395" w:type="pct"/>
                  <w:gridSpan w:val="2"/>
                  <w:vAlign w:val="center"/>
                </w:tcPr>
                <w:p w14:paraId="45CD2B59">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ascii="Times New Roman" w:hAnsi="Times New Roman"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合计（万元）</w:t>
                  </w:r>
                </w:p>
              </w:tc>
              <w:tc>
                <w:tcPr>
                  <w:tcW w:w="1604" w:type="pct"/>
                  <w:vAlign w:val="center"/>
                </w:tcPr>
                <w:p w14:paraId="1928A976">
                  <w:pPr>
                    <w:keepNext w:val="0"/>
                    <w:keepLines w:val="0"/>
                    <w:pageBreakBefore w:val="0"/>
                    <w:widowControl w:val="0"/>
                    <w:kinsoku/>
                    <w:wordWrap/>
                    <w:overflowPunct/>
                    <w:topLinePunct w:val="0"/>
                    <w:autoSpaceDE w:val="0"/>
                    <w:autoSpaceDN/>
                    <w:bidi w:val="0"/>
                    <w:adjustRightInd/>
                    <w:snapToGrid/>
                    <w:spacing w:line="200" w:lineRule="exact"/>
                    <w:jc w:val="center"/>
                    <w:textAlignment w:val="baseline"/>
                    <w:rPr>
                      <w:rFonts w:hint="default"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45</w:t>
                  </w:r>
                </w:p>
              </w:tc>
            </w:tr>
          </w:tbl>
          <w:p w14:paraId="456DFCDF">
            <w:pPr>
              <w:pStyle w:val="79"/>
              <w:keepNext w:val="0"/>
              <w:keepLines w:val="0"/>
              <w:pageBreakBefore w:val="0"/>
              <w:kinsoku/>
              <w:wordWrap/>
              <w:overflowPunct/>
              <w:topLinePunct w:val="0"/>
              <w:bidi w:val="0"/>
              <w:rPr>
                <w:rFonts w:hint="default" w:ascii="Times New Roman" w:hAnsi="Times New Roman" w:cs="Times New Roman"/>
                <w:bCs/>
                <w:color w:val="auto"/>
                <w:szCs w:val="21"/>
                <w:highlight w:val="none"/>
              </w:rPr>
            </w:pPr>
          </w:p>
        </w:tc>
      </w:tr>
    </w:tbl>
    <w:p w14:paraId="719B7670">
      <w:pPr>
        <w:pStyle w:val="26"/>
        <w:keepNext w:val="0"/>
        <w:keepLines w:val="0"/>
        <w:pageBreakBefore w:val="0"/>
        <w:kinsoku/>
        <w:wordWrap/>
        <w:overflowPunct/>
        <w:topLinePunct w:val="0"/>
        <w:bidi w:val="0"/>
        <w:jc w:val="both"/>
        <w:outlineLvl w:val="9"/>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br w:type="page"/>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1"/>
        <w:gridCol w:w="8609"/>
      </w:tblGrid>
      <w:tr w14:paraId="6959C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00" w:type="dxa"/>
            <w:vAlign w:val="center"/>
          </w:tcPr>
          <w:p w14:paraId="3E51BAB5">
            <w:pPr>
              <w:pStyle w:val="26"/>
              <w:keepNext w:val="0"/>
              <w:keepLines w:val="0"/>
              <w:pageBreakBefore w:val="0"/>
              <w:kinsoku/>
              <w:wordWrap/>
              <w:overflowPunct/>
              <w:topLinePunct w:val="0"/>
              <w:bidi w:val="0"/>
              <w:jc w:val="both"/>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工艺流程和产排污环节</w:t>
            </w:r>
          </w:p>
        </w:tc>
        <w:tc>
          <w:tcPr>
            <w:tcW w:w="8560" w:type="dxa"/>
          </w:tcPr>
          <w:p w14:paraId="40359553">
            <w:pPr>
              <w:pStyle w:val="80"/>
              <w:ind w:left="0" w:leftChars="0" w:firstLine="0" w:firstLineChars="0"/>
              <w:rPr>
                <w:rFonts w:hint="default" w:ascii="Times New Roman" w:hAnsi="Times New Roman" w:eastAsia="宋体" w:cs="Times New Roman"/>
                <w:b/>
                <w:bCs/>
                <w:color w:val="auto"/>
                <w:kern w:val="2"/>
                <w:sz w:val="24"/>
                <w:szCs w:val="24"/>
                <w:highlight w:val="none"/>
                <w:lang w:val="en-US" w:eastAsia="zh-CN" w:bidi="ar-SA"/>
              </w:rPr>
            </w:pPr>
            <w:r>
              <w:rPr>
                <w:rFonts w:hint="eastAsia" w:cs="Times New Roman"/>
                <w:b/>
                <w:bCs/>
                <w:color w:val="auto"/>
                <w:kern w:val="2"/>
                <w:sz w:val="24"/>
                <w:szCs w:val="24"/>
                <w:highlight w:val="none"/>
                <w:lang w:val="en-US" w:eastAsia="zh-CN" w:bidi="ar-SA"/>
              </w:rPr>
              <w:t>一、</w:t>
            </w:r>
            <w:r>
              <w:rPr>
                <w:rFonts w:hint="default" w:ascii="Times New Roman" w:hAnsi="Times New Roman" w:eastAsia="宋体" w:cs="Times New Roman"/>
                <w:b/>
                <w:bCs/>
                <w:color w:val="auto"/>
                <w:kern w:val="2"/>
                <w:sz w:val="24"/>
                <w:szCs w:val="24"/>
                <w:highlight w:val="none"/>
                <w:lang w:val="en-US" w:eastAsia="zh-CN" w:bidi="ar-SA"/>
              </w:rPr>
              <w:t>施工期工艺流程及产污环节</w:t>
            </w:r>
          </w:p>
          <w:p w14:paraId="506C255A">
            <w:pPr>
              <w:keepNext w:val="0"/>
              <w:keepLines w:val="0"/>
              <w:pageBreakBefore w:val="0"/>
              <w:widowControl w:val="0"/>
              <w:kinsoku/>
              <w:wordWrap/>
              <w:overflowPunct/>
              <w:topLinePunct w:val="0"/>
              <w:autoSpaceDE w:val="0"/>
              <w:autoSpaceDN/>
              <w:bidi w:val="0"/>
              <w:adjustRightInd w:val="0"/>
              <w:snapToGrid w:val="0"/>
              <w:spacing w:line="360" w:lineRule="auto"/>
              <w:ind w:firstLine="480" w:firstLineChars="200"/>
              <w:textAlignment w:val="baseline"/>
              <w:rPr>
                <w:rFonts w:hint="eastAsia" w:ascii="Times New Roman" w:hAnsi="Times New Roman" w:cs="Times New Roman"/>
                <w:color w:val="auto"/>
                <w:highlight w:val="none"/>
              </w:rPr>
            </w:pPr>
            <w:r>
              <w:rPr>
                <w:rFonts w:hint="default" w:ascii="Times New Roman" w:hAnsi="Times New Roman" w:cs="Times New Roman"/>
                <w:color w:val="auto"/>
                <w:highlight w:val="none"/>
                <w:lang w:eastAsia="zh-CN"/>
              </w:rPr>
              <w:t>本项目施工期</w:t>
            </w:r>
            <w:r>
              <w:rPr>
                <w:rFonts w:hint="eastAsia" w:ascii="Times New Roman" w:hAnsi="Times New Roman" w:cs="Times New Roman"/>
                <w:color w:val="auto"/>
                <w:highlight w:val="none"/>
                <w:lang w:eastAsia="zh-CN"/>
              </w:rPr>
              <w:t>主</w:t>
            </w:r>
            <w:r>
              <w:rPr>
                <w:rFonts w:hint="default" w:ascii="Times New Roman" w:hAnsi="Times New Roman" w:cs="Times New Roman"/>
                <w:color w:val="auto"/>
                <w:highlight w:val="none"/>
                <w:lang w:eastAsia="zh-CN"/>
              </w:rPr>
              <w:t>要包括基础工程、主体工程、装</w:t>
            </w:r>
            <w:r>
              <w:rPr>
                <w:rFonts w:hint="eastAsia" w:ascii="Times New Roman" w:hAnsi="Times New Roman" w:cs="Times New Roman"/>
                <w:color w:val="auto"/>
                <w:highlight w:val="none"/>
                <w:lang w:eastAsia="zh-CN"/>
              </w:rPr>
              <w:t>饰</w:t>
            </w:r>
            <w:r>
              <w:rPr>
                <w:rFonts w:hint="default" w:ascii="Times New Roman" w:hAnsi="Times New Roman" w:cs="Times New Roman"/>
                <w:color w:val="auto"/>
                <w:highlight w:val="none"/>
                <w:lang w:eastAsia="zh-CN"/>
              </w:rPr>
              <w:t>工程、设备安装、工程验收</w:t>
            </w:r>
            <w:r>
              <w:rPr>
                <w:rFonts w:hint="eastAsia" w:ascii="Times New Roman" w:hAnsi="Times New Roman" w:cs="Times New Roman"/>
                <w:color w:val="auto"/>
                <w:highlight w:val="none"/>
                <w:lang w:eastAsia="zh-CN"/>
              </w:rPr>
              <w:t>等</w:t>
            </w:r>
            <w:r>
              <w:rPr>
                <w:rFonts w:hint="default" w:ascii="Times New Roman" w:hAnsi="Times New Roman" w:cs="Times New Roman"/>
                <w:color w:val="auto"/>
                <w:highlight w:val="none"/>
                <w:lang w:eastAsia="zh-CN"/>
              </w:rPr>
              <w:t>各个环节，其中</w:t>
            </w:r>
            <w:r>
              <w:rPr>
                <w:rFonts w:hint="eastAsia" w:ascii="Times New Roman" w:hAnsi="Times New Roman" w:cs="Times New Roman"/>
                <w:color w:val="auto"/>
                <w:highlight w:val="none"/>
                <w:lang w:eastAsia="zh-CN"/>
              </w:rPr>
              <w:t>基础工程、主体工程、装饰工程会产生废水、废气、噪声、固废，设备安装会产生噪声和固废，工程验收会产生固废。施工期工艺流程及产污节点见</w:t>
            </w:r>
            <w:r>
              <w:rPr>
                <w:rFonts w:hint="eastAsia" w:cs="Times New Roman"/>
                <w:color w:val="auto"/>
                <w:highlight w:val="none"/>
                <w:lang w:val="en-US" w:eastAsia="zh-CN"/>
              </w:rPr>
              <w:t>图7</w:t>
            </w:r>
            <w:r>
              <w:rPr>
                <w:rFonts w:hint="eastAsia" w:ascii="Times New Roman" w:hAnsi="Times New Roman" w:cs="Times New Roman"/>
                <w:color w:val="auto"/>
                <w:highlight w:val="none"/>
                <w:lang w:eastAsia="zh-CN"/>
              </w:rPr>
              <w:t>所示。</w:t>
            </w:r>
          </w:p>
          <w:p w14:paraId="0A842DB4">
            <w:pPr>
              <w:keepNext w:val="0"/>
              <w:keepLines w:val="0"/>
              <w:pageBreakBefore w:val="0"/>
              <w:kinsoku/>
              <w:wordWrap/>
              <w:overflowPunct/>
              <w:topLinePunct w:val="0"/>
              <w:autoSpaceDE w:val="0"/>
              <w:bidi w:val="0"/>
              <w:adjustRightInd w:val="0"/>
              <w:snapToGrid w:val="0"/>
              <w:spacing w:line="360" w:lineRule="auto"/>
              <w:textAlignment w:val="baseline"/>
              <w:rPr>
                <w:rFonts w:hint="default" w:ascii="Times New Roman" w:hAnsi="Times New Roman" w:cs="Times New Roman"/>
                <w:b/>
                <w:bCs/>
                <w:color w:val="auto"/>
                <w:highlight w:val="none"/>
                <w:lang w:val="en-US" w:eastAsia="zh-CN"/>
              </w:rPr>
            </w:pPr>
            <w:r>
              <w:rPr>
                <w:rFonts w:hint="eastAsia" w:cs="Times New Roman"/>
                <w:b/>
                <w:bCs/>
                <w:color w:val="auto"/>
                <w:highlight w:val="none"/>
                <w:lang w:val="en-US" w:eastAsia="zh-CN"/>
              </w:rPr>
              <w:t>二、</w:t>
            </w:r>
            <w:r>
              <w:rPr>
                <w:rFonts w:hint="default" w:ascii="Times New Roman" w:hAnsi="Times New Roman" w:cs="Times New Roman"/>
                <w:b/>
                <w:bCs/>
                <w:color w:val="auto"/>
                <w:highlight w:val="none"/>
                <w:lang w:val="en-US" w:eastAsia="zh-CN"/>
              </w:rPr>
              <w:t>运营期工艺流程及产污环节图</w:t>
            </w:r>
          </w:p>
          <w:p w14:paraId="177BFE9B">
            <w:pPr>
              <w:keepNext w:val="0"/>
              <w:keepLines w:val="0"/>
              <w:pageBreakBefore w:val="0"/>
              <w:kinsoku/>
              <w:wordWrap/>
              <w:overflowPunct/>
              <w:topLinePunct w:val="0"/>
              <w:autoSpaceDE w:val="0"/>
              <w:bidi w:val="0"/>
              <w:adjustRightInd w:val="0"/>
              <w:snapToGrid w:val="0"/>
              <w:spacing w:line="360" w:lineRule="auto"/>
              <w:textAlignment w:val="baseline"/>
              <w:rPr>
                <w:rFonts w:hint="default" w:ascii="Times New Roman" w:hAnsi="Times New Roman" w:cs="Times New Roman"/>
                <w:b/>
                <w:bCs/>
                <w:color w:val="auto"/>
                <w:highlight w:val="none"/>
                <w:lang w:val="en-US" w:eastAsia="zh-CN"/>
              </w:rPr>
            </w:pPr>
            <w:r>
              <w:rPr>
                <w:rFonts w:hint="eastAsia" w:cs="Times New Roman"/>
                <w:b/>
                <w:bCs/>
                <w:color w:val="auto"/>
                <w:highlight w:val="none"/>
                <w:lang w:val="en-US" w:eastAsia="zh-CN"/>
              </w:rPr>
              <w:t>1、果品分选工艺流程</w:t>
            </w:r>
          </w:p>
          <w:p w14:paraId="4EDD3724">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eastAsia" w:cs="Times New Roman"/>
                <w:color w:val="auto"/>
                <w:highlight w:val="none"/>
                <w:lang w:val="en-US" w:eastAsia="zh-CN"/>
              </w:rPr>
            </w:pPr>
            <w:r>
              <w:rPr>
                <w:rFonts w:hint="default" w:ascii="Times New Roman" w:hAnsi="Times New Roman" w:cs="Times New Roman"/>
                <w:color w:val="auto"/>
                <w:highlight w:val="none"/>
                <w:lang w:val="en-US" w:eastAsia="zh-CN"/>
              </w:rPr>
              <w:t>本项目产品为</w:t>
            </w:r>
            <w:r>
              <w:rPr>
                <w:rFonts w:hint="eastAsia" w:cs="Times New Roman"/>
                <w:color w:val="auto"/>
                <w:highlight w:val="none"/>
                <w:lang w:val="en-US" w:eastAsia="zh-CN"/>
              </w:rPr>
              <w:t>分级后的果品</w:t>
            </w:r>
            <w:r>
              <w:rPr>
                <w:rFonts w:hint="default" w:ascii="Times New Roman" w:hAnsi="Times New Roman" w:cs="Times New Roman"/>
                <w:color w:val="auto"/>
                <w:highlight w:val="none"/>
                <w:lang w:val="en-US" w:eastAsia="zh-CN"/>
              </w:rPr>
              <w:t>。</w:t>
            </w:r>
          </w:p>
          <w:p w14:paraId="45686D7A">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1）原料果预冷和储存。新采收不能及时分选和加工的梨等水果，存入已建成的保鲜库。秋月梨贮藏温度为 0℃-1℃，相对湿度应保持在 90%–95%，其他水果根据具体品类和成熟度确定具体的贮藏环境条件。</w:t>
            </w:r>
          </w:p>
          <w:p w14:paraId="2D64CD27">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2</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果品分选。按运营企业的果品分等分级标准，在智能分选机上进行分级，按糖度、重量、外观瑕疵等要求进行分选。</w:t>
            </w:r>
          </w:p>
          <w:p w14:paraId="07ECCADF">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3）包装。短期内不能销售或者加工的果品采用周转塑料筐包装，商品销售的果品按礼盒包装或者塑料筐减损包装。</w:t>
            </w:r>
          </w:p>
          <w:p w14:paraId="111F3D36">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b/>
                <w:bCs/>
                <w:color w:val="auto"/>
                <w:highlight w:val="none"/>
                <w:lang w:val="en-US" w:eastAsia="zh-CN"/>
              </w:rPr>
            </w:pP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4）贮藏。短期不能销售的果品存入保鲜库，贮藏条件按对应的果品要求。根据加工及销售的要求，及时出库。</w:t>
            </w:r>
          </w:p>
          <w:p w14:paraId="4D9E22E2">
            <w:pPr>
              <w:keepNext w:val="0"/>
              <w:keepLines w:val="0"/>
              <w:pageBreakBefore w:val="0"/>
              <w:kinsoku/>
              <w:wordWrap/>
              <w:overflowPunct/>
              <w:topLinePunct w:val="0"/>
              <w:autoSpaceDE w:val="0"/>
              <w:bidi w:val="0"/>
              <w:adjustRightInd w:val="0"/>
              <w:snapToGrid w:val="0"/>
              <w:spacing w:line="360" w:lineRule="auto"/>
              <w:textAlignment w:val="baseline"/>
              <w:rPr>
                <w:rFonts w:hint="default" w:cs="Times New Roman"/>
                <w:b/>
                <w:bCs/>
                <w:color w:val="auto"/>
                <w:highlight w:val="none"/>
                <w:lang w:val="en-US" w:eastAsia="zh-CN"/>
              </w:rPr>
            </w:pPr>
            <w:r>
              <w:rPr>
                <w:rFonts w:hint="eastAsia" w:cs="Times New Roman"/>
                <w:b/>
                <w:bCs/>
                <w:color w:val="auto"/>
                <w:highlight w:val="none"/>
                <w:lang w:val="en-US" w:eastAsia="zh-CN"/>
              </w:rPr>
              <w:t>2、NFC 果汁工艺流程及产污环节图</w:t>
            </w:r>
          </w:p>
          <w:p w14:paraId="7D3E0E7A">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本项目产品为NFC果汁原汁，运营期工艺流程及产污环节见下图。</w:t>
            </w:r>
          </w:p>
          <w:p w14:paraId="27D9EC39">
            <w:pPr>
              <w:keepNext w:val="0"/>
              <w:keepLines w:val="0"/>
              <w:pageBreakBefore w:val="0"/>
              <w:kinsoku/>
              <w:wordWrap/>
              <w:overflowPunct/>
              <w:topLinePunct w:val="0"/>
              <w:autoSpaceDE w:val="0"/>
              <w:bidi w:val="0"/>
              <w:adjustRightInd w:val="0"/>
              <w:snapToGrid w:val="0"/>
              <w:spacing w:line="360" w:lineRule="auto"/>
              <w:textAlignment w:val="baseline"/>
              <w:rPr>
                <w:rFonts w:hint="default" w:ascii="Times New Roman" w:hAnsi="Times New Roman" w:eastAsia="宋体" w:cs="Times New Roman"/>
                <w:color w:val="auto"/>
                <w:kern w:val="2"/>
                <w:sz w:val="24"/>
                <w:szCs w:val="24"/>
                <w:highlight w:val="none"/>
                <w:lang w:val="en-US" w:eastAsia="zh-CN" w:bidi="ar-SA"/>
              </w:rPr>
            </w:pPr>
            <w:r>
              <w:drawing>
                <wp:inline distT="0" distB="0" distL="114300" distR="114300">
                  <wp:extent cx="5429250" cy="1490980"/>
                  <wp:effectExtent l="0" t="0" r="11430" b="2540"/>
                  <wp:docPr id="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pic:cNvPicPr>
                            <a:picLocks noChangeAspect="1"/>
                          </pic:cNvPicPr>
                        </pic:nvPicPr>
                        <pic:blipFill>
                          <a:blip r:embed="rId18"/>
                          <a:stretch>
                            <a:fillRect/>
                          </a:stretch>
                        </pic:blipFill>
                        <pic:spPr>
                          <a:xfrm>
                            <a:off x="0" y="0"/>
                            <a:ext cx="5429250" cy="1490980"/>
                          </a:xfrm>
                          <a:prstGeom prst="rect">
                            <a:avLst/>
                          </a:prstGeom>
                          <a:noFill/>
                          <a:ln>
                            <a:noFill/>
                          </a:ln>
                        </pic:spPr>
                      </pic:pic>
                    </a:graphicData>
                  </a:graphic>
                </wp:inline>
              </w:drawing>
            </w:r>
          </w:p>
          <w:p w14:paraId="7BBE033B">
            <w:pPr>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
                <w:bCs/>
                <w:color w:val="auto"/>
                <w:spacing w:val="-3"/>
                <w:highlight w:val="none"/>
              </w:rPr>
              <w:t>本项目工艺流程及产污环节图</w:t>
            </w:r>
          </w:p>
          <w:p w14:paraId="40ADC896">
            <w:pPr>
              <w:keepNext w:val="0"/>
              <w:keepLines w:val="0"/>
              <w:pageBreakBefore w:val="0"/>
              <w:kinsoku/>
              <w:wordWrap/>
              <w:overflowPunct/>
              <w:topLinePunct w:val="0"/>
              <w:autoSpaceDE w:val="0"/>
              <w:bidi w:val="0"/>
              <w:adjustRightInd w:val="0"/>
              <w:snapToGrid w:val="0"/>
              <w:spacing w:line="360" w:lineRule="auto"/>
              <w:ind w:firstLine="482" w:firstLineChars="200"/>
              <w:textAlignment w:val="baseline"/>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工艺流程概述：</w:t>
            </w:r>
          </w:p>
          <w:p w14:paraId="3E8D0846">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NFC 果汁工艺流程</w:t>
            </w:r>
          </w:p>
          <w:p w14:paraId="570096A2">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原料验收→原料前处理（清洗、分拣、破碎/提取）→半成品制备→无菌灌装区，灌装封口→灭菌/除菌处理→外包装→成品检验→入库储存</w:t>
            </w:r>
          </w:p>
          <w:p w14:paraId="6DA8545D">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（一）原料验收与预处理</w:t>
            </w:r>
          </w:p>
          <w:p w14:paraId="73CA0CA9">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原料验收：进厂原料需查验产地证明、农残检测报告，逐批抽检可溶性固形物、腐烂率，不合格原料直接拒收，杜绝劣质原料进入生产线。</w:t>
            </w:r>
          </w:p>
          <w:p w14:paraId="045BA458">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（2）</w:t>
            </w:r>
            <w:r>
              <w:rPr>
                <w:rFonts w:hint="default" w:ascii="Times New Roman" w:hAnsi="Times New Roman" w:cs="Times New Roman"/>
                <w:color w:val="auto"/>
                <w:highlight w:val="none"/>
                <w:lang w:val="en-US" w:eastAsia="zh-CN"/>
              </w:rPr>
              <w:t>挑选分级：人工+机械联合挑选，去除腐烂果、病虫果、畸形果及枝叶、</w:t>
            </w:r>
          </w:p>
          <w:p w14:paraId="274C556A">
            <w:pPr>
              <w:keepNext w:val="0"/>
              <w:keepLines w:val="0"/>
              <w:pageBreakBefore w:val="0"/>
              <w:kinsoku/>
              <w:wordWrap/>
              <w:overflowPunct/>
              <w:topLinePunct w:val="0"/>
              <w:autoSpaceDE w:val="0"/>
              <w:bidi w:val="0"/>
              <w:adjustRightInd w:val="0"/>
              <w:snapToGrid w:val="0"/>
              <w:spacing w:line="360" w:lineRule="auto"/>
              <w:ind w:firstLine="0" w:firstLineChars="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泥沙等杂质，按成熟度、大小分级，保证后续加工均匀性。</w:t>
            </w:r>
          </w:p>
          <w:p w14:paraId="73193A62">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（3）</w:t>
            </w:r>
            <w:r>
              <w:rPr>
                <w:rFonts w:hint="default" w:ascii="Times New Roman" w:hAnsi="Times New Roman" w:cs="Times New Roman"/>
                <w:color w:val="auto"/>
                <w:highlight w:val="none"/>
                <w:lang w:val="en-US" w:eastAsia="zh-CN"/>
              </w:rPr>
              <w:t>清洗消毒：采用两级清洗工艺，先经浮洗池浸泡去除表面泥沙，再经毛刷清洗机深度清洗，最后用食品级次氯酸钠溶液（浓度50-100mg/L）浸泡消毒，清水冲洗残留消毒液，彻底去除原料表面农残、微生物及杂质。</w:t>
            </w:r>
          </w:p>
          <w:p w14:paraId="1A799133">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（二）破碎与护色</w:t>
            </w:r>
          </w:p>
          <w:p w14:paraId="3EF92E71">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破碎处理：采用锤式破碎机，将清洗后的鲜果破碎成3-5mm果肉颗粒，破碎温度控制在15℃以下，避免破碎过程升温导致果汁氧化褐变。</w:t>
            </w:r>
          </w:p>
          <w:p w14:paraId="4D4E936F">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（2）</w:t>
            </w:r>
            <w:r>
              <w:rPr>
                <w:rFonts w:hint="default" w:ascii="Times New Roman" w:hAnsi="Times New Roman" w:cs="Times New Roman"/>
                <w:color w:val="auto"/>
                <w:highlight w:val="none"/>
                <w:lang w:val="en-US" w:eastAsia="zh-CN"/>
              </w:rPr>
              <w:t>护色处理：破碎后加入食品级VC+柠檬酸复合护色液（VC浓度0.03%、柠檬酸浓度0.06%），快速搅拌均匀，抑制多酚氧化酶活性，防止果汁褐变，保持天然色泽，护色时间5分钟。</w:t>
            </w:r>
          </w:p>
          <w:p w14:paraId="566239C4">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（三）榨汁与粗滤</w:t>
            </w:r>
          </w:p>
          <w:p w14:paraId="2C86E359">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榨汁工艺：选用带式榨汁机，转速≤50rpm，采用低温慢榨技术，避免榨汁产生高温氧化，榨汁温度控制在20℃以下，梨出汁率≥75%，苹果出汁率≥70%，最大限度提取鲜果汁液。</w:t>
            </w:r>
          </w:p>
          <w:p w14:paraId="7F5F4BC0">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（2）</w:t>
            </w:r>
            <w:r>
              <w:rPr>
                <w:rFonts w:hint="default" w:ascii="Times New Roman" w:hAnsi="Times New Roman" w:cs="Times New Roman"/>
                <w:color w:val="auto"/>
                <w:highlight w:val="none"/>
                <w:lang w:val="en-US" w:eastAsia="zh-CN"/>
              </w:rPr>
              <w:t>粗滤处理：榨汁后通过滤网进行粗滤，去除果汁中的果肉残渣、果籽、果皮碎屑等大颗粒杂质，得到初步澄清的果汁，减少后续精制压力。</w:t>
            </w:r>
          </w:p>
          <w:p w14:paraId="50687FF0">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（四）固形物分离</w:t>
            </w:r>
          </w:p>
          <w:p w14:paraId="23288D46">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果肉处理：采用离心过滤（4500r/min），彻底去除果汁中的微小固形物、胶体物质，得到清澈透亮、无杂质的原汁。</w:t>
            </w:r>
          </w:p>
          <w:p w14:paraId="328D5945">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（五）均质</w:t>
            </w:r>
          </w:p>
          <w:p w14:paraId="45D5C13A">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高压均质处理：脱气后通过高压均质机进行均质，均质压力20-25MPa，使果汁中剩余的微小颗粒进一步细化，提升果汁口感顺滑度，保证成品均匀稳定，不分层、无沉淀。</w:t>
            </w:r>
          </w:p>
          <w:p w14:paraId="030B86BD">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六</w:t>
            </w:r>
            <w:r>
              <w:rPr>
                <w:rFonts w:hint="default" w:ascii="Times New Roman" w:hAnsi="Times New Roman" w:cs="Times New Roman"/>
                <w:color w:val="auto"/>
                <w:highlight w:val="none"/>
                <w:lang w:val="en-US" w:eastAsia="zh-CN"/>
              </w:rPr>
              <w:t>）杀菌</w:t>
            </w:r>
          </w:p>
          <w:p w14:paraId="207649C3">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采用管式杀菌机，高温瞬时杀菌（HTST）技术，杀菌温度95-120℃,杀菌时间15-30秒，快速杀灭果汁中的致病菌、霉菌、酵母菌等有害微生物，同时钝化氧化酶、果胶酶等活性酶，避免果汁变质、褐变；全程低温瞬时处理，最大程度保留鲜果天然风味与营养。</w:t>
            </w:r>
          </w:p>
          <w:p w14:paraId="0049F1A8">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七</w:t>
            </w:r>
            <w:r>
              <w:rPr>
                <w:rFonts w:hint="default" w:ascii="Times New Roman" w:hAnsi="Times New Roman" w:cs="Times New Roman"/>
                <w:color w:val="auto"/>
                <w:highlight w:val="none"/>
                <w:lang w:val="en-US" w:eastAsia="zh-CN"/>
              </w:rPr>
              <w:t>）无菌灌装</w:t>
            </w:r>
          </w:p>
          <w:p w14:paraId="1656C3B1">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1.无菌灌装：杀菌后的果汁降温至25℃以下，在万级无菌洁净灌装车间内，采用无菌灌装机进行灌装、密封，包装材料提前进行无菌消毒，杜绝二次污染</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本次灌装分为大桶200KG的无菌灌装和PET瓶小瓶自动化灌装</w:t>
            </w:r>
          </w:p>
          <w:p w14:paraId="606957C9">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大桶灌装工艺：上桶-放置无菌袋-灌装-封口-安装桶盖-打码标记-检查登记-入库；设备配有无菌室，无菌袋子拔盖、灌装及封盖均在无菌环境下进行；</w:t>
            </w:r>
          </w:p>
          <w:p w14:paraId="77FD421A">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小瓶灌装工艺：上瓶-洗瓶灌装旋盖三连机-喷淋隧道巴氏杀菌机-吹干瓶身机-不干胶贴标机-激光打码机-装箱-封箱机-打包机打包-入库；</w:t>
            </w:r>
          </w:p>
          <w:p w14:paraId="2ED61920">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2.冷却处理：灌装完成后，通过喷淋冷却机快速将果汁温度降至10℃以下，减少高温对果汁品质的影响，保持果汁新鲜度。</w:t>
            </w:r>
          </w:p>
          <w:p w14:paraId="38B13461">
            <w:pPr>
              <w:keepNext w:val="0"/>
              <w:keepLines w:val="0"/>
              <w:pageBreakBefore w:val="0"/>
              <w:kinsoku/>
              <w:wordWrap/>
              <w:overflowPunct/>
              <w:topLinePunct w:val="0"/>
              <w:autoSpaceDE w:val="0"/>
              <w:bidi w:val="0"/>
              <w:adjustRightInd w:val="0"/>
              <w:snapToGrid w:val="0"/>
              <w:spacing w:line="360" w:lineRule="auto"/>
              <w:ind w:firstLine="482" w:firstLineChars="200"/>
              <w:textAlignment w:val="baseline"/>
              <w:rPr>
                <w:rFonts w:hint="default"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2、</w:t>
            </w:r>
            <w:r>
              <w:rPr>
                <w:rFonts w:hint="default" w:ascii="Times New Roman" w:hAnsi="Times New Roman" w:cs="Times New Roman"/>
                <w:b/>
                <w:bCs/>
                <w:color w:val="auto"/>
                <w:highlight w:val="none"/>
                <w:lang w:val="en-US" w:eastAsia="zh-CN"/>
              </w:rPr>
              <w:t>主要污染工序</w:t>
            </w:r>
          </w:p>
          <w:p w14:paraId="4D114572">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（1）废气</w:t>
            </w:r>
          </w:p>
          <w:p w14:paraId="642FE7C5">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本项目运营期产生的废气主要为</w:t>
            </w:r>
            <w:r>
              <w:rPr>
                <w:rFonts w:hint="eastAsia" w:cs="Times New Roman"/>
                <w:color w:val="auto"/>
                <w:highlight w:val="none"/>
                <w:lang w:val="en-US" w:eastAsia="zh-CN"/>
              </w:rPr>
              <w:t>燃气锅炉</w:t>
            </w:r>
            <w:r>
              <w:rPr>
                <w:rFonts w:hint="default" w:ascii="Times New Roman" w:hAnsi="Times New Roman" w:cs="Times New Roman"/>
                <w:color w:val="auto"/>
                <w:highlight w:val="none"/>
                <w:lang w:val="en-US" w:eastAsia="zh-CN"/>
              </w:rPr>
              <w:t>废气。</w:t>
            </w:r>
          </w:p>
          <w:p w14:paraId="56E01543">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（2）废水</w:t>
            </w:r>
          </w:p>
          <w:p w14:paraId="6A4E80D2">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本项目废水主要为原料清洗废水、设备清洗废水、RO水制备浓水、循环冷却排污水。主要污染物为pH、COD、氨氮、SS、溶解性总固体等。</w:t>
            </w:r>
          </w:p>
          <w:p w14:paraId="03D5D7EB">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（3）噪声</w:t>
            </w:r>
          </w:p>
          <w:p w14:paraId="0FA5045D">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本项目噪声源主要为风机、冷却塔</w:t>
            </w:r>
            <w:r>
              <w:rPr>
                <w:rFonts w:hint="eastAsia" w:cs="Times New Roman"/>
                <w:color w:val="auto"/>
                <w:highlight w:val="none"/>
                <w:lang w:val="en-US" w:eastAsia="zh-CN"/>
              </w:rPr>
              <w:t>、破碎机等</w:t>
            </w:r>
            <w:r>
              <w:rPr>
                <w:rFonts w:hint="default" w:ascii="Times New Roman" w:hAnsi="Times New Roman" w:cs="Times New Roman"/>
                <w:color w:val="auto"/>
                <w:highlight w:val="none"/>
                <w:lang w:val="en-US" w:eastAsia="zh-CN"/>
              </w:rPr>
              <w:t>生产设备运行产生的噪声，噪声源强大约为70-90dB(A)。</w:t>
            </w:r>
          </w:p>
          <w:p w14:paraId="295DCC79">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（4）固废</w:t>
            </w:r>
          </w:p>
          <w:p w14:paraId="303A5F7E">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spacing w:val="-2"/>
                <w:highlight w:val="none"/>
                <w:lang w:val="en-US" w:eastAsia="zh-CN"/>
              </w:rPr>
            </w:pPr>
            <w:r>
              <w:rPr>
                <w:rFonts w:hint="default" w:ascii="Times New Roman" w:hAnsi="Times New Roman" w:cs="Times New Roman"/>
                <w:color w:val="auto"/>
                <w:highlight w:val="none"/>
                <w:lang w:val="en-US" w:eastAsia="zh-CN"/>
              </w:rPr>
              <w:t>本项目产生的固废主要包括：生活垃圾；一般工业固废：废包装材料、坏果及果渣、不合格品；危险废物：废试剂瓶、实验废物、废清洗剂包装。</w:t>
            </w:r>
          </w:p>
        </w:tc>
      </w:tr>
      <w:tr w14:paraId="41E99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500" w:type="dxa"/>
            <w:vAlign w:val="center"/>
          </w:tcPr>
          <w:p w14:paraId="790A1C59">
            <w:pPr>
              <w:pStyle w:val="26"/>
              <w:keepNext w:val="0"/>
              <w:keepLines w:val="0"/>
              <w:pageBreakBefore w:val="0"/>
              <w:kinsoku/>
              <w:wordWrap/>
              <w:overflowPunct/>
              <w:topLinePunct w:val="0"/>
              <w:bidi w:val="0"/>
              <w:adjustRightInd w:val="0"/>
              <w:snapToGrid w:val="0"/>
              <w:spacing w:before="0" w:beforeAutospacing="0" w:after="0" w:afterAutospacing="0"/>
              <w:rPr>
                <w:rFonts w:hint="default" w:ascii="Times New Roman" w:hAnsi="Times New Roman" w:cs="Times New Roman"/>
                <w:color w:val="auto"/>
                <w:szCs w:val="24"/>
                <w:highlight w:val="none"/>
              </w:rPr>
            </w:pPr>
            <w:r>
              <w:rPr>
                <w:rFonts w:hint="default" w:ascii="Times New Roman" w:hAnsi="Times New Roman" w:cs="Times New Roman"/>
                <w:color w:val="auto"/>
                <w:highlight w:val="none"/>
              </w:rPr>
              <w:t>总平面布置</w:t>
            </w:r>
          </w:p>
        </w:tc>
        <w:tc>
          <w:tcPr>
            <w:tcW w:w="8560" w:type="dxa"/>
          </w:tcPr>
          <w:p w14:paraId="6369218B">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szCs w:val="20"/>
                <w:highlight w:val="none"/>
              </w:rPr>
            </w:pPr>
            <w:r>
              <w:rPr>
                <w:rFonts w:hint="default" w:ascii="Times New Roman" w:hAnsi="Times New Roman" w:cs="Times New Roman"/>
                <w:color w:val="auto"/>
                <w:szCs w:val="20"/>
                <w:highlight w:val="none"/>
              </w:rPr>
              <w:t>本工程采用</w:t>
            </w:r>
            <w:r>
              <w:rPr>
                <w:rFonts w:hint="eastAsia" w:cs="Times New Roman"/>
                <w:color w:val="auto"/>
                <w:szCs w:val="20"/>
                <w:highlight w:val="none"/>
                <w:lang w:val="en-US" w:eastAsia="zh-CN"/>
              </w:rPr>
              <w:t>改扩建</w:t>
            </w:r>
            <w:r>
              <w:rPr>
                <w:rFonts w:hint="default" w:ascii="Times New Roman" w:hAnsi="Times New Roman" w:cs="Times New Roman"/>
                <w:color w:val="auto"/>
                <w:szCs w:val="20"/>
                <w:highlight w:val="none"/>
              </w:rPr>
              <w:t>的工程建设模式，已建成的园区基础设施（给水管网、排水管网、消防水池、消防水泵房、消防控制室、变配电设施等）作为本项目的依托条件。通过新建1栋NFC果汁生产车间及冷库（2148.23㎡）、改造原有烘干厂房部分区域为果品分选车间（601.19㎡），并配套建设室外给排水管网、消防管网、燃气管网、电力管网、道路、围墙及大门等附属设施，满足果品分选及NFC果汁生产加工功能需求。</w:t>
            </w:r>
          </w:p>
          <w:p w14:paraId="0B8CD122">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szCs w:val="20"/>
                <w:highlight w:val="none"/>
              </w:rPr>
            </w:pPr>
            <w:r>
              <w:rPr>
                <w:rFonts w:hint="default" w:ascii="Times New Roman" w:hAnsi="Times New Roman" w:cs="Times New Roman"/>
                <w:color w:val="auto"/>
                <w:szCs w:val="20"/>
                <w:highlight w:val="none"/>
              </w:rPr>
              <w:t>灌区内共布置新建单体建筑1栋（生产车间及冷库）、改造建筑1栋（烘干厂房局部改造），配套建设室外管线系统及道路系统。新建生产车间内设3间速冻库、3间低温冷冻储藏库及3</w:t>
            </w:r>
            <w:r>
              <w:rPr>
                <w:rFonts w:hint="eastAsia" w:cs="Times New Roman"/>
                <w:color w:val="auto"/>
                <w:szCs w:val="20"/>
                <w:highlight w:val="none"/>
                <w:lang w:eastAsia="zh-CN"/>
              </w:rPr>
              <w:t>t/h</w:t>
            </w:r>
            <w:r>
              <w:rPr>
                <w:rFonts w:hint="default" w:ascii="Times New Roman" w:hAnsi="Times New Roman" w:cs="Times New Roman"/>
                <w:color w:val="auto"/>
                <w:szCs w:val="20"/>
                <w:highlight w:val="none"/>
              </w:rPr>
              <w:t>NFC果汁生产线，改造车间配置6</w:t>
            </w:r>
            <w:r>
              <w:rPr>
                <w:rFonts w:hint="eastAsia" w:cs="Times New Roman"/>
                <w:color w:val="auto"/>
                <w:szCs w:val="20"/>
                <w:highlight w:val="none"/>
                <w:lang w:eastAsia="zh-CN"/>
              </w:rPr>
              <w:t>t/h</w:t>
            </w:r>
            <w:r>
              <w:rPr>
                <w:rFonts w:hint="default" w:ascii="Times New Roman" w:hAnsi="Times New Roman" w:cs="Times New Roman"/>
                <w:color w:val="auto"/>
                <w:szCs w:val="20"/>
                <w:highlight w:val="none"/>
              </w:rPr>
              <w:t>高速果品分选线1条。</w:t>
            </w:r>
          </w:p>
          <w:p w14:paraId="3EC1E25E">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kern w:val="0"/>
                <w:highlight w:val="none"/>
              </w:rPr>
            </w:pPr>
            <w:r>
              <w:rPr>
                <w:rFonts w:hint="default" w:ascii="Times New Roman" w:hAnsi="Times New Roman" w:cs="Times New Roman"/>
                <w:color w:val="auto"/>
                <w:szCs w:val="20"/>
                <w:highlight w:val="none"/>
              </w:rPr>
              <w:t>工程布设详见工程总平面布置图（附图</w:t>
            </w:r>
            <w:r>
              <w:rPr>
                <w:rFonts w:hint="eastAsia" w:cs="Times New Roman"/>
                <w:color w:val="auto"/>
                <w:szCs w:val="20"/>
                <w:highlight w:val="none"/>
                <w:lang w:val="en-US" w:eastAsia="zh-CN"/>
              </w:rPr>
              <w:t>7</w:t>
            </w:r>
            <w:r>
              <w:rPr>
                <w:rFonts w:hint="default" w:ascii="Times New Roman" w:hAnsi="Times New Roman" w:cs="Times New Roman"/>
                <w:color w:val="auto"/>
                <w:szCs w:val="20"/>
                <w:highlight w:val="none"/>
              </w:rPr>
              <w:t>）。</w:t>
            </w:r>
          </w:p>
        </w:tc>
      </w:tr>
      <w:tr w14:paraId="7BCABD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00" w:type="dxa"/>
            <w:vAlign w:val="center"/>
          </w:tcPr>
          <w:p w14:paraId="0FE49AC0">
            <w:pPr>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cs="Times New Roman"/>
                <w:color w:val="auto"/>
                <w:highlight w:val="none"/>
              </w:rPr>
            </w:pPr>
            <w:r>
              <w:rPr>
                <w:rFonts w:hint="default" w:ascii="Times New Roman" w:hAnsi="Times New Roman" w:cs="Times New Roman"/>
                <w:bCs/>
                <w:color w:val="auto"/>
                <w:kern w:val="0"/>
                <w:highlight w:val="none"/>
              </w:rPr>
              <w:t>与项目有关的原有环境污染和生态破坏问题</w:t>
            </w:r>
          </w:p>
        </w:tc>
        <w:tc>
          <w:tcPr>
            <w:tcW w:w="8560" w:type="dxa"/>
            <w:vAlign w:val="center"/>
          </w:tcPr>
          <w:p w14:paraId="2A4DBA57">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szCs w:val="20"/>
                <w:highlight w:val="none"/>
              </w:rPr>
            </w:pPr>
            <w:r>
              <w:rPr>
                <w:rFonts w:hint="default" w:ascii="Times New Roman" w:hAnsi="Times New Roman" w:cs="Times New Roman"/>
                <w:color w:val="auto"/>
                <w:szCs w:val="20"/>
                <w:highlight w:val="none"/>
              </w:rPr>
              <w:t>本项目为新建项目，拟建厂址位于民丰产业园内。经现场踏勘及资料核实，项目</w:t>
            </w:r>
            <w:r>
              <w:rPr>
                <w:rFonts w:hint="eastAsia" w:cs="Times New Roman"/>
                <w:color w:val="auto"/>
                <w:szCs w:val="20"/>
                <w:highlight w:val="none"/>
                <w:lang w:val="en-US" w:eastAsia="zh-CN"/>
              </w:rPr>
              <w:t>厂区内已建成一期工程。</w:t>
            </w:r>
          </w:p>
          <w:p w14:paraId="3DC74850">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eastAsia" w:cs="Times New Roman"/>
                <w:color w:val="auto"/>
                <w:szCs w:val="20"/>
                <w:highlight w:val="none"/>
                <w:lang w:val="en-US" w:eastAsia="zh-CN"/>
              </w:rPr>
            </w:pPr>
            <w:r>
              <w:rPr>
                <w:rFonts w:hint="default" w:ascii="Times New Roman" w:hAnsi="Times New Roman" w:cs="Times New Roman"/>
                <w:color w:val="auto"/>
                <w:szCs w:val="20"/>
                <w:highlight w:val="none"/>
              </w:rPr>
              <w:t>一期工程已建成1栋保鲜库、1栋烘干厂房、1栋配套门卫室、1栋配套配电房及厂区消防管网。其中，烘干厂房主要用于农副产品（如羊肚菌）的烘干加工，</w:t>
            </w:r>
            <w:r>
              <w:rPr>
                <w:rFonts w:hint="eastAsia" w:cs="Times New Roman"/>
                <w:color w:val="auto"/>
                <w:szCs w:val="20"/>
                <w:highlight w:val="none"/>
                <w:lang w:val="en-US" w:eastAsia="zh-CN"/>
              </w:rPr>
              <w:t>暂未运营。</w:t>
            </w:r>
          </w:p>
          <w:p w14:paraId="1DBC01B0">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szCs w:val="20"/>
                <w:highlight w:val="none"/>
              </w:rPr>
            </w:pPr>
            <w:r>
              <w:rPr>
                <w:rFonts w:hint="default" w:ascii="Times New Roman" w:hAnsi="Times New Roman" w:cs="Times New Roman"/>
                <w:color w:val="auto"/>
                <w:szCs w:val="20"/>
                <w:highlight w:val="none"/>
              </w:rPr>
              <w:t>根据《建设项目环境影响评价分类管理名录（2021年版）》及新疆维吾尔自治区相关豁免管理清单，该烘干厂房项目属于环评豁免管理类别，无需办理环境影响评价手续，其建设及运营期间未发生环境污染事故，无环保投诉记录，不存在与本项目相关的原有环境污染和生态破坏问题。</w:t>
            </w:r>
          </w:p>
          <w:p w14:paraId="33261564">
            <w:pPr>
              <w:keepNext w:val="0"/>
              <w:keepLines w:val="0"/>
              <w:pageBreakBefore w:val="0"/>
              <w:kinsoku/>
              <w:wordWrap/>
              <w:overflowPunct/>
              <w:topLinePunct w:val="0"/>
              <w:autoSpaceDE w:val="0"/>
              <w:bidi w:val="0"/>
              <w:adjustRightInd w:val="0"/>
              <w:snapToGrid w:val="0"/>
              <w:spacing w:line="360" w:lineRule="auto"/>
              <w:ind w:firstLine="480" w:firstLineChars="200"/>
              <w:textAlignment w:val="baseline"/>
              <w:rPr>
                <w:rFonts w:hint="default" w:ascii="Times New Roman" w:hAnsi="Times New Roman" w:cs="Times New Roman"/>
                <w:color w:val="auto"/>
                <w:highlight w:val="none"/>
              </w:rPr>
            </w:pPr>
            <w:r>
              <w:rPr>
                <w:rFonts w:hint="default" w:ascii="Times New Roman" w:hAnsi="Times New Roman" w:cs="Times New Roman"/>
                <w:color w:val="auto"/>
                <w:szCs w:val="20"/>
                <w:highlight w:val="none"/>
              </w:rPr>
              <w:t>本项目利用该烘干厂房局部区域（601.19m²）进行改造，改造为果品分选车间，不改变原有厂房主体结构及使用性质，不新增用地，不涉及场地污染修复问题。</w:t>
            </w:r>
          </w:p>
        </w:tc>
      </w:tr>
    </w:tbl>
    <w:p w14:paraId="4422FBB0">
      <w:pPr>
        <w:pStyle w:val="26"/>
        <w:jc w:val="both"/>
        <w:rPr>
          <w:rFonts w:hint="default" w:ascii="Times New Roman" w:hAnsi="Times New Roman" w:cs="Times New Roman"/>
          <w:color w:val="auto"/>
          <w:highlight w:val="none"/>
        </w:rPr>
        <w:sectPr>
          <w:headerReference r:id="rId7" w:type="default"/>
          <w:pgSz w:w="11906" w:h="16838"/>
          <w:pgMar w:top="1701" w:right="1531" w:bottom="1701" w:left="1531" w:header="1247" w:footer="1474" w:gutter="0"/>
          <w:pgBorders>
            <w:top w:val="none" w:sz="0" w:space="0"/>
            <w:left w:val="none" w:sz="0" w:space="0"/>
            <w:bottom w:val="none" w:sz="0" w:space="0"/>
            <w:right w:val="none" w:sz="0" w:space="0"/>
          </w:pgBorders>
          <w:cols w:space="720" w:num="1"/>
          <w:docGrid w:linePitch="312" w:charSpace="0"/>
        </w:sectPr>
      </w:pPr>
    </w:p>
    <w:p w14:paraId="3F20F9E6">
      <w:pPr>
        <w:pStyle w:val="26"/>
        <w:rPr>
          <w:rFonts w:hint="default" w:ascii="Times New Roman" w:hAnsi="Times New Roman" w:cs="Times New Roman"/>
          <w:b/>
          <w:color w:val="auto"/>
          <w:sz w:val="32"/>
          <w:highlight w:val="none"/>
        </w:rPr>
      </w:pPr>
      <w:bookmarkStart w:id="21" w:name="_Toc27598"/>
      <w:bookmarkStart w:id="22" w:name="_Toc3692"/>
      <w:r>
        <w:rPr>
          <w:rFonts w:hint="default" w:ascii="Times New Roman" w:hAnsi="Times New Roman" w:cs="Times New Roman"/>
          <w:b/>
          <w:color w:val="auto"/>
          <w:sz w:val="32"/>
          <w:highlight w:val="none"/>
        </w:rPr>
        <w:t>三、</w:t>
      </w:r>
      <w:r>
        <w:rPr>
          <w:rFonts w:hint="default" w:ascii="Times New Roman" w:hAnsi="Times New Roman" w:cs="Times New Roman"/>
          <w:b/>
          <w:color w:val="auto"/>
          <w:sz w:val="32"/>
          <w:highlight w:val="none"/>
          <w:lang w:val="en-US" w:eastAsia="zh-CN"/>
        </w:rPr>
        <w:t>区域环境质量现状、环境</w:t>
      </w:r>
      <w:r>
        <w:rPr>
          <w:rFonts w:hint="default" w:ascii="Times New Roman" w:hAnsi="Times New Roman" w:cs="Times New Roman"/>
          <w:b/>
          <w:color w:val="auto"/>
          <w:sz w:val="32"/>
          <w:highlight w:val="none"/>
        </w:rPr>
        <w:t>保护目标及评价标准</w:t>
      </w:r>
      <w:bookmarkEnd w:id="21"/>
      <w:bookmarkEnd w:id="22"/>
    </w:p>
    <w:tbl>
      <w:tblPr>
        <w:tblStyle w:val="30"/>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8524"/>
      </w:tblGrid>
      <w:tr w14:paraId="2AEF65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89" w:type="pct"/>
            <w:vAlign w:val="center"/>
          </w:tcPr>
          <w:p w14:paraId="69FB2D6F">
            <w:pPr>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cs="Times New Roman"/>
                <w:bCs/>
                <w:color w:val="auto"/>
                <w:kern w:val="0"/>
                <w:highlight w:val="none"/>
              </w:rPr>
            </w:pPr>
            <w:r>
              <w:rPr>
                <w:rFonts w:hint="eastAsia" w:cs="Times New Roman"/>
                <w:bCs/>
                <w:color w:val="auto"/>
                <w:kern w:val="0"/>
                <w:highlight w:val="none"/>
                <w:lang w:val="en-US" w:eastAsia="zh-CN"/>
              </w:rPr>
              <w:t>区域</w:t>
            </w:r>
            <w:r>
              <w:rPr>
                <w:rFonts w:hint="default" w:ascii="Times New Roman" w:hAnsi="Times New Roman" w:cs="Times New Roman"/>
                <w:bCs/>
                <w:color w:val="auto"/>
                <w:kern w:val="0"/>
                <w:highlight w:val="none"/>
              </w:rPr>
              <w:t>环境</w:t>
            </w:r>
            <w:r>
              <w:rPr>
                <w:rFonts w:hint="eastAsia" w:cs="Times New Roman"/>
                <w:bCs/>
                <w:color w:val="auto"/>
                <w:kern w:val="0"/>
                <w:highlight w:val="none"/>
                <w:lang w:val="en-US" w:eastAsia="zh-CN"/>
              </w:rPr>
              <w:t>质量</w:t>
            </w:r>
            <w:r>
              <w:rPr>
                <w:rFonts w:hint="default" w:ascii="Times New Roman" w:hAnsi="Times New Roman" w:cs="Times New Roman"/>
                <w:bCs/>
                <w:color w:val="auto"/>
                <w:kern w:val="0"/>
                <w:highlight w:val="none"/>
              </w:rPr>
              <w:t>现状</w:t>
            </w:r>
          </w:p>
        </w:tc>
        <w:tc>
          <w:tcPr>
            <w:tcW w:w="4610" w:type="pct"/>
            <w:vAlign w:val="center"/>
          </w:tcPr>
          <w:p w14:paraId="13908F7C">
            <w:pPr>
              <w:adjustRightInd w:val="0"/>
              <w:snapToGrid w:val="0"/>
              <w:spacing w:line="360" w:lineRule="auto"/>
              <w:ind w:firstLine="482" w:firstLineChars="200"/>
              <w:rPr>
                <w:rFonts w:hint="default" w:ascii="Times New Roman" w:hAnsi="Times New Roman" w:cs="Times New Roman"/>
                <w:b/>
                <w:color w:val="auto"/>
                <w:kern w:val="0"/>
                <w:highlight w:val="none"/>
              </w:rPr>
            </w:pPr>
            <w:r>
              <w:rPr>
                <w:rFonts w:hint="default" w:ascii="Times New Roman" w:hAnsi="Times New Roman" w:cs="Times New Roman"/>
                <w:b/>
                <w:color w:val="auto"/>
                <w:kern w:val="0"/>
                <w:highlight w:val="none"/>
              </w:rPr>
              <w:t>1环境空气质量现状</w:t>
            </w:r>
          </w:p>
          <w:p w14:paraId="674B9514">
            <w:pPr>
              <w:adjustRightInd w:val="0"/>
              <w:snapToGrid w:val="0"/>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（1）数据来源</w:t>
            </w:r>
          </w:p>
          <w:p w14:paraId="43D46A17">
            <w:pPr>
              <w:adjustRightInd w:val="0"/>
              <w:snapToGrid w:val="0"/>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根据《环境影响评价技术导则大气环境》（HJ2.2-2018）要求，</w:t>
            </w:r>
            <w:bookmarkStart w:id="23" w:name="_Hlk167738592"/>
            <w:r>
              <w:rPr>
                <w:rFonts w:hint="default" w:ascii="Times New Roman" w:hAnsi="Times New Roman" w:cs="Times New Roman"/>
                <w:color w:val="auto"/>
                <w:kern w:val="0"/>
                <w:highlight w:val="none"/>
              </w:rPr>
              <w:t>选择距离本项目最近的</w:t>
            </w:r>
            <w:r>
              <w:rPr>
                <w:rFonts w:hint="default" w:ascii="Times New Roman" w:hAnsi="Times New Roman" w:cs="Times New Roman"/>
                <w:color w:val="auto"/>
                <w:kern w:val="0"/>
                <w:highlight w:val="none"/>
                <w:lang w:val="en-US" w:eastAsia="zh-CN"/>
              </w:rPr>
              <w:t>和田</w:t>
            </w:r>
            <w:r>
              <w:rPr>
                <w:rFonts w:hint="default" w:ascii="Times New Roman" w:hAnsi="Times New Roman" w:cs="Times New Roman"/>
                <w:color w:val="auto"/>
                <w:kern w:val="0"/>
                <w:highlight w:val="none"/>
              </w:rPr>
              <w:t>地区国控监测站（</w:t>
            </w:r>
            <w:r>
              <w:rPr>
                <w:rFonts w:hint="default" w:ascii="Times New Roman" w:hAnsi="Times New Roman" w:cs="Times New Roman"/>
                <w:color w:val="auto"/>
                <w:kern w:val="0"/>
                <w:highlight w:val="none"/>
                <w:lang w:val="en-US" w:eastAsia="zh-CN"/>
              </w:rPr>
              <w:t>地区环保局</w:t>
            </w:r>
            <w:r>
              <w:rPr>
                <w:rFonts w:hint="default" w:ascii="Times New Roman" w:hAnsi="Times New Roman" w:cs="Times New Roman"/>
                <w:color w:val="auto"/>
                <w:kern w:val="0"/>
                <w:highlight w:val="none"/>
              </w:rPr>
              <w:t>站点）202</w:t>
            </w:r>
            <w:r>
              <w:rPr>
                <w:rFonts w:hint="default" w:ascii="Times New Roman" w:hAnsi="Times New Roman" w:cs="Times New Roman"/>
                <w:color w:val="auto"/>
                <w:kern w:val="0"/>
                <w:highlight w:val="none"/>
                <w:lang w:val="en-US" w:eastAsia="zh-CN"/>
              </w:rPr>
              <w:t>4</w:t>
            </w:r>
            <w:r>
              <w:rPr>
                <w:rFonts w:hint="default" w:ascii="Times New Roman" w:hAnsi="Times New Roman" w:cs="Times New Roman"/>
                <w:color w:val="auto"/>
                <w:kern w:val="0"/>
                <w:highlight w:val="none"/>
              </w:rPr>
              <w:t>年的监测数据</w:t>
            </w:r>
            <w:bookmarkEnd w:id="23"/>
            <w:r>
              <w:rPr>
                <w:rFonts w:hint="default" w:ascii="Times New Roman" w:hAnsi="Times New Roman" w:cs="Times New Roman"/>
                <w:color w:val="auto"/>
                <w:kern w:val="0"/>
                <w:highlight w:val="none"/>
              </w:rPr>
              <w:t>，作为本项目环境空气现状评价基本污染物</w:t>
            </w:r>
            <w:r>
              <w:rPr>
                <w:rFonts w:hint="default" w:ascii="Times New Roman" w:hAnsi="Times New Roman" w:cs="Times New Roman"/>
                <w:color w:val="auto"/>
                <w:kern w:val="0"/>
                <w:highlight w:val="none"/>
                <w:lang w:eastAsia="zh-CN"/>
              </w:rPr>
              <w:t>SO₂</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eastAsia="zh-CN"/>
              </w:rPr>
              <w:t>NO₂</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eastAsia="zh-CN"/>
              </w:rPr>
              <w:t>PM₁₀</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eastAsia="zh-CN"/>
              </w:rPr>
              <w:t>PM₂․₅</w:t>
            </w:r>
            <w:r>
              <w:rPr>
                <w:rFonts w:hint="default" w:ascii="Times New Roman" w:hAnsi="Times New Roman" w:cs="Times New Roman"/>
                <w:color w:val="auto"/>
                <w:kern w:val="0"/>
                <w:highlight w:val="none"/>
              </w:rPr>
              <w:t>、CO和</w:t>
            </w:r>
            <w:r>
              <w:rPr>
                <w:rFonts w:hint="default" w:ascii="Times New Roman" w:hAnsi="Times New Roman" w:cs="Times New Roman"/>
                <w:color w:val="auto"/>
                <w:kern w:val="0"/>
                <w:highlight w:val="none"/>
                <w:lang w:eastAsia="zh-CN"/>
              </w:rPr>
              <w:t>O₃</w:t>
            </w:r>
            <w:r>
              <w:rPr>
                <w:rFonts w:hint="default" w:ascii="Times New Roman" w:hAnsi="Times New Roman" w:cs="Times New Roman"/>
                <w:color w:val="auto"/>
                <w:kern w:val="0"/>
                <w:highlight w:val="none"/>
              </w:rPr>
              <w:t>的数据来源。</w:t>
            </w:r>
          </w:p>
          <w:p w14:paraId="66D91081">
            <w:pPr>
              <w:adjustRightInd w:val="0"/>
              <w:snapToGrid w:val="0"/>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（2）评价标准</w:t>
            </w:r>
          </w:p>
          <w:p w14:paraId="4FFC3B9E">
            <w:pPr>
              <w:adjustRightInd w:val="0"/>
              <w:snapToGrid w:val="0"/>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基本污染物</w:t>
            </w:r>
            <w:r>
              <w:rPr>
                <w:rFonts w:hint="default" w:ascii="Times New Roman" w:hAnsi="Times New Roman" w:cs="Times New Roman"/>
                <w:color w:val="auto"/>
                <w:kern w:val="0"/>
                <w:highlight w:val="none"/>
                <w:lang w:eastAsia="zh-CN"/>
              </w:rPr>
              <w:t>SO₂</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eastAsia="zh-CN"/>
              </w:rPr>
              <w:t>NO₂</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eastAsia="zh-CN"/>
              </w:rPr>
              <w:t>PM₁₀</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eastAsia="zh-CN"/>
              </w:rPr>
              <w:t>PM₂․₅</w:t>
            </w:r>
            <w:r>
              <w:rPr>
                <w:rFonts w:hint="default" w:ascii="Times New Roman" w:hAnsi="Times New Roman" w:cs="Times New Roman"/>
                <w:color w:val="auto"/>
                <w:kern w:val="0"/>
                <w:highlight w:val="none"/>
              </w:rPr>
              <w:t>、CO和</w:t>
            </w:r>
            <w:r>
              <w:rPr>
                <w:rFonts w:hint="default" w:ascii="Times New Roman" w:hAnsi="Times New Roman" w:cs="Times New Roman"/>
                <w:color w:val="auto"/>
                <w:kern w:val="0"/>
                <w:highlight w:val="none"/>
                <w:lang w:eastAsia="zh-CN"/>
              </w:rPr>
              <w:t>O₃</w:t>
            </w:r>
            <w:r>
              <w:rPr>
                <w:rFonts w:hint="default" w:ascii="Times New Roman" w:hAnsi="Times New Roman" w:cs="Times New Roman"/>
                <w:color w:val="auto"/>
                <w:kern w:val="0"/>
                <w:highlight w:val="none"/>
              </w:rPr>
              <w:t>执行《环境空气质量标准》（GB3095-20</w:t>
            </w:r>
            <w:r>
              <w:rPr>
                <w:rFonts w:hint="eastAsia" w:cs="Times New Roman"/>
                <w:color w:val="auto"/>
                <w:kern w:val="0"/>
                <w:highlight w:val="none"/>
                <w:lang w:val="en-US" w:eastAsia="zh-CN"/>
              </w:rPr>
              <w:t>26</w:t>
            </w:r>
            <w:r>
              <w:rPr>
                <w:rFonts w:hint="default" w:ascii="Times New Roman" w:hAnsi="Times New Roman" w:cs="Times New Roman"/>
                <w:color w:val="auto"/>
                <w:kern w:val="0"/>
                <w:highlight w:val="none"/>
              </w:rPr>
              <w:t>）中</w:t>
            </w:r>
            <w:r>
              <w:rPr>
                <w:rFonts w:hint="eastAsia" w:ascii="Times New Roman" w:hAnsi="Times New Roman" w:cs="Times New Roman"/>
                <w:color w:val="auto"/>
                <w:kern w:val="0"/>
                <w:highlight w:val="none"/>
                <w:lang w:val="en-US" w:eastAsia="zh-CN"/>
              </w:rPr>
              <w:t>过渡阶段</w:t>
            </w:r>
            <w:r>
              <w:rPr>
                <w:rFonts w:hint="default" w:ascii="Times New Roman" w:hAnsi="Times New Roman" w:cs="Times New Roman"/>
                <w:color w:val="auto"/>
                <w:kern w:val="0"/>
                <w:highlight w:val="none"/>
              </w:rPr>
              <w:t>二级标准。</w:t>
            </w:r>
          </w:p>
          <w:p w14:paraId="08E676FE">
            <w:pPr>
              <w:adjustRightInd w:val="0"/>
              <w:snapToGrid w:val="0"/>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（3）评价方法</w:t>
            </w:r>
          </w:p>
          <w:p w14:paraId="6C299025">
            <w:pPr>
              <w:adjustRightInd w:val="0"/>
              <w:snapToGrid w:val="0"/>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基本污染物按照《环境空气质量评价技术规范（试行）》（HJ663-2013）中各评价项目的年评价指标进行判定。年评价指标中的年均浓度和相应百分位数24h平均或8h平均质量浓度满足《环境空气质量标准》（GB3095-20</w:t>
            </w:r>
            <w:r>
              <w:rPr>
                <w:rFonts w:hint="eastAsia" w:cs="Times New Roman"/>
                <w:color w:val="auto"/>
                <w:kern w:val="0"/>
                <w:highlight w:val="none"/>
                <w:lang w:val="en-US" w:eastAsia="zh-CN"/>
              </w:rPr>
              <w:t>26</w:t>
            </w:r>
            <w:r>
              <w:rPr>
                <w:rFonts w:hint="default" w:ascii="Times New Roman" w:hAnsi="Times New Roman" w:cs="Times New Roman"/>
                <w:color w:val="auto"/>
                <w:kern w:val="0"/>
                <w:highlight w:val="none"/>
              </w:rPr>
              <w:t>）中</w:t>
            </w:r>
            <w:r>
              <w:rPr>
                <w:rFonts w:hint="eastAsia" w:ascii="Times New Roman" w:hAnsi="Times New Roman" w:cs="Times New Roman"/>
                <w:color w:val="auto"/>
                <w:kern w:val="0"/>
                <w:highlight w:val="none"/>
                <w:lang w:val="en-US" w:eastAsia="zh-CN"/>
              </w:rPr>
              <w:t>过渡阶段</w:t>
            </w:r>
            <w:r>
              <w:rPr>
                <w:rFonts w:hint="default" w:ascii="Times New Roman" w:hAnsi="Times New Roman" w:cs="Times New Roman"/>
                <w:color w:val="auto"/>
                <w:kern w:val="0"/>
                <w:highlight w:val="none"/>
              </w:rPr>
              <w:t>二级标</w:t>
            </w:r>
            <w:r>
              <w:rPr>
                <w:rFonts w:hint="eastAsia" w:cs="Times New Roman"/>
                <w:color w:val="auto"/>
                <w:kern w:val="0"/>
                <w:highlight w:val="none"/>
                <w:lang w:val="en-US" w:eastAsia="zh-CN"/>
              </w:rPr>
              <w:t>准</w:t>
            </w:r>
            <w:r>
              <w:rPr>
                <w:rFonts w:hint="default" w:ascii="Times New Roman" w:hAnsi="Times New Roman" w:cs="Times New Roman"/>
                <w:color w:val="auto"/>
                <w:kern w:val="0"/>
                <w:highlight w:val="none"/>
              </w:rPr>
              <w:t>浓度限值要求的即为达标。对于超标的污染物，计算其超标倍数和超标率。</w:t>
            </w:r>
          </w:p>
          <w:p w14:paraId="6786DADA">
            <w:pPr>
              <w:adjustRightInd w:val="0"/>
              <w:snapToGrid w:val="0"/>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（4）基本污染物监测结果及空气质量达标区判定</w:t>
            </w:r>
          </w:p>
          <w:p w14:paraId="3C63B749">
            <w:pPr>
              <w:adjustRightInd w:val="0"/>
              <w:snapToGrid w:val="0"/>
              <w:spacing w:line="360" w:lineRule="auto"/>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项目区所在区域空气质量现状评价表见表3-1。</w:t>
            </w:r>
          </w:p>
          <w:p w14:paraId="6D4F50C5">
            <w:pPr>
              <w:pStyle w:val="7"/>
              <w:jc w:val="center"/>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rPr>
              <w:t>表3-1</w:t>
            </w:r>
            <w:r>
              <w:rPr>
                <w:rFonts w:hint="eastAsia" w:eastAsia="黑体" w:cs="Times New Roman"/>
                <w:color w:val="auto"/>
                <w:sz w:val="24"/>
                <w:szCs w:val="24"/>
                <w:highlight w:val="none"/>
                <w:lang w:val="en-US" w:eastAsia="zh-CN"/>
              </w:rPr>
              <w:t xml:space="preserve">   </w:t>
            </w:r>
            <w:r>
              <w:rPr>
                <w:rFonts w:hint="default" w:ascii="Times New Roman" w:hAnsi="Times New Roman" w:eastAsia="黑体" w:cs="Times New Roman"/>
                <w:color w:val="auto"/>
                <w:sz w:val="24"/>
                <w:szCs w:val="24"/>
                <w:highlight w:val="none"/>
              </w:rPr>
              <w:t>区域空气质量现状评价表</w:t>
            </w:r>
          </w:p>
          <w:tbl>
            <w:tblPr>
              <w:tblStyle w:val="3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657"/>
              <w:gridCol w:w="1624"/>
              <w:gridCol w:w="1483"/>
              <w:gridCol w:w="1208"/>
              <w:gridCol w:w="603"/>
              <w:gridCol w:w="911"/>
            </w:tblGrid>
            <w:tr w14:paraId="075925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shd w:val="clear" w:color="auto" w:fill="auto"/>
                  <w:vAlign w:val="center"/>
                </w:tcPr>
                <w:p w14:paraId="139DAD61">
                  <w:pPr>
                    <w:pStyle w:val="68"/>
                    <w:keepNext w:val="0"/>
                    <w:keepLines w:val="0"/>
                    <w:pageBreakBefore w:val="0"/>
                    <w:kinsoku/>
                    <w:wordWrap/>
                    <w:overflowPunct/>
                    <w:topLinePunct w:val="0"/>
                    <w:autoSpaceDE/>
                    <w:autoSpaceDN/>
                    <w:bidi w:val="0"/>
                    <w:adjustRightInd/>
                    <w:snapToGrid/>
                    <w:spacing w:line="200" w:lineRule="exact"/>
                    <w:ind w:left="0" w:lef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污染物</w:t>
                  </w:r>
                </w:p>
              </w:tc>
              <w:tc>
                <w:tcPr>
                  <w:tcW w:w="1000" w:type="pct"/>
                  <w:shd w:val="clear" w:color="auto" w:fill="auto"/>
                  <w:vAlign w:val="center"/>
                </w:tcPr>
                <w:p w14:paraId="279CA3B1">
                  <w:pPr>
                    <w:pStyle w:val="68"/>
                    <w:keepNext w:val="0"/>
                    <w:keepLines w:val="0"/>
                    <w:pageBreakBefore w:val="0"/>
                    <w:kinsoku/>
                    <w:wordWrap/>
                    <w:overflowPunct/>
                    <w:topLinePunct w:val="0"/>
                    <w:autoSpaceDE/>
                    <w:autoSpaceDN/>
                    <w:bidi w:val="0"/>
                    <w:adjustRightInd/>
                    <w:snapToGrid/>
                    <w:spacing w:line="200" w:lineRule="exact"/>
                    <w:ind w:left="0" w:lef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年评价指标</w:t>
                  </w:r>
                </w:p>
              </w:tc>
              <w:tc>
                <w:tcPr>
                  <w:tcW w:w="980" w:type="pct"/>
                  <w:shd w:val="clear" w:color="auto" w:fill="auto"/>
                  <w:vAlign w:val="center"/>
                </w:tcPr>
                <w:p w14:paraId="27B64235">
                  <w:pPr>
                    <w:pStyle w:val="68"/>
                    <w:keepNext w:val="0"/>
                    <w:keepLines w:val="0"/>
                    <w:pageBreakBefore w:val="0"/>
                    <w:kinsoku/>
                    <w:wordWrap/>
                    <w:overflowPunct/>
                    <w:topLinePunct w:val="0"/>
                    <w:autoSpaceDE/>
                    <w:autoSpaceDN/>
                    <w:bidi w:val="0"/>
                    <w:adjustRightInd/>
                    <w:snapToGrid/>
                    <w:spacing w:line="200" w:lineRule="exact"/>
                    <w:ind w:left="0" w:lef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现状浓度（μg</w:t>
                  </w:r>
                  <w:r>
                    <w:rPr>
                      <w:rFonts w:hint="eastAsia" w:cs="Times New Roman"/>
                      <w:color w:val="auto"/>
                      <w:highlight w:val="none"/>
                      <w:lang w:eastAsia="zh-CN"/>
                    </w:rPr>
                    <w:t>m³</w:t>
                  </w:r>
                  <w:r>
                    <w:rPr>
                      <w:rFonts w:hint="default" w:ascii="Times New Roman" w:hAnsi="Times New Roman" w:cs="Times New Roman"/>
                      <w:color w:val="auto"/>
                      <w:highlight w:val="none"/>
                    </w:rPr>
                    <w:t>）</w:t>
                  </w:r>
                </w:p>
              </w:tc>
              <w:tc>
                <w:tcPr>
                  <w:tcW w:w="895" w:type="pct"/>
                  <w:shd w:val="clear" w:color="auto" w:fill="auto"/>
                  <w:vAlign w:val="center"/>
                </w:tcPr>
                <w:p w14:paraId="773005AA">
                  <w:pPr>
                    <w:pStyle w:val="68"/>
                    <w:keepNext w:val="0"/>
                    <w:keepLines w:val="0"/>
                    <w:pageBreakBefore w:val="0"/>
                    <w:kinsoku/>
                    <w:wordWrap/>
                    <w:overflowPunct/>
                    <w:topLinePunct w:val="0"/>
                    <w:autoSpaceDE/>
                    <w:autoSpaceDN/>
                    <w:bidi w:val="0"/>
                    <w:adjustRightInd/>
                    <w:snapToGrid/>
                    <w:spacing w:line="200" w:lineRule="exact"/>
                    <w:ind w:left="0" w:lef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标准值（μg</w:t>
                  </w:r>
                  <w:r>
                    <w:rPr>
                      <w:rFonts w:hint="eastAsia" w:cs="Times New Roman"/>
                      <w:color w:val="auto"/>
                      <w:highlight w:val="none"/>
                      <w:lang w:eastAsia="zh-CN"/>
                    </w:rPr>
                    <w:t>m³</w:t>
                  </w:r>
                  <w:r>
                    <w:rPr>
                      <w:rFonts w:hint="default" w:ascii="Times New Roman" w:hAnsi="Times New Roman" w:cs="Times New Roman"/>
                      <w:color w:val="auto"/>
                      <w:highlight w:val="none"/>
                    </w:rPr>
                    <w:t>）</w:t>
                  </w:r>
                </w:p>
              </w:tc>
              <w:tc>
                <w:tcPr>
                  <w:tcW w:w="729" w:type="pct"/>
                  <w:shd w:val="clear" w:color="auto" w:fill="auto"/>
                  <w:vAlign w:val="center"/>
                </w:tcPr>
                <w:p w14:paraId="7EB24232">
                  <w:pPr>
                    <w:pStyle w:val="68"/>
                    <w:keepNext w:val="0"/>
                    <w:keepLines w:val="0"/>
                    <w:pageBreakBefore w:val="0"/>
                    <w:kinsoku/>
                    <w:wordWrap/>
                    <w:overflowPunct/>
                    <w:topLinePunct w:val="0"/>
                    <w:autoSpaceDE/>
                    <w:autoSpaceDN/>
                    <w:bidi w:val="0"/>
                    <w:adjustRightInd/>
                    <w:snapToGrid/>
                    <w:spacing w:line="200" w:lineRule="exact"/>
                    <w:ind w:left="0" w:lef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占标率（%）</w:t>
                  </w:r>
                </w:p>
              </w:tc>
              <w:tc>
                <w:tcPr>
                  <w:tcW w:w="364" w:type="pct"/>
                  <w:vAlign w:val="center"/>
                </w:tcPr>
                <w:p w14:paraId="6CC9C36F">
                  <w:pPr>
                    <w:pStyle w:val="68"/>
                    <w:keepNext w:val="0"/>
                    <w:keepLines w:val="0"/>
                    <w:pageBreakBefore w:val="0"/>
                    <w:kinsoku/>
                    <w:wordWrap/>
                    <w:overflowPunct/>
                    <w:topLinePunct w:val="0"/>
                    <w:autoSpaceDE/>
                    <w:autoSpaceDN/>
                    <w:bidi w:val="0"/>
                    <w:adjustRightInd/>
                    <w:snapToGrid/>
                    <w:spacing w:line="200" w:lineRule="exact"/>
                    <w:ind w:left="0" w:lef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p w14:paraId="4B8CE10C">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情况</w:t>
                  </w:r>
                </w:p>
              </w:tc>
              <w:tc>
                <w:tcPr>
                  <w:tcW w:w="550" w:type="pct"/>
                  <w:vAlign w:val="center"/>
                </w:tcPr>
                <w:p w14:paraId="5CE869AB">
                  <w:pPr>
                    <w:pStyle w:val="68"/>
                    <w:keepNext w:val="0"/>
                    <w:keepLines w:val="0"/>
                    <w:pageBreakBefore w:val="0"/>
                    <w:kinsoku/>
                    <w:wordWrap/>
                    <w:overflowPunct/>
                    <w:topLinePunct w:val="0"/>
                    <w:autoSpaceDE/>
                    <w:autoSpaceDN/>
                    <w:bidi w:val="0"/>
                    <w:adjustRightInd/>
                    <w:snapToGrid/>
                    <w:spacing w:line="200" w:lineRule="exact"/>
                    <w:ind w:left="0" w:lef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超标倍数</w:t>
                  </w:r>
                </w:p>
              </w:tc>
            </w:tr>
            <w:tr w14:paraId="0852F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shd w:val="clear" w:color="auto" w:fill="auto"/>
                  <w:vAlign w:val="center"/>
                </w:tcPr>
                <w:p w14:paraId="73ED8E48">
                  <w:pPr>
                    <w:pStyle w:val="68"/>
                    <w:keepNext w:val="0"/>
                    <w:keepLines w:val="0"/>
                    <w:pageBreakBefore w:val="0"/>
                    <w:kinsoku/>
                    <w:wordWrap/>
                    <w:overflowPunct/>
                    <w:topLinePunct w:val="0"/>
                    <w:autoSpaceDE/>
                    <w:autoSpaceDN/>
                    <w:bidi w:val="0"/>
                    <w:adjustRightInd/>
                    <w:snapToGrid/>
                    <w:spacing w:line="200" w:lineRule="exact"/>
                    <w:ind w:left="0" w:leftChars="0" w:firstLine="0" w:firstLineChars="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eastAsia="zh-CN"/>
                    </w:rPr>
                    <w:t>SO₂</w:t>
                  </w:r>
                </w:p>
              </w:tc>
              <w:tc>
                <w:tcPr>
                  <w:tcW w:w="1000" w:type="pct"/>
                  <w:shd w:val="clear" w:color="auto" w:fill="auto"/>
                  <w:vAlign w:val="center"/>
                </w:tcPr>
                <w:p w14:paraId="7F1C845D">
                  <w:pPr>
                    <w:pStyle w:val="68"/>
                    <w:keepNext w:val="0"/>
                    <w:keepLines w:val="0"/>
                    <w:pageBreakBefore w:val="0"/>
                    <w:kinsoku/>
                    <w:wordWrap/>
                    <w:overflowPunct/>
                    <w:topLinePunct w:val="0"/>
                    <w:autoSpaceDE/>
                    <w:autoSpaceDN/>
                    <w:bidi w:val="0"/>
                    <w:adjustRightInd/>
                    <w:snapToGrid/>
                    <w:spacing w:line="200" w:lineRule="exact"/>
                    <w:ind w:left="0" w:lef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年平均质量浓度</w:t>
                  </w:r>
                </w:p>
              </w:tc>
              <w:tc>
                <w:tcPr>
                  <w:tcW w:w="980" w:type="pct"/>
                  <w:shd w:val="clear" w:color="auto" w:fill="auto"/>
                  <w:vAlign w:val="center"/>
                </w:tcPr>
                <w:p w14:paraId="28C8F052">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9</w:t>
                  </w:r>
                </w:p>
              </w:tc>
              <w:tc>
                <w:tcPr>
                  <w:tcW w:w="895" w:type="pct"/>
                  <w:shd w:val="clear" w:color="auto" w:fill="auto"/>
                  <w:vAlign w:val="center"/>
                </w:tcPr>
                <w:p w14:paraId="54CE0AF1">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60</w:t>
                  </w:r>
                </w:p>
              </w:tc>
              <w:tc>
                <w:tcPr>
                  <w:tcW w:w="729" w:type="pct"/>
                  <w:shd w:val="clear" w:color="auto" w:fill="auto"/>
                  <w:vAlign w:val="center"/>
                </w:tcPr>
                <w:p w14:paraId="1E7592A4">
                  <w:pPr>
                    <w:keepNext w:val="0"/>
                    <w:keepLines w:val="0"/>
                    <w:pageBreakBefore w:val="0"/>
                    <w:widowControl/>
                    <w:suppressLineNumbers w:val="0"/>
                    <w:kinsoku/>
                    <w:wordWrap/>
                    <w:overflowPunct/>
                    <w:topLinePunct w:val="0"/>
                    <w:autoSpaceDE/>
                    <w:autoSpaceDN/>
                    <w:bidi w:val="0"/>
                    <w:adjustRightInd/>
                    <w:snapToGrid/>
                    <w:spacing w:line="200" w:lineRule="exact"/>
                    <w:ind w:lef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15.00</w:t>
                  </w:r>
                </w:p>
              </w:tc>
              <w:tc>
                <w:tcPr>
                  <w:tcW w:w="364" w:type="pct"/>
                  <w:vAlign w:val="center"/>
                </w:tcPr>
                <w:p w14:paraId="2D07A7F1">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c>
                <w:tcPr>
                  <w:tcW w:w="550" w:type="pct"/>
                  <w:vAlign w:val="center"/>
                </w:tcPr>
                <w:p w14:paraId="220A54A1">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2CF21B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shd w:val="clear" w:color="auto" w:fill="auto"/>
                  <w:vAlign w:val="center"/>
                </w:tcPr>
                <w:p w14:paraId="33205852">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eastAsia="zh-CN"/>
                    </w:rPr>
                    <w:t>NO₂</w:t>
                  </w:r>
                </w:p>
              </w:tc>
              <w:tc>
                <w:tcPr>
                  <w:tcW w:w="1000" w:type="pct"/>
                  <w:shd w:val="clear" w:color="auto" w:fill="auto"/>
                  <w:vAlign w:val="center"/>
                </w:tcPr>
                <w:p w14:paraId="6B671DA2">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年平均质量浓度</w:t>
                  </w:r>
                </w:p>
              </w:tc>
              <w:tc>
                <w:tcPr>
                  <w:tcW w:w="980" w:type="pct"/>
                  <w:shd w:val="clear" w:color="auto" w:fill="auto"/>
                  <w:vAlign w:val="center"/>
                </w:tcPr>
                <w:p w14:paraId="1615FDED">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20</w:t>
                  </w:r>
                </w:p>
              </w:tc>
              <w:tc>
                <w:tcPr>
                  <w:tcW w:w="895" w:type="pct"/>
                  <w:shd w:val="clear" w:color="auto" w:fill="auto"/>
                  <w:vAlign w:val="center"/>
                </w:tcPr>
                <w:p w14:paraId="2A9ACD77">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40</w:t>
                  </w:r>
                </w:p>
              </w:tc>
              <w:tc>
                <w:tcPr>
                  <w:tcW w:w="729" w:type="pct"/>
                  <w:shd w:val="clear" w:color="auto" w:fill="auto"/>
                  <w:vAlign w:val="center"/>
                </w:tcPr>
                <w:p w14:paraId="1BDEF5CF">
                  <w:pPr>
                    <w:keepNext w:val="0"/>
                    <w:keepLines w:val="0"/>
                    <w:pageBreakBefore w:val="0"/>
                    <w:widowControl/>
                    <w:suppressLineNumbers w:val="0"/>
                    <w:kinsoku/>
                    <w:wordWrap/>
                    <w:overflowPunct/>
                    <w:topLinePunct w:val="0"/>
                    <w:autoSpaceDE/>
                    <w:autoSpaceDN/>
                    <w:bidi w:val="0"/>
                    <w:adjustRightInd/>
                    <w:snapToGrid/>
                    <w:spacing w:line="200" w:lineRule="exact"/>
                    <w:ind w:lef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50.00</w:t>
                  </w:r>
                </w:p>
              </w:tc>
              <w:tc>
                <w:tcPr>
                  <w:tcW w:w="364" w:type="pct"/>
                  <w:vAlign w:val="center"/>
                </w:tcPr>
                <w:p w14:paraId="407F181F">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c>
                <w:tcPr>
                  <w:tcW w:w="550" w:type="pct"/>
                  <w:vAlign w:val="center"/>
                </w:tcPr>
                <w:p w14:paraId="2969E0CF">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7A4F24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shd w:val="clear" w:color="auto" w:fill="auto"/>
                  <w:vAlign w:val="center"/>
                </w:tcPr>
                <w:p w14:paraId="66E69946">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CO</w:t>
                  </w:r>
                </w:p>
              </w:tc>
              <w:tc>
                <w:tcPr>
                  <w:tcW w:w="1000" w:type="pct"/>
                  <w:shd w:val="clear" w:color="auto" w:fill="auto"/>
                  <w:vAlign w:val="center"/>
                </w:tcPr>
                <w:p w14:paraId="102C5DA2">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日平均第95百分位数</w:t>
                  </w:r>
                </w:p>
              </w:tc>
              <w:tc>
                <w:tcPr>
                  <w:tcW w:w="980" w:type="pct"/>
                  <w:shd w:val="clear" w:color="auto" w:fill="auto"/>
                  <w:vAlign w:val="center"/>
                </w:tcPr>
                <w:p w14:paraId="63F2A97D">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800</w:t>
                  </w:r>
                </w:p>
              </w:tc>
              <w:tc>
                <w:tcPr>
                  <w:tcW w:w="895" w:type="pct"/>
                  <w:shd w:val="clear" w:color="auto" w:fill="auto"/>
                  <w:vAlign w:val="center"/>
                </w:tcPr>
                <w:p w14:paraId="28C6DE3F">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4000</w:t>
                  </w:r>
                </w:p>
              </w:tc>
              <w:tc>
                <w:tcPr>
                  <w:tcW w:w="729" w:type="pct"/>
                  <w:shd w:val="clear" w:color="auto" w:fill="auto"/>
                  <w:vAlign w:val="center"/>
                </w:tcPr>
                <w:p w14:paraId="4243CF7C">
                  <w:pPr>
                    <w:keepNext w:val="0"/>
                    <w:keepLines w:val="0"/>
                    <w:pageBreakBefore w:val="0"/>
                    <w:widowControl/>
                    <w:suppressLineNumbers w:val="0"/>
                    <w:kinsoku/>
                    <w:wordWrap/>
                    <w:overflowPunct/>
                    <w:topLinePunct w:val="0"/>
                    <w:autoSpaceDE/>
                    <w:autoSpaceDN/>
                    <w:bidi w:val="0"/>
                    <w:adjustRightInd/>
                    <w:snapToGrid/>
                    <w:spacing w:line="200" w:lineRule="exact"/>
                    <w:ind w:lef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45.00</w:t>
                  </w:r>
                </w:p>
              </w:tc>
              <w:tc>
                <w:tcPr>
                  <w:tcW w:w="364" w:type="pct"/>
                  <w:vAlign w:val="center"/>
                </w:tcPr>
                <w:p w14:paraId="470DB5E4">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c>
                <w:tcPr>
                  <w:tcW w:w="550" w:type="pct"/>
                  <w:vAlign w:val="center"/>
                </w:tcPr>
                <w:p w14:paraId="73E4F4AC">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589EC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shd w:val="clear" w:color="auto" w:fill="auto"/>
                  <w:vAlign w:val="center"/>
                </w:tcPr>
                <w:p w14:paraId="25D2D2E3">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eastAsia="zh-CN"/>
                    </w:rPr>
                    <w:t>O₃</w:t>
                  </w:r>
                </w:p>
              </w:tc>
              <w:tc>
                <w:tcPr>
                  <w:tcW w:w="1000" w:type="pct"/>
                  <w:shd w:val="clear" w:color="auto" w:fill="auto"/>
                  <w:vAlign w:val="center"/>
                </w:tcPr>
                <w:p w14:paraId="45CF08EA">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日8小时最大平均</w:t>
                  </w:r>
                </w:p>
                <w:p w14:paraId="13F2E530">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第90百分位数</w:t>
                  </w:r>
                </w:p>
              </w:tc>
              <w:tc>
                <w:tcPr>
                  <w:tcW w:w="980" w:type="pct"/>
                  <w:shd w:val="clear" w:color="auto" w:fill="auto"/>
                  <w:vAlign w:val="center"/>
                </w:tcPr>
                <w:p w14:paraId="3CEF81C7">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24</w:t>
                  </w:r>
                </w:p>
              </w:tc>
              <w:tc>
                <w:tcPr>
                  <w:tcW w:w="895" w:type="pct"/>
                  <w:shd w:val="clear" w:color="auto" w:fill="auto"/>
                  <w:vAlign w:val="center"/>
                </w:tcPr>
                <w:p w14:paraId="34747EB2">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160</w:t>
                  </w:r>
                </w:p>
              </w:tc>
              <w:tc>
                <w:tcPr>
                  <w:tcW w:w="729" w:type="pct"/>
                  <w:shd w:val="clear" w:color="auto" w:fill="auto"/>
                  <w:vAlign w:val="center"/>
                </w:tcPr>
                <w:p w14:paraId="2EC440B7">
                  <w:pPr>
                    <w:keepNext w:val="0"/>
                    <w:keepLines w:val="0"/>
                    <w:pageBreakBefore w:val="0"/>
                    <w:widowControl/>
                    <w:suppressLineNumbers w:val="0"/>
                    <w:kinsoku/>
                    <w:wordWrap/>
                    <w:overflowPunct/>
                    <w:topLinePunct w:val="0"/>
                    <w:autoSpaceDE/>
                    <w:autoSpaceDN/>
                    <w:bidi w:val="0"/>
                    <w:adjustRightInd/>
                    <w:snapToGrid/>
                    <w:spacing w:line="200" w:lineRule="exact"/>
                    <w:ind w:lef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77.50</w:t>
                  </w:r>
                </w:p>
              </w:tc>
              <w:tc>
                <w:tcPr>
                  <w:tcW w:w="364" w:type="pct"/>
                  <w:vAlign w:val="center"/>
                </w:tcPr>
                <w:p w14:paraId="1978DB9E">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c>
                <w:tcPr>
                  <w:tcW w:w="550" w:type="pct"/>
                  <w:vAlign w:val="center"/>
                </w:tcPr>
                <w:p w14:paraId="3E77541D">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30ABD6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shd w:val="clear" w:color="auto" w:fill="auto"/>
                  <w:vAlign w:val="center"/>
                </w:tcPr>
                <w:p w14:paraId="2537A515">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eastAsia="zh-CN"/>
                    </w:rPr>
                    <w:t>PM₁₀</w:t>
                  </w:r>
                </w:p>
              </w:tc>
              <w:tc>
                <w:tcPr>
                  <w:tcW w:w="1000" w:type="pct"/>
                  <w:shd w:val="clear" w:color="auto" w:fill="auto"/>
                  <w:vAlign w:val="center"/>
                </w:tcPr>
                <w:p w14:paraId="3FFE450E">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年平均质量浓度</w:t>
                  </w:r>
                </w:p>
              </w:tc>
              <w:tc>
                <w:tcPr>
                  <w:tcW w:w="980" w:type="pct"/>
                  <w:shd w:val="clear" w:color="auto" w:fill="auto"/>
                  <w:vAlign w:val="center"/>
                </w:tcPr>
                <w:p w14:paraId="46F6FA12">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rPr>
                    <w:t>1</w:t>
                  </w:r>
                  <w:r>
                    <w:rPr>
                      <w:rFonts w:hint="default" w:ascii="Times New Roman" w:hAnsi="Times New Roman" w:cs="Times New Roman"/>
                      <w:b/>
                      <w:bCs/>
                      <w:color w:val="auto"/>
                      <w:highlight w:val="none"/>
                      <w:lang w:val="en-US" w:eastAsia="zh-CN"/>
                    </w:rPr>
                    <w:t>14</w:t>
                  </w:r>
                </w:p>
              </w:tc>
              <w:tc>
                <w:tcPr>
                  <w:tcW w:w="895" w:type="pct"/>
                  <w:shd w:val="clear" w:color="auto" w:fill="auto"/>
                  <w:vAlign w:val="center"/>
                </w:tcPr>
                <w:p w14:paraId="5C418D25">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60</w:t>
                  </w:r>
                </w:p>
              </w:tc>
              <w:tc>
                <w:tcPr>
                  <w:tcW w:w="729" w:type="pct"/>
                  <w:shd w:val="clear" w:color="auto" w:fill="auto"/>
                  <w:vAlign w:val="center"/>
                </w:tcPr>
                <w:p w14:paraId="7D002CA6">
                  <w:pPr>
                    <w:keepNext w:val="0"/>
                    <w:keepLines w:val="0"/>
                    <w:pageBreakBefore w:val="0"/>
                    <w:widowControl/>
                    <w:suppressLineNumbers w:val="0"/>
                    <w:kinsoku/>
                    <w:wordWrap/>
                    <w:overflowPunct/>
                    <w:topLinePunct w:val="0"/>
                    <w:autoSpaceDE/>
                    <w:autoSpaceDN/>
                    <w:bidi w:val="0"/>
                    <w:adjustRightInd/>
                    <w:snapToGrid/>
                    <w:spacing w:line="200" w:lineRule="exact"/>
                    <w:ind w:lef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190.00</w:t>
                  </w:r>
                </w:p>
              </w:tc>
              <w:tc>
                <w:tcPr>
                  <w:tcW w:w="364" w:type="pct"/>
                  <w:vAlign w:val="center"/>
                </w:tcPr>
                <w:p w14:paraId="388693AD">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超标</w:t>
                  </w:r>
                </w:p>
              </w:tc>
              <w:tc>
                <w:tcPr>
                  <w:tcW w:w="550" w:type="pct"/>
                  <w:vAlign w:val="center"/>
                </w:tcPr>
                <w:p w14:paraId="04A60002">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0.</w:t>
                  </w:r>
                  <w:r>
                    <w:rPr>
                      <w:rFonts w:hint="default" w:ascii="Times New Roman" w:hAnsi="Times New Roman" w:cs="Times New Roman"/>
                      <w:color w:val="auto"/>
                      <w:highlight w:val="none"/>
                      <w:lang w:val="en-US" w:eastAsia="zh-CN"/>
                    </w:rPr>
                    <w:t>90</w:t>
                  </w:r>
                </w:p>
              </w:tc>
            </w:tr>
            <w:tr w14:paraId="5F2C51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shd w:val="clear" w:color="auto" w:fill="auto"/>
                  <w:vAlign w:val="center"/>
                </w:tcPr>
                <w:p w14:paraId="541A60CE">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eastAsia="zh-CN"/>
                    </w:rPr>
                    <w:t>PM₂․₅</w:t>
                  </w:r>
                </w:p>
              </w:tc>
              <w:tc>
                <w:tcPr>
                  <w:tcW w:w="1000" w:type="pct"/>
                  <w:shd w:val="clear" w:color="auto" w:fill="auto"/>
                  <w:vAlign w:val="center"/>
                </w:tcPr>
                <w:p w14:paraId="6472304D">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年平均质量浓度</w:t>
                  </w:r>
                </w:p>
              </w:tc>
              <w:tc>
                <w:tcPr>
                  <w:tcW w:w="980" w:type="pct"/>
                  <w:shd w:val="clear" w:color="auto" w:fill="auto"/>
                  <w:vAlign w:val="center"/>
                </w:tcPr>
                <w:p w14:paraId="03755261">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rPr>
                    <w:t>4</w:t>
                  </w:r>
                  <w:r>
                    <w:rPr>
                      <w:rFonts w:hint="default" w:ascii="Times New Roman" w:hAnsi="Times New Roman" w:cs="Times New Roman"/>
                      <w:b/>
                      <w:bCs/>
                      <w:color w:val="auto"/>
                      <w:highlight w:val="none"/>
                      <w:lang w:val="en-US" w:eastAsia="zh-CN"/>
                    </w:rPr>
                    <w:t>4</w:t>
                  </w:r>
                </w:p>
              </w:tc>
              <w:tc>
                <w:tcPr>
                  <w:tcW w:w="895" w:type="pct"/>
                  <w:shd w:val="clear" w:color="auto" w:fill="auto"/>
                  <w:vAlign w:val="center"/>
                </w:tcPr>
                <w:p w14:paraId="515AAB42">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30</w:t>
                  </w:r>
                </w:p>
              </w:tc>
              <w:tc>
                <w:tcPr>
                  <w:tcW w:w="729" w:type="pct"/>
                  <w:shd w:val="clear" w:color="auto" w:fill="auto"/>
                  <w:vAlign w:val="center"/>
                </w:tcPr>
                <w:p w14:paraId="56B60D40">
                  <w:pPr>
                    <w:keepNext w:val="0"/>
                    <w:keepLines w:val="0"/>
                    <w:pageBreakBefore w:val="0"/>
                    <w:widowControl/>
                    <w:suppressLineNumbers w:val="0"/>
                    <w:kinsoku/>
                    <w:wordWrap/>
                    <w:overflowPunct/>
                    <w:topLinePunct w:val="0"/>
                    <w:autoSpaceDE/>
                    <w:autoSpaceDN/>
                    <w:bidi w:val="0"/>
                    <w:adjustRightInd/>
                    <w:snapToGrid/>
                    <w:spacing w:line="200" w:lineRule="exact"/>
                    <w:ind w:lef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146.67</w:t>
                  </w:r>
                </w:p>
              </w:tc>
              <w:tc>
                <w:tcPr>
                  <w:tcW w:w="364" w:type="pct"/>
                  <w:vAlign w:val="center"/>
                </w:tcPr>
                <w:p w14:paraId="2EF26544">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超标</w:t>
                  </w:r>
                </w:p>
              </w:tc>
              <w:tc>
                <w:tcPr>
                  <w:tcW w:w="550" w:type="pct"/>
                  <w:vAlign w:val="center"/>
                </w:tcPr>
                <w:p w14:paraId="09823863">
                  <w:pPr>
                    <w:pStyle w:val="68"/>
                    <w:keepNext w:val="0"/>
                    <w:keepLines w:val="0"/>
                    <w:pageBreakBefore w:val="0"/>
                    <w:kinsoku/>
                    <w:wordWrap/>
                    <w:overflowPunct/>
                    <w:topLinePunct w:val="0"/>
                    <w:autoSpaceDE/>
                    <w:autoSpaceDN/>
                    <w:bidi w:val="0"/>
                    <w:adjustRightInd/>
                    <w:snapToGrid/>
                    <w:spacing w:line="200" w:lineRule="exact"/>
                    <w:ind w:left="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0.</w:t>
                  </w:r>
                  <w:r>
                    <w:rPr>
                      <w:rFonts w:hint="default" w:ascii="Times New Roman" w:hAnsi="Times New Roman" w:cs="Times New Roman"/>
                      <w:color w:val="auto"/>
                      <w:highlight w:val="none"/>
                      <w:lang w:val="en-US" w:eastAsia="zh-CN"/>
                    </w:rPr>
                    <w:t>47</w:t>
                  </w:r>
                </w:p>
              </w:tc>
            </w:tr>
          </w:tbl>
          <w:p w14:paraId="292F5109">
            <w:pPr>
              <w:pStyle w:val="5"/>
              <w:adjustRightInd w:val="0"/>
              <w:spacing w:line="360" w:lineRule="auto"/>
              <w:ind w:firstLine="480"/>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分析可知，</w:t>
            </w:r>
            <w:r>
              <w:rPr>
                <w:rFonts w:hint="default" w:ascii="Times New Roman" w:hAnsi="Times New Roman" w:cs="Times New Roman"/>
                <w:b w:val="0"/>
                <w:color w:val="auto"/>
                <w:highlight w:val="none"/>
                <w:lang w:eastAsia="zh-CN"/>
              </w:rPr>
              <w:t>SO₂</w:t>
            </w:r>
            <w:r>
              <w:rPr>
                <w:rFonts w:hint="default" w:ascii="Times New Roman" w:hAnsi="Times New Roman" w:cs="Times New Roman"/>
                <w:b w:val="0"/>
                <w:color w:val="auto"/>
                <w:highlight w:val="none"/>
              </w:rPr>
              <w:t>、</w:t>
            </w:r>
            <w:r>
              <w:rPr>
                <w:rFonts w:hint="default" w:ascii="Times New Roman" w:hAnsi="Times New Roman" w:cs="Times New Roman"/>
                <w:b w:val="0"/>
                <w:color w:val="auto"/>
                <w:highlight w:val="none"/>
                <w:lang w:eastAsia="zh-CN"/>
              </w:rPr>
              <w:t>NO₂</w:t>
            </w:r>
            <w:r>
              <w:rPr>
                <w:rFonts w:hint="default" w:ascii="Times New Roman" w:hAnsi="Times New Roman" w:cs="Times New Roman"/>
                <w:b w:val="0"/>
                <w:color w:val="auto"/>
                <w:highlight w:val="none"/>
              </w:rPr>
              <w:t>、CO和</w:t>
            </w:r>
            <w:r>
              <w:rPr>
                <w:rFonts w:hint="default" w:ascii="Times New Roman" w:hAnsi="Times New Roman" w:cs="Times New Roman"/>
                <w:b w:val="0"/>
                <w:color w:val="auto"/>
                <w:highlight w:val="none"/>
                <w:lang w:eastAsia="zh-CN"/>
              </w:rPr>
              <w:t>O₃</w:t>
            </w:r>
            <w:r>
              <w:rPr>
                <w:rFonts w:hint="default" w:ascii="Times New Roman" w:hAnsi="Times New Roman" w:cs="Times New Roman"/>
                <w:b w:val="0"/>
                <w:color w:val="auto"/>
                <w:highlight w:val="none"/>
              </w:rPr>
              <w:t>满足《环境空气质量标准》（GB3095-20</w:t>
            </w:r>
            <w:r>
              <w:rPr>
                <w:rFonts w:hint="eastAsia" w:cs="Times New Roman"/>
                <w:b w:val="0"/>
                <w:color w:val="auto"/>
                <w:highlight w:val="none"/>
                <w:lang w:val="en-US" w:eastAsia="zh-CN"/>
              </w:rPr>
              <w:t>26</w:t>
            </w:r>
            <w:r>
              <w:rPr>
                <w:rFonts w:hint="default" w:ascii="Times New Roman" w:hAnsi="Times New Roman" w:cs="Times New Roman"/>
                <w:b w:val="0"/>
                <w:color w:val="auto"/>
                <w:highlight w:val="none"/>
              </w:rPr>
              <w:t>）中</w:t>
            </w:r>
            <w:r>
              <w:rPr>
                <w:rFonts w:hint="eastAsia" w:ascii="Times New Roman" w:hAnsi="Times New Roman" w:cs="Times New Roman"/>
                <w:color w:val="auto"/>
                <w:kern w:val="0"/>
                <w:highlight w:val="none"/>
                <w:lang w:val="en-US" w:eastAsia="zh-CN"/>
              </w:rPr>
              <w:t>过渡阶段</w:t>
            </w:r>
            <w:r>
              <w:rPr>
                <w:rFonts w:hint="default" w:ascii="Times New Roman" w:hAnsi="Times New Roman" w:cs="Times New Roman"/>
                <w:color w:val="auto"/>
                <w:kern w:val="0"/>
                <w:highlight w:val="none"/>
              </w:rPr>
              <w:t>二级标准</w:t>
            </w:r>
            <w:r>
              <w:rPr>
                <w:rFonts w:hint="default" w:ascii="Times New Roman" w:hAnsi="Times New Roman" w:cs="Times New Roman"/>
                <w:b w:val="0"/>
                <w:color w:val="auto"/>
                <w:highlight w:val="none"/>
              </w:rPr>
              <w:t>，</w:t>
            </w:r>
            <w:r>
              <w:rPr>
                <w:rFonts w:hint="default" w:ascii="Times New Roman" w:hAnsi="Times New Roman" w:cs="Times New Roman"/>
                <w:b w:val="0"/>
                <w:color w:val="auto"/>
                <w:highlight w:val="none"/>
                <w:lang w:eastAsia="zh-CN"/>
              </w:rPr>
              <w:t>PM₂․₅</w:t>
            </w:r>
            <w:r>
              <w:rPr>
                <w:rFonts w:hint="default" w:ascii="Times New Roman" w:hAnsi="Times New Roman" w:cs="Times New Roman"/>
                <w:b w:val="0"/>
                <w:color w:val="auto"/>
                <w:highlight w:val="none"/>
              </w:rPr>
              <w:t>、</w:t>
            </w:r>
            <w:r>
              <w:rPr>
                <w:rFonts w:hint="default" w:ascii="Times New Roman" w:hAnsi="Times New Roman" w:cs="Times New Roman"/>
                <w:b w:val="0"/>
                <w:color w:val="auto"/>
                <w:highlight w:val="none"/>
                <w:lang w:eastAsia="zh-CN"/>
              </w:rPr>
              <w:t>PM₁₀</w:t>
            </w:r>
            <w:r>
              <w:rPr>
                <w:rFonts w:hint="default" w:ascii="Times New Roman" w:hAnsi="Times New Roman" w:cs="Times New Roman"/>
                <w:b w:val="0"/>
                <w:color w:val="auto"/>
                <w:highlight w:val="none"/>
              </w:rPr>
              <w:t>的年平均浓度占标率达到1</w:t>
            </w:r>
            <w:r>
              <w:rPr>
                <w:rFonts w:hint="eastAsia" w:ascii="Times New Roman" w:hAnsi="Times New Roman" w:cs="Times New Roman"/>
                <w:b w:val="0"/>
                <w:color w:val="auto"/>
                <w:highlight w:val="none"/>
                <w:lang w:val="en-US" w:eastAsia="zh-CN"/>
              </w:rPr>
              <w:t>46.67</w:t>
            </w:r>
            <w:r>
              <w:rPr>
                <w:rFonts w:hint="default" w:ascii="Times New Roman" w:hAnsi="Times New Roman" w:cs="Times New Roman"/>
                <w:b w:val="0"/>
                <w:color w:val="auto"/>
                <w:highlight w:val="none"/>
              </w:rPr>
              <w:t>%及1</w:t>
            </w:r>
            <w:r>
              <w:rPr>
                <w:rFonts w:hint="eastAsia" w:ascii="Times New Roman" w:hAnsi="Times New Roman" w:cs="Times New Roman"/>
                <w:b w:val="0"/>
                <w:color w:val="auto"/>
                <w:highlight w:val="none"/>
                <w:lang w:val="en-US" w:eastAsia="zh-CN"/>
              </w:rPr>
              <w:t>90</w:t>
            </w:r>
            <w:r>
              <w:rPr>
                <w:rFonts w:hint="default" w:ascii="Times New Roman" w:hAnsi="Times New Roman" w:cs="Times New Roman"/>
                <w:b w:val="0"/>
                <w:color w:val="auto"/>
                <w:highlight w:val="none"/>
              </w:rPr>
              <w:t>%。因此项目所在区域为不达标区。超标原因主要是因为工程区地处新疆南疆地区，干旱少雨，风沙较大，多发浮尘天气。</w:t>
            </w:r>
          </w:p>
          <w:p w14:paraId="1656FFDB">
            <w:pPr>
              <w:adjustRightInd w:val="0"/>
              <w:snapToGrid w:val="0"/>
              <w:spacing w:line="360" w:lineRule="auto"/>
              <w:ind w:firstLine="479" w:firstLineChars="199"/>
              <w:rPr>
                <w:rFonts w:hint="default" w:ascii="Times New Roman" w:hAnsi="Times New Roman" w:cs="Times New Roman"/>
                <w:b/>
                <w:color w:val="auto"/>
                <w:highlight w:val="none"/>
              </w:rPr>
            </w:pPr>
            <w:r>
              <w:rPr>
                <w:rFonts w:hint="default" w:ascii="Times New Roman" w:hAnsi="Times New Roman" w:cs="Times New Roman"/>
                <w:b/>
                <w:color w:val="auto"/>
                <w:highlight w:val="none"/>
              </w:rPr>
              <w:t>2地表水环境质量现状</w:t>
            </w:r>
          </w:p>
          <w:p w14:paraId="26C2EBE2">
            <w:pPr>
              <w:pStyle w:val="144"/>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本项目产生的</w:t>
            </w:r>
            <w:r>
              <w:rPr>
                <w:rFonts w:hint="default" w:ascii="Times New Roman" w:hAnsi="Times New Roman" w:cs="Times New Roman"/>
                <w:color w:val="auto"/>
                <w:highlight w:val="none"/>
              </w:rPr>
              <w:t>废水主要为洗果废水及厂区清洁废水，</w:t>
            </w:r>
            <w:r>
              <w:rPr>
                <w:rFonts w:hint="eastAsia" w:cs="Times New Roman"/>
                <w:color w:val="auto"/>
                <w:kern w:val="0"/>
                <w:szCs w:val="21"/>
                <w:highlight w:val="none"/>
                <w:lang w:val="en-US" w:eastAsia="zh-CN"/>
              </w:rPr>
              <w:t>经项目区东南角的沉砂池沉淀后，送往西南方番茄酱厂污水处理站处理满足</w:t>
            </w:r>
            <w:r>
              <w:rPr>
                <w:rFonts w:hint="eastAsia" w:cs="Times New Roman"/>
                <w:color w:val="auto"/>
                <w:highlight w:val="none"/>
                <w:lang w:val="en-US" w:eastAsia="zh-CN"/>
              </w:rPr>
              <w:t>《污水综合排放标准》（GB8978-1996）及修改单</w:t>
            </w:r>
            <w:r>
              <w:rPr>
                <w:rFonts w:hint="default" w:ascii="Times New Roman" w:hAnsi="Times New Roman" w:cs="Times New Roman"/>
                <w:color w:val="auto"/>
                <w:highlight w:val="none"/>
                <w:lang w:val="en-US" w:eastAsia="zh-CN"/>
              </w:rPr>
              <w:t>三级标准及</w:t>
            </w:r>
            <w:r>
              <w:rPr>
                <w:rFonts w:hint="eastAsia" w:cs="Times New Roman"/>
                <w:color w:val="auto"/>
                <w:highlight w:val="none"/>
                <w:lang w:val="en-US" w:eastAsia="zh-CN"/>
              </w:rPr>
              <w:t>园区废水处理厂</w:t>
            </w:r>
            <w:r>
              <w:rPr>
                <w:rFonts w:hint="default" w:ascii="Times New Roman" w:hAnsi="Times New Roman" w:cs="Times New Roman"/>
                <w:color w:val="auto"/>
                <w:highlight w:val="none"/>
                <w:lang w:val="en-US" w:eastAsia="zh-CN"/>
              </w:rPr>
              <w:t>进水水质要求</w:t>
            </w:r>
            <w:r>
              <w:rPr>
                <w:rFonts w:hint="eastAsia" w:cs="Times New Roman"/>
                <w:color w:val="auto"/>
                <w:kern w:val="0"/>
                <w:szCs w:val="21"/>
                <w:highlight w:val="none"/>
                <w:lang w:val="en-US" w:eastAsia="zh-CN"/>
              </w:rPr>
              <w:t>后，通过园区</w:t>
            </w:r>
            <w:r>
              <w:rPr>
                <w:rFonts w:hint="eastAsia" w:ascii="Times New Roman" w:hAnsi="Times New Roman" w:cs="Times New Roman"/>
                <w:color w:val="auto"/>
                <w:kern w:val="0"/>
                <w:szCs w:val="21"/>
                <w:highlight w:val="none"/>
                <w:lang w:val="en-US" w:eastAsia="zh-CN"/>
              </w:rPr>
              <w:t>污水收集管网</w:t>
            </w:r>
            <w:r>
              <w:rPr>
                <w:rFonts w:hint="eastAsia" w:cs="Times New Roman"/>
                <w:color w:val="auto"/>
                <w:kern w:val="0"/>
                <w:szCs w:val="21"/>
                <w:highlight w:val="none"/>
                <w:lang w:val="en-US" w:eastAsia="zh-CN"/>
              </w:rPr>
              <w:t>，送往</w:t>
            </w:r>
            <w:r>
              <w:rPr>
                <w:rFonts w:hint="eastAsia" w:ascii="Times New Roman" w:hAnsi="Times New Roman" w:cs="Times New Roman"/>
                <w:color w:val="auto"/>
                <w:kern w:val="0"/>
                <w:szCs w:val="21"/>
                <w:highlight w:val="none"/>
                <w:lang w:val="en-US" w:eastAsia="zh-CN"/>
              </w:rPr>
              <w:t>农副产品加工基地污水处理厂</w:t>
            </w:r>
            <w:r>
              <w:rPr>
                <w:rFonts w:hint="eastAsia" w:cs="Times New Roman"/>
                <w:color w:val="auto"/>
                <w:kern w:val="0"/>
                <w:szCs w:val="21"/>
                <w:highlight w:val="none"/>
                <w:lang w:val="en-US" w:eastAsia="zh-CN"/>
              </w:rPr>
              <w:t>，</w:t>
            </w:r>
            <w:r>
              <w:rPr>
                <w:rFonts w:hint="eastAsia" w:cs="Times New Roman"/>
                <w:color w:val="auto"/>
                <w:highlight w:val="none"/>
                <w:lang w:val="en-US" w:eastAsia="zh-CN"/>
              </w:rPr>
              <w:t>处理水质</w:t>
            </w:r>
            <w:r>
              <w:rPr>
                <w:rFonts w:hint="eastAsia"/>
                <w:lang w:val="en-US" w:eastAsia="zh-CN"/>
              </w:rPr>
              <w:t>达到《城市污水再生利用 农田灌溉用水水质》（GB20922-2007）后，才能用于水果园浇灌</w:t>
            </w:r>
            <w:r>
              <w:rPr>
                <w:rFonts w:hint="eastAsia" w:cs="Times New Roman"/>
                <w:color w:val="auto"/>
                <w:highlight w:val="none"/>
                <w:lang w:eastAsia="zh-CN"/>
              </w:rPr>
              <w:t>。</w:t>
            </w:r>
            <w:r>
              <w:rPr>
                <w:rFonts w:hint="eastAsia" w:cs="Times New Roman"/>
                <w:color w:val="auto"/>
                <w:highlight w:val="none"/>
                <w:lang w:val="en-US" w:eastAsia="zh-CN"/>
              </w:rPr>
              <w:t>根据《环境影响评价技术导则 地表水环境》（HJ2.3—2018）中表1，本项目评价等级判定为三级B，并且不涉及地表水环境风险。</w:t>
            </w:r>
          </w:p>
          <w:p w14:paraId="73AE2CBD">
            <w:pPr>
              <w:snapToGrid w:val="0"/>
              <w:spacing w:line="360" w:lineRule="auto"/>
              <w:ind w:firstLine="482" w:firstLineChars="200"/>
              <w:rPr>
                <w:rFonts w:hint="default" w:ascii="Times New Roman" w:hAnsi="Times New Roman" w:cs="Times New Roman"/>
                <w:b/>
                <w:color w:val="auto"/>
                <w:highlight w:val="none"/>
              </w:rPr>
            </w:pPr>
            <w:r>
              <w:rPr>
                <w:rFonts w:hint="default" w:ascii="Times New Roman" w:hAnsi="Times New Roman" w:cs="Times New Roman"/>
                <w:b/>
                <w:color w:val="auto"/>
                <w:highlight w:val="none"/>
              </w:rPr>
              <w:t>3地下水环境质量现状</w:t>
            </w:r>
          </w:p>
          <w:p w14:paraId="2B0B85D1">
            <w:pPr>
              <w:snapToGrid w:val="0"/>
              <w:spacing w:line="360" w:lineRule="auto"/>
              <w:ind w:firstLine="480" w:firstLineChars="200"/>
              <w:rPr>
                <w:rFonts w:hint="default" w:ascii="Times New Roman" w:hAnsi="Times New Roman" w:cs="Times New Roman"/>
                <w:color w:val="auto"/>
                <w:highlight w:val="none"/>
              </w:rPr>
            </w:pPr>
            <w:bookmarkStart w:id="24" w:name="_Hlk167738953"/>
            <w:r>
              <w:rPr>
                <w:rFonts w:hint="default" w:ascii="Times New Roman" w:hAnsi="Times New Roman" w:cs="Times New Roman"/>
                <w:color w:val="auto"/>
                <w:highlight w:val="none"/>
              </w:rPr>
              <w:t>经过现场调研及走访询问，项目地址为</w:t>
            </w:r>
            <w:r>
              <w:rPr>
                <w:rFonts w:hint="eastAsia" w:cs="Times New Roman"/>
                <w:color w:val="auto"/>
                <w:highlight w:val="none"/>
                <w:lang w:val="en-US" w:eastAsia="zh-CN"/>
              </w:rPr>
              <w:t>民丰</w:t>
            </w:r>
            <w:r>
              <w:rPr>
                <w:rFonts w:hint="default" w:ascii="Times New Roman" w:hAnsi="Times New Roman" w:cs="Times New Roman"/>
                <w:color w:val="auto"/>
                <w:highlight w:val="none"/>
              </w:rPr>
              <w:t>产业</w:t>
            </w:r>
            <w:r>
              <w:rPr>
                <w:rFonts w:hint="eastAsia" w:cs="Times New Roman"/>
                <w:color w:val="auto"/>
                <w:highlight w:val="none"/>
                <w:lang w:val="en-US" w:eastAsia="zh-CN"/>
              </w:rPr>
              <w:t>园</w:t>
            </w:r>
            <w:r>
              <w:rPr>
                <w:rFonts w:hint="default" w:ascii="Times New Roman" w:hAnsi="Times New Roman" w:cs="Times New Roman"/>
                <w:color w:val="auto"/>
                <w:highlight w:val="none"/>
              </w:rPr>
              <w:t>内，所在地区集中供水，厂界外500米范围内无地下水集中式饮用水水源和热水、矿泉水、温泉等特殊地下水资源。</w:t>
            </w:r>
          </w:p>
          <w:p w14:paraId="6A584806">
            <w:pPr>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本项目为《建设项目环境影响评价分类管理名录》中的“十二、酒、饮料制造业15”中“26、饮料制造152—有发酵工艺、原汁生产的”</w:t>
            </w:r>
            <w:r>
              <w:rPr>
                <w:rFonts w:hint="eastAsia" w:cs="Times New Roman"/>
                <w:color w:val="auto"/>
                <w:highlight w:val="none"/>
                <w:lang w:eastAsia="zh-CN"/>
              </w:rPr>
              <w:t>，</w:t>
            </w:r>
            <w:r>
              <w:rPr>
                <w:rFonts w:hint="eastAsia" w:cs="Times New Roman"/>
                <w:color w:val="auto"/>
                <w:highlight w:val="none"/>
                <w:lang w:val="en-US" w:eastAsia="zh-CN"/>
              </w:rPr>
              <w:t>编制建设项目环境影响报告表。</w:t>
            </w:r>
            <w:r>
              <w:rPr>
                <w:rFonts w:hint="default" w:ascii="Times New Roman" w:hAnsi="Times New Roman" w:cs="Times New Roman"/>
                <w:color w:val="auto"/>
                <w:highlight w:val="none"/>
              </w:rPr>
              <w:t>根据《环境影响评价技术导则</w:t>
            </w: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地下水环境》（HJ610-2016）附录A地下水环境影响评价行业分类表，本项目属于“</w:t>
            </w:r>
            <w:r>
              <w:rPr>
                <w:rFonts w:hint="eastAsia" w:ascii="Times New Roman" w:hAnsi="Times New Roman" w:cs="Times New Roman"/>
                <w:color w:val="auto"/>
                <w:highlight w:val="none"/>
                <w:lang w:val="en-US" w:eastAsia="zh-CN"/>
              </w:rPr>
              <w:t>N轻工106果菜汁类及其他软饮料制造</w:t>
            </w:r>
            <w:r>
              <w:rPr>
                <w:rFonts w:hint="default" w:ascii="Times New Roman" w:hAnsi="Times New Roman" w:cs="Times New Roman"/>
                <w:color w:val="auto"/>
                <w:highlight w:val="none"/>
              </w:rPr>
              <w:t>、其他”，属于</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4 \* ROMAN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IV</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类项目，“IV类建设项目不开展地下水环境影响评价”，故本项目可不开展地下水环境影响评价。</w:t>
            </w:r>
            <w:bookmarkEnd w:id="24"/>
          </w:p>
          <w:p w14:paraId="021C1953">
            <w:pPr>
              <w:snapToGrid w:val="0"/>
              <w:spacing w:line="360" w:lineRule="auto"/>
              <w:ind w:firstLine="482" w:firstLineChars="200"/>
              <w:rPr>
                <w:rFonts w:hint="default" w:ascii="Times New Roman" w:hAnsi="Times New Roman" w:cs="Times New Roman"/>
                <w:b/>
                <w:color w:val="auto"/>
                <w:highlight w:val="none"/>
              </w:rPr>
            </w:pPr>
            <w:r>
              <w:rPr>
                <w:rFonts w:hint="default" w:ascii="Times New Roman" w:hAnsi="Times New Roman" w:cs="Times New Roman"/>
                <w:b/>
                <w:color w:val="auto"/>
                <w:highlight w:val="none"/>
              </w:rPr>
              <w:t>4声环境质量现状</w:t>
            </w:r>
          </w:p>
          <w:p w14:paraId="50139844">
            <w:pPr>
              <w:pStyle w:val="129"/>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根据现场调查，项目所在地50m范围内无声环境敏感目标，根据《建设项目环境影响报告表编制技术指南（污染影响类）（试行）》，无需开展声环境现状评价。</w:t>
            </w:r>
          </w:p>
          <w:p w14:paraId="1BF9BA33">
            <w:pPr>
              <w:snapToGrid w:val="0"/>
              <w:spacing w:line="360" w:lineRule="auto"/>
              <w:ind w:firstLine="482" w:firstLineChars="200"/>
              <w:rPr>
                <w:rFonts w:hint="default" w:ascii="Times New Roman" w:hAnsi="Times New Roman" w:cs="Times New Roman"/>
                <w:b/>
                <w:color w:val="auto"/>
                <w:highlight w:val="none"/>
              </w:rPr>
            </w:pPr>
            <w:r>
              <w:rPr>
                <w:rFonts w:hint="default" w:ascii="Times New Roman" w:hAnsi="Times New Roman" w:cs="Times New Roman"/>
                <w:b/>
                <w:color w:val="auto"/>
                <w:highlight w:val="none"/>
              </w:rPr>
              <w:t>5土壤环境质量现状</w:t>
            </w:r>
          </w:p>
          <w:p w14:paraId="6386F92F">
            <w:pPr>
              <w:pStyle w:val="79"/>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根据《环境影响评价技术导则</w:t>
            </w:r>
            <w:r>
              <w:rPr>
                <w:rFonts w:hint="eastAsia" w:ascii="Times New Roman" w:cs="Times New Roman"/>
                <w:color w:val="auto"/>
                <w:kern w:val="0"/>
                <w:sz w:val="24"/>
                <w:szCs w:val="24"/>
                <w:highlight w:val="none"/>
                <w:lang w:val="en-US" w:eastAsia="zh-CN" w:bidi="ar-SA"/>
              </w:rPr>
              <w:t xml:space="preserve"> </w:t>
            </w:r>
            <w:r>
              <w:rPr>
                <w:rFonts w:hint="default" w:ascii="Times New Roman" w:hAnsi="Times New Roman" w:eastAsia="宋体" w:cs="Times New Roman"/>
                <w:color w:val="auto"/>
                <w:kern w:val="0"/>
                <w:sz w:val="24"/>
                <w:szCs w:val="24"/>
                <w:highlight w:val="none"/>
                <w:lang w:val="en-US" w:eastAsia="zh-CN" w:bidi="ar-SA"/>
              </w:rPr>
              <w:t>土壤环境（试行）》（HJ964-2018）附录A（土壤环境影响评价项目类别）判定，本项目属于“其他行业”中的“其他”，为IV类项目类别。IV类项目不需要进行土壤环境影响评价工作，因此本项目不开展土壤环境影响评价。</w:t>
            </w:r>
          </w:p>
          <w:p w14:paraId="34EB9185">
            <w:pPr>
              <w:pStyle w:val="79"/>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本项目用地范围内均进行了硬化，不存在土壤、地下水污染途径，因此，不进行土壤环境质量现状监测。</w:t>
            </w:r>
          </w:p>
          <w:p w14:paraId="082B9E57">
            <w:pPr>
              <w:pStyle w:val="79"/>
              <w:ind w:firstLine="482"/>
              <w:rPr>
                <w:rFonts w:hint="default" w:ascii="Times New Roman" w:hAnsi="Times New Roman" w:cs="Times New Roman"/>
                <w:b/>
                <w:color w:val="auto"/>
                <w:highlight w:val="none"/>
              </w:rPr>
            </w:pPr>
            <w:r>
              <w:rPr>
                <w:rFonts w:hint="eastAsia" w:ascii="Times New Roman" w:cs="Times New Roman"/>
                <w:b/>
                <w:color w:val="auto"/>
                <w:highlight w:val="none"/>
                <w:lang w:val="en-US" w:eastAsia="zh-CN"/>
              </w:rPr>
              <w:t>6</w:t>
            </w:r>
            <w:r>
              <w:rPr>
                <w:rFonts w:hint="default" w:ascii="Times New Roman" w:hAnsi="Times New Roman" w:cs="Times New Roman"/>
                <w:b/>
                <w:color w:val="auto"/>
                <w:highlight w:val="none"/>
              </w:rPr>
              <w:t>、生态环境现状</w:t>
            </w:r>
          </w:p>
          <w:p w14:paraId="1D937192">
            <w:pPr>
              <w:pStyle w:val="79"/>
              <w:rPr>
                <w:rFonts w:hint="default" w:ascii="Times New Roman" w:hAnsi="Times New Roman" w:cs="Times New Roman"/>
                <w:color w:val="auto"/>
                <w:kern w:val="0"/>
                <w:highlight w:val="none"/>
              </w:rPr>
            </w:pPr>
            <w:bookmarkStart w:id="25" w:name="_Hlk156923933"/>
            <w:r>
              <w:rPr>
                <w:rFonts w:hint="default" w:ascii="Times New Roman" w:hAnsi="Times New Roman" w:cs="Times New Roman"/>
                <w:color w:val="auto"/>
                <w:highlight w:val="none"/>
              </w:rPr>
              <w:t>拟建工程</w:t>
            </w:r>
            <w:r>
              <w:rPr>
                <w:rFonts w:hint="eastAsia" w:ascii="Times New Roman" w:cs="Times New Roman"/>
                <w:color w:val="auto"/>
                <w:highlight w:val="none"/>
                <w:lang w:eastAsia="zh-CN"/>
              </w:rPr>
              <w:t>在</w:t>
            </w:r>
            <w:r>
              <w:rPr>
                <w:rFonts w:hint="default" w:ascii="Times New Roman" w:hAnsi="Times New Roman" w:cs="Times New Roman"/>
                <w:color w:val="auto"/>
                <w:highlight w:val="none"/>
              </w:rPr>
              <w:t>原厂区内建设，不新增占地，不属于园区外建设项目新增用地的，用地范围内无生态环境保护目标。</w:t>
            </w:r>
            <w:bookmarkEnd w:id="25"/>
          </w:p>
        </w:tc>
      </w:tr>
      <w:tr w14:paraId="73D7D7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89" w:type="pct"/>
            <w:vAlign w:val="center"/>
          </w:tcPr>
          <w:p w14:paraId="1A0D3651">
            <w:pPr>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cs="Times New Roman"/>
                <w:bCs/>
                <w:color w:val="auto"/>
                <w:kern w:val="0"/>
                <w:highlight w:val="none"/>
              </w:rPr>
            </w:pPr>
            <w:r>
              <w:rPr>
                <w:rFonts w:hint="default" w:ascii="Times New Roman" w:hAnsi="Times New Roman" w:cs="Times New Roman"/>
                <w:bCs/>
                <w:color w:val="auto"/>
                <w:kern w:val="0"/>
                <w:highlight w:val="none"/>
              </w:rPr>
              <w:t>生态环境保护目标</w:t>
            </w:r>
          </w:p>
        </w:tc>
        <w:tc>
          <w:tcPr>
            <w:tcW w:w="4610" w:type="pct"/>
          </w:tcPr>
          <w:p w14:paraId="1C198549">
            <w:pPr>
              <w:adjustRightInd w:val="0"/>
              <w:snapToGrid w:val="0"/>
              <w:spacing w:line="440" w:lineRule="exact"/>
              <w:ind w:firstLine="480" w:firstLineChars="200"/>
              <w:rPr>
                <w:rFonts w:hint="default" w:ascii="Times New Roman" w:hAnsi="Times New Roman" w:cs="Times New Roman"/>
                <w:color w:val="auto"/>
                <w:highlight w:val="none"/>
              </w:rPr>
            </w:pPr>
            <w:bookmarkStart w:id="26" w:name="_Hlk167446798"/>
            <w:r>
              <w:rPr>
                <w:rFonts w:hint="default" w:ascii="Times New Roman" w:hAnsi="Times New Roman" w:cs="Times New Roman"/>
                <w:color w:val="auto"/>
                <w:highlight w:val="none"/>
              </w:rPr>
              <w:t>根据现场踏勘及发展规划，项目厂界外500m范围内</w:t>
            </w:r>
            <w:r>
              <w:rPr>
                <w:rFonts w:hint="eastAsia" w:cs="Times New Roman"/>
                <w:color w:val="auto"/>
                <w:highlight w:val="none"/>
                <w:lang w:val="en-US" w:eastAsia="zh-CN"/>
              </w:rPr>
              <w:t>无</w:t>
            </w:r>
            <w:r>
              <w:rPr>
                <w:rFonts w:hint="default" w:ascii="Times New Roman" w:hAnsi="Times New Roman" w:cs="Times New Roman"/>
                <w:color w:val="auto"/>
                <w:highlight w:val="none"/>
              </w:rPr>
              <w:t>大气环境敏感目标；项目厂界外50m范围内无声环境保护目标；本项目厂界外500米范围内无地下水集中式饮用水水源和热水、矿泉水、温泉等特殊地下水资源；项目位于</w:t>
            </w:r>
            <w:r>
              <w:rPr>
                <w:rFonts w:hint="eastAsia" w:cs="Times New Roman"/>
                <w:color w:val="auto"/>
                <w:highlight w:val="none"/>
                <w:lang w:val="en-US" w:eastAsia="zh-CN"/>
              </w:rPr>
              <w:t>民丰产业园</w:t>
            </w:r>
            <w:r>
              <w:rPr>
                <w:rFonts w:hint="default" w:ascii="Times New Roman" w:hAnsi="Times New Roman" w:cs="Times New Roman"/>
                <w:color w:val="auto"/>
                <w:highlight w:val="none"/>
              </w:rPr>
              <w:t>内，租赁</w:t>
            </w:r>
            <w:r>
              <w:rPr>
                <w:rFonts w:hint="eastAsia" w:cs="Times New Roman"/>
                <w:color w:val="auto"/>
                <w:highlight w:val="none"/>
                <w:lang w:val="en-US" w:eastAsia="zh-CN"/>
              </w:rPr>
              <w:t>民丰县</w:t>
            </w:r>
            <w:r>
              <w:rPr>
                <w:rFonts w:hint="default" w:ascii="Times New Roman" w:hAnsi="Times New Roman" w:cs="Times New Roman"/>
                <w:color w:val="auto"/>
                <w:highlight w:val="none"/>
              </w:rPr>
              <w:t>现有厂房，项目选址范围内不涉及重要物种、生态敏感区以及其他需要保护的物种、种群、生物群落及生态空间等相关的生态环境保护目标。</w:t>
            </w:r>
          </w:p>
          <w:bookmarkEnd w:id="26"/>
          <w:p w14:paraId="15A5341D">
            <w:pPr>
              <w:adjustRightInd w:val="0"/>
              <w:snapToGrid w:val="0"/>
              <w:spacing w:line="44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保护区域生态完整性和稳定性，使现状生态环境不因本工程的建</w:t>
            </w:r>
            <w:r>
              <w:rPr>
                <w:rFonts w:hint="eastAsia" w:cs="Times New Roman"/>
                <w:color w:val="auto"/>
                <w:highlight w:val="none"/>
                <w:lang w:val="en-US" w:eastAsia="zh-CN"/>
              </w:rPr>
              <w:t>设</w:t>
            </w:r>
            <w:r>
              <w:rPr>
                <w:rFonts w:hint="default" w:ascii="Times New Roman" w:hAnsi="Times New Roman" w:cs="Times New Roman"/>
                <w:color w:val="auto"/>
                <w:highlight w:val="none"/>
              </w:rPr>
              <w:t>受到破坏。控制和减轻开挖及施工等建设过程对地表植被和土壤的破坏而造成的水土流失。严格控制工程永久占地和临时占地，并做好临时占地的生态恢复工作。</w:t>
            </w:r>
          </w:p>
          <w:p w14:paraId="1FE8E260">
            <w:pPr>
              <w:adjustRightInd w:val="0"/>
              <w:snapToGrid w:val="0"/>
              <w:spacing w:line="440" w:lineRule="exact"/>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highlight w:val="none"/>
              </w:rPr>
              <w:t>此外，还应加强施工期环境保护，防止工程施工对周围空气、声环境造成污染，从而影响管道沿线村民正常生产生活。</w:t>
            </w:r>
          </w:p>
        </w:tc>
      </w:tr>
      <w:tr w14:paraId="77DEB8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89" w:type="pct"/>
            <w:vAlign w:val="center"/>
          </w:tcPr>
          <w:p w14:paraId="35A72D21">
            <w:pPr>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cs="Times New Roman"/>
                <w:color w:val="auto"/>
                <w:kern w:val="0"/>
                <w:highlight w:val="none"/>
              </w:rPr>
            </w:pPr>
            <w:r>
              <w:rPr>
                <w:rFonts w:hint="eastAsia" w:cs="Times New Roman"/>
                <w:bCs/>
                <w:color w:val="auto"/>
                <w:kern w:val="0"/>
                <w:highlight w:val="none"/>
                <w:lang w:val="en-US" w:eastAsia="zh-CN"/>
              </w:rPr>
              <w:t>污染物排放控制</w:t>
            </w:r>
            <w:r>
              <w:rPr>
                <w:rFonts w:hint="default" w:ascii="Times New Roman" w:hAnsi="Times New Roman" w:cs="Times New Roman"/>
                <w:bCs/>
                <w:color w:val="auto"/>
                <w:kern w:val="0"/>
                <w:highlight w:val="none"/>
              </w:rPr>
              <w:t>标准</w:t>
            </w:r>
          </w:p>
        </w:tc>
        <w:tc>
          <w:tcPr>
            <w:tcW w:w="4610" w:type="pct"/>
            <w:vAlign w:val="center"/>
          </w:tcPr>
          <w:p w14:paraId="453578A9">
            <w:pPr>
              <w:adjustRightInd w:val="0"/>
              <w:snapToGrid w:val="0"/>
              <w:spacing w:line="44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（1）废气：</w:t>
            </w:r>
          </w:p>
          <w:p w14:paraId="0BC6F70E">
            <w:pPr>
              <w:adjustRightInd w:val="0"/>
              <w:snapToGrid w:val="0"/>
              <w:spacing w:line="44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表3-3</w:t>
            </w: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运营期废气污染物排放标准</w:t>
            </w:r>
          </w:p>
          <w:tbl>
            <w:tblPr>
              <w:tblStyle w:val="118"/>
              <w:tblW w:w="8300" w:type="dxa"/>
              <w:tblInd w:w="-13" w:type="dxa"/>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Layout w:type="autofit"/>
              <w:tblCellMar>
                <w:top w:w="0" w:type="dxa"/>
                <w:left w:w="0" w:type="dxa"/>
                <w:bottom w:w="0" w:type="dxa"/>
                <w:right w:w="0" w:type="dxa"/>
              </w:tblCellMar>
            </w:tblPr>
            <w:tblGrid>
              <w:gridCol w:w="1509"/>
              <w:gridCol w:w="1194"/>
              <w:gridCol w:w="88"/>
              <w:gridCol w:w="1815"/>
              <w:gridCol w:w="1245"/>
              <w:gridCol w:w="1317"/>
              <w:gridCol w:w="1132"/>
            </w:tblGrid>
            <w:tr w14:paraId="5B70AD79">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09" w:type="pct"/>
                  <w:vMerge w:val="restart"/>
                  <w:tcBorders>
                    <w:top w:val="single" w:color="auto" w:sz="12" w:space="0"/>
                    <w:left w:val="single" w:color="000000" w:sz="12" w:space="0"/>
                  </w:tcBorders>
                  <w:vAlign w:val="center"/>
                </w:tcPr>
                <w:p w14:paraId="2AF83B0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污染物</w:t>
                  </w:r>
                </w:p>
              </w:tc>
              <w:tc>
                <w:tcPr>
                  <w:tcW w:w="1865" w:type="pct"/>
                  <w:gridSpan w:val="3"/>
                  <w:tcBorders>
                    <w:top w:val="single" w:color="auto" w:sz="12" w:space="0"/>
                  </w:tcBorders>
                  <w:vAlign w:val="center"/>
                </w:tcPr>
                <w:p w14:paraId="3050F9C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有组织</w:t>
                  </w:r>
                </w:p>
              </w:tc>
              <w:tc>
                <w:tcPr>
                  <w:tcW w:w="1543" w:type="pct"/>
                  <w:gridSpan w:val="2"/>
                  <w:tcBorders>
                    <w:top w:val="single" w:color="auto" w:sz="12" w:space="0"/>
                  </w:tcBorders>
                  <w:vAlign w:val="center"/>
                </w:tcPr>
                <w:p w14:paraId="3D9D6D5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无组织排放监控浓度限值</w:t>
                  </w:r>
                </w:p>
              </w:tc>
              <w:tc>
                <w:tcPr>
                  <w:tcW w:w="681" w:type="pct"/>
                  <w:vMerge w:val="restart"/>
                  <w:tcBorders>
                    <w:top w:val="single" w:color="auto" w:sz="12" w:space="0"/>
                    <w:right w:val="single" w:color="auto" w:sz="12" w:space="0"/>
                  </w:tcBorders>
                  <w:vAlign w:val="center"/>
                </w:tcPr>
                <w:p w14:paraId="001B998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执行标准</w:t>
                  </w:r>
                </w:p>
              </w:tc>
            </w:tr>
            <w:tr w14:paraId="3408FB2A">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09" w:type="pct"/>
                  <w:vMerge w:val="continue"/>
                  <w:tcBorders>
                    <w:left w:val="single" w:color="000000" w:sz="12" w:space="0"/>
                  </w:tcBorders>
                  <w:vAlign w:val="center"/>
                </w:tcPr>
                <w:p w14:paraId="360FF04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p>
              </w:tc>
              <w:tc>
                <w:tcPr>
                  <w:tcW w:w="772" w:type="pct"/>
                  <w:gridSpan w:val="2"/>
                  <w:vAlign w:val="center"/>
                </w:tcPr>
                <w:p w14:paraId="500945B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排气筒高度（m）</w:t>
                  </w:r>
                </w:p>
              </w:tc>
              <w:tc>
                <w:tcPr>
                  <w:tcW w:w="1093" w:type="pct"/>
                  <w:vAlign w:val="center"/>
                </w:tcPr>
                <w:p w14:paraId="62819CF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排放浓度（mg/Nm³）</w:t>
                  </w:r>
                </w:p>
              </w:tc>
              <w:tc>
                <w:tcPr>
                  <w:tcW w:w="750" w:type="pct"/>
                  <w:vAlign w:val="center"/>
                </w:tcPr>
                <w:p w14:paraId="6AD16E0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监控点</w:t>
                  </w:r>
                </w:p>
              </w:tc>
              <w:tc>
                <w:tcPr>
                  <w:tcW w:w="793" w:type="pct"/>
                  <w:vAlign w:val="center"/>
                </w:tcPr>
                <w:p w14:paraId="7120460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浓度限值（mg/m³）</w:t>
                  </w:r>
                </w:p>
              </w:tc>
              <w:tc>
                <w:tcPr>
                  <w:tcW w:w="681" w:type="pct"/>
                  <w:vMerge w:val="continue"/>
                  <w:tcBorders>
                    <w:right w:val="single" w:color="auto" w:sz="12" w:space="0"/>
                  </w:tcBorders>
                  <w:vAlign w:val="center"/>
                </w:tcPr>
                <w:p w14:paraId="25A7C54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color w:val="auto"/>
                      <w:sz w:val="18"/>
                      <w:szCs w:val="18"/>
                      <w:highlight w:val="none"/>
                      <w:lang w:val="en-US" w:eastAsia="zh-CN"/>
                    </w:rPr>
                  </w:pPr>
                </w:p>
              </w:tc>
            </w:tr>
            <w:tr w14:paraId="4174172C">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09" w:type="pct"/>
                  <w:tcBorders>
                    <w:left w:val="single" w:color="000000" w:sz="12" w:space="0"/>
                  </w:tcBorders>
                  <w:vAlign w:val="center"/>
                </w:tcPr>
                <w:p w14:paraId="34035EC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颗粒物</w:t>
                  </w:r>
                </w:p>
              </w:tc>
              <w:tc>
                <w:tcPr>
                  <w:tcW w:w="719" w:type="pct"/>
                  <w:vAlign w:val="center"/>
                </w:tcPr>
                <w:p w14:paraId="3CB5412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w:t>
                  </w:r>
                  <w:r>
                    <w:rPr>
                      <w:rFonts w:hint="eastAsia" w:cs="Times New Roman"/>
                      <w:color w:val="auto"/>
                      <w:sz w:val="18"/>
                      <w:szCs w:val="18"/>
                      <w:highlight w:val="none"/>
                      <w:lang w:val="en-US" w:eastAsia="zh-CN"/>
                    </w:rPr>
                    <w:t>2</w:t>
                  </w:r>
                </w:p>
              </w:tc>
              <w:tc>
                <w:tcPr>
                  <w:tcW w:w="1146" w:type="pct"/>
                  <w:gridSpan w:val="2"/>
                  <w:vAlign w:val="center"/>
                </w:tcPr>
                <w:p w14:paraId="3DD68E5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FF"/>
                      <w:sz w:val="18"/>
                      <w:szCs w:val="18"/>
                      <w:highlight w:val="none"/>
                      <w:lang w:val="en-US" w:eastAsia="zh-CN"/>
                    </w:rPr>
                  </w:pPr>
                  <w:r>
                    <w:rPr>
                      <w:rFonts w:hint="eastAsia" w:cs="Times New Roman"/>
                      <w:color w:val="0000FF"/>
                      <w:sz w:val="18"/>
                      <w:szCs w:val="18"/>
                      <w:highlight w:val="none"/>
                      <w:lang w:val="en-US" w:eastAsia="zh-CN"/>
                    </w:rPr>
                    <w:t>20</w:t>
                  </w:r>
                </w:p>
              </w:tc>
              <w:tc>
                <w:tcPr>
                  <w:tcW w:w="750" w:type="pct"/>
                  <w:vMerge w:val="restart"/>
                  <w:vAlign w:val="center"/>
                </w:tcPr>
                <w:p w14:paraId="5AA9AE7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厂界外浓度最高点</w:t>
                  </w:r>
                </w:p>
              </w:tc>
              <w:tc>
                <w:tcPr>
                  <w:tcW w:w="793" w:type="pct"/>
                  <w:vAlign w:val="center"/>
                </w:tcPr>
                <w:p w14:paraId="62B6ECE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681" w:type="pct"/>
                  <w:vMerge w:val="restart"/>
                  <w:tcBorders>
                    <w:right w:val="single" w:color="auto" w:sz="12" w:space="0"/>
                  </w:tcBorders>
                  <w:vAlign w:val="center"/>
                </w:tcPr>
                <w:p w14:paraId="396650C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《锅炉大气污染物排放标准》（GB 13271-2014）</w:t>
                  </w:r>
                  <w:r>
                    <w:rPr>
                      <w:rFonts w:hint="eastAsia" w:cs="Times New Roman"/>
                      <w:color w:val="auto"/>
                      <w:sz w:val="18"/>
                      <w:szCs w:val="18"/>
                      <w:highlight w:val="none"/>
                      <w:lang w:val="en-US" w:eastAsia="zh-CN"/>
                    </w:rPr>
                    <w:t>表2新建锅炉大气污染物排放浓度限值</w:t>
                  </w:r>
                </w:p>
              </w:tc>
            </w:tr>
            <w:tr w14:paraId="78A08D1B">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09" w:type="pct"/>
                  <w:tcBorders>
                    <w:left w:val="single" w:color="000000" w:sz="12" w:space="0"/>
                  </w:tcBorders>
                  <w:vAlign w:val="center"/>
                </w:tcPr>
                <w:p w14:paraId="389AA24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二氧化硫</w:t>
                  </w:r>
                </w:p>
              </w:tc>
              <w:tc>
                <w:tcPr>
                  <w:tcW w:w="719" w:type="pct"/>
                  <w:vAlign w:val="center"/>
                </w:tcPr>
                <w:p w14:paraId="0D23764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w:t>
                  </w:r>
                  <w:r>
                    <w:rPr>
                      <w:rFonts w:hint="eastAsia" w:cs="Times New Roman"/>
                      <w:color w:val="auto"/>
                      <w:sz w:val="18"/>
                      <w:szCs w:val="18"/>
                      <w:highlight w:val="none"/>
                      <w:lang w:val="en-US" w:eastAsia="zh-CN"/>
                    </w:rPr>
                    <w:t>2</w:t>
                  </w:r>
                </w:p>
              </w:tc>
              <w:tc>
                <w:tcPr>
                  <w:tcW w:w="1146" w:type="pct"/>
                  <w:gridSpan w:val="2"/>
                  <w:vAlign w:val="center"/>
                </w:tcPr>
                <w:p w14:paraId="64CA6BC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0000FF"/>
                      <w:sz w:val="18"/>
                      <w:szCs w:val="18"/>
                      <w:highlight w:val="none"/>
                    </w:rPr>
                  </w:pPr>
                  <w:r>
                    <w:rPr>
                      <w:rFonts w:hint="default" w:ascii="Times New Roman" w:hAnsi="Times New Roman" w:cs="Times New Roman"/>
                      <w:color w:val="0000FF"/>
                      <w:sz w:val="18"/>
                      <w:szCs w:val="18"/>
                      <w:highlight w:val="none"/>
                    </w:rPr>
                    <w:t>50</w:t>
                  </w:r>
                </w:p>
              </w:tc>
              <w:tc>
                <w:tcPr>
                  <w:tcW w:w="750" w:type="pct"/>
                  <w:vMerge w:val="continue"/>
                  <w:vAlign w:val="center"/>
                </w:tcPr>
                <w:p w14:paraId="537B9E1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p>
              </w:tc>
              <w:tc>
                <w:tcPr>
                  <w:tcW w:w="793" w:type="pct"/>
                  <w:vAlign w:val="center"/>
                </w:tcPr>
                <w:p w14:paraId="0E72C35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681" w:type="pct"/>
                  <w:vMerge w:val="continue"/>
                  <w:tcBorders>
                    <w:right w:val="single" w:color="auto" w:sz="12" w:space="0"/>
                  </w:tcBorders>
                  <w:vAlign w:val="center"/>
                </w:tcPr>
                <w:p w14:paraId="025154D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p>
              </w:tc>
            </w:tr>
            <w:tr w14:paraId="56E993D7">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09" w:type="pct"/>
                  <w:tcBorders>
                    <w:left w:val="single" w:color="000000" w:sz="12" w:space="0"/>
                  </w:tcBorders>
                  <w:vAlign w:val="center"/>
                </w:tcPr>
                <w:p w14:paraId="72576C3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氮氧化物</w:t>
                  </w:r>
                </w:p>
              </w:tc>
              <w:tc>
                <w:tcPr>
                  <w:tcW w:w="719" w:type="pct"/>
                  <w:vAlign w:val="center"/>
                </w:tcPr>
                <w:p w14:paraId="6B912F2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w:t>
                  </w:r>
                  <w:r>
                    <w:rPr>
                      <w:rFonts w:hint="eastAsia" w:cs="Times New Roman"/>
                      <w:color w:val="auto"/>
                      <w:sz w:val="18"/>
                      <w:szCs w:val="18"/>
                      <w:highlight w:val="none"/>
                      <w:lang w:val="en-US" w:eastAsia="zh-CN"/>
                    </w:rPr>
                    <w:t>2</w:t>
                  </w:r>
                </w:p>
              </w:tc>
              <w:tc>
                <w:tcPr>
                  <w:tcW w:w="1146" w:type="pct"/>
                  <w:gridSpan w:val="2"/>
                  <w:vAlign w:val="center"/>
                </w:tcPr>
                <w:p w14:paraId="3413B8C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FF"/>
                      <w:sz w:val="18"/>
                      <w:szCs w:val="18"/>
                      <w:highlight w:val="none"/>
                      <w:lang w:val="en-US" w:eastAsia="zh-CN"/>
                    </w:rPr>
                  </w:pPr>
                  <w:r>
                    <w:rPr>
                      <w:rFonts w:hint="eastAsia" w:cs="Times New Roman"/>
                      <w:color w:val="0000FF"/>
                      <w:sz w:val="18"/>
                      <w:szCs w:val="18"/>
                      <w:highlight w:val="none"/>
                      <w:lang w:val="en-US" w:eastAsia="zh-CN"/>
                    </w:rPr>
                    <w:t>200</w:t>
                  </w:r>
                </w:p>
              </w:tc>
              <w:tc>
                <w:tcPr>
                  <w:tcW w:w="750" w:type="pct"/>
                  <w:vMerge w:val="continue"/>
                  <w:vAlign w:val="center"/>
                </w:tcPr>
                <w:p w14:paraId="7FCDF48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p>
              </w:tc>
              <w:tc>
                <w:tcPr>
                  <w:tcW w:w="793" w:type="pct"/>
                  <w:vAlign w:val="center"/>
                </w:tcPr>
                <w:p w14:paraId="50581DE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681" w:type="pct"/>
                  <w:vMerge w:val="continue"/>
                  <w:tcBorders>
                    <w:right w:val="single" w:color="auto" w:sz="12" w:space="0"/>
                  </w:tcBorders>
                  <w:vAlign w:val="center"/>
                </w:tcPr>
                <w:p w14:paraId="20E31BE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p>
              </w:tc>
            </w:tr>
            <w:tr w14:paraId="7499CC6B">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09" w:type="pct"/>
                  <w:tcBorders>
                    <w:left w:val="single" w:color="000000" w:sz="12" w:space="0"/>
                  </w:tcBorders>
                  <w:vAlign w:val="center"/>
                </w:tcPr>
                <w:p w14:paraId="3AABBD8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烟气林格曼黑度（级）</w:t>
                  </w:r>
                </w:p>
              </w:tc>
              <w:tc>
                <w:tcPr>
                  <w:tcW w:w="719" w:type="pct"/>
                  <w:vAlign w:val="center"/>
                </w:tcPr>
                <w:p w14:paraId="6653824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w:t>
                  </w:r>
                  <w:r>
                    <w:rPr>
                      <w:rFonts w:hint="eastAsia" w:cs="Times New Roman"/>
                      <w:color w:val="auto"/>
                      <w:sz w:val="18"/>
                      <w:szCs w:val="18"/>
                      <w:highlight w:val="none"/>
                      <w:lang w:val="en-US" w:eastAsia="zh-CN"/>
                    </w:rPr>
                    <w:t>2</w:t>
                  </w:r>
                </w:p>
              </w:tc>
              <w:tc>
                <w:tcPr>
                  <w:tcW w:w="1146" w:type="pct"/>
                  <w:gridSpan w:val="2"/>
                  <w:vAlign w:val="center"/>
                </w:tcPr>
                <w:p w14:paraId="6DD25DA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1级</w:t>
                  </w:r>
                </w:p>
              </w:tc>
              <w:tc>
                <w:tcPr>
                  <w:tcW w:w="750" w:type="pct"/>
                  <w:vMerge w:val="continue"/>
                  <w:vAlign w:val="center"/>
                </w:tcPr>
                <w:p w14:paraId="4836DCF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p>
              </w:tc>
              <w:tc>
                <w:tcPr>
                  <w:tcW w:w="793" w:type="pct"/>
                  <w:vAlign w:val="center"/>
                </w:tcPr>
                <w:p w14:paraId="3D8892C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681" w:type="pct"/>
                  <w:vMerge w:val="continue"/>
                  <w:tcBorders>
                    <w:right w:val="single" w:color="auto" w:sz="12" w:space="0"/>
                  </w:tcBorders>
                  <w:vAlign w:val="center"/>
                </w:tcPr>
                <w:p w14:paraId="0EC008A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p>
              </w:tc>
            </w:tr>
            <w:tr w14:paraId="536A40FE">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09" w:type="pct"/>
                  <w:tcBorders>
                    <w:left w:val="single" w:color="000000" w:sz="12" w:space="0"/>
                    <w:bottom w:val="single" w:color="000000" w:sz="12" w:space="0"/>
                  </w:tcBorders>
                  <w:vAlign w:val="center"/>
                </w:tcPr>
                <w:p w14:paraId="36F7028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0000FF"/>
                      <w:sz w:val="18"/>
                      <w:szCs w:val="18"/>
                      <w:highlight w:val="none"/>
                    </w:rPr>
                  </w:pPr>
                  <w:r>
                    <w:rPr>
                      <w:rFonts w:hint="default" w:ascii="Times New Roman" w:hAnsi="Times New Roman" w:cs="Times New Roman"/>
                      <w:color w:val="0000FF"/>
                      <w:sz w:val="18"/>
                      <w:szCs w:val="18"/>
                      <w:highlight w:val="none"/>
                    </w:rPr>
                    <w:t>臭气浓度</w:t>
                  </w:r>
                </w:p>
              </w:tc>
              <w:tc>
                <w:tcPr>
                  <w:tcW w:w="719" w:type="pct"/>
                  <w:tcBorders>
                    <w:bottom w:val="single" w:color="000000" w:sz="12" w:space="0"/>
                  </w:tcBorders>
                  <w:vAlign w:val="center"/>
                </w:tcPr>
                <w:p w14:paraId="3F14A98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1146" w:type="pct"/>
                  <w:gridSpan w:val="2"/>
                  <w:tcBorders>
                    <w:bottom w:val="single" w:color="000000" w:sz="12" w:space="0"/>
                  </w:tcBorders>
                  <w:vAlign w:val="center"/>
                </w:tcPr>
                <w:p w14:paraId="5A327B7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50" w:type="pct"/>
                  <w:vMerge w:val="continue"/>
                  <w:tcBorders>
                    <w:bottom w:val="single" w:color="000000" w:sz="12" w:space="0"/>
                  </w:tcBorders>
                  <w:vAlign w:val="center"/>
                </w:tcPr>
                <w:p w14:paraId="5B58145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p>
              </w:tc>
              <w:tc>
                <w:tcPr>
                  <w:tcW w:w="793" w:type="pct"/>
                  <w:tcBorders>
                    <w:bottom w:val="single" w:color="000000" w:sz="12" w:space="0"/>
                  </w:tcBorders>
                  <w:vAlign w:val="center"/>
                </w:tcPr>
                <w:p w14:paraId="3887FAB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20</w:t>
                  </w:r>
                </w:p>
              </w:tc>
              <w:tc>
                <w:tcPr>
                  <w:tcW w:w="681" w:type="pct"/>
                  <w:tcBorders>
                    <w:bottom w:val="single" w:color="000000" w:sz="12" w:space="0"/>
                    <w:right w:val="single" w:color="000000" w:sz="12" w:space="0"/>
                  </w:tcBorders>
                  <w:vAlign w:val="center"/>
                </w:tcPr>
                <w:p w14:paraId="4350972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18"/>
                      <w:szCs w:val="18"/>
                      <w:highlight w:val="none"/>
                    </w:rPr>
                  </w:pPr>
                  <w:r>
                    <w:rPr>
                      <w:rFonts w:hint="eastAsia" w:cs="Times New Roman"/>
                      <w:color w:val="auto"/>
                      <w:sz w:val="18"/>
                      <w:szCs w:val="18"/>
                      <w:highlight w:val="none"/>
                      <w:lang w:eastAsia="zh-CN"/>
                    </w:rPr>
                    <w:t>《</w:t>
                  </w:r>
                  <w:r>
                    <w:rPr>
                      <w:rFonts w:hint="default" w:ascii="Times New Roman" w:hAnsi="Times New Roman" w:cs="Times New Roman"/>
                      <w:color w:val="auto"/>
                      <w:sz w:val="18"/>
                      <w:szCs w:val="18"/>
                      <w:highlight w:val="none"/>
                    </w:rPr>
                    <w:t>恶臭污染物排放标准》（GB 14554-1993）表1新改扩建二级标准</w:t>
                  </w:r>
                </w:p>
              </w:tc>
            </w:tr>
          </w:tbl>
          <w:p w14:paraId="2D43A890">
            <w:pPr>
              <w:adjustRightInd w:val="0"/>
              <w:snapToGrid w:val="0"/>
              <w:spacing w:line="44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（2）噪声：</w:t>
            </w:r>
          </w:p>
          <w:p w14:paraId="0386E1DB">
            <w:pPr>
              <w:snapToGrid w:val="0"/>
              <w:spacing w:line="400" w:lineRule="exact"/>
              <w:ind w:firstLine="480" w:firstLineChars="20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施工</w:t>
            </w:r>
            <w:r>
              <w:rPr>
                <w:rFonts w:hint="eastAsia" w:cs="Times New Roman"/>
                <w:color w:val="auto"/>
                <w:highlight w:val="none"/>
                <w:lang w:val="en-US" w:eastAsia="zh-CN"/>
              </w:rPr>
              <w:t>期</w:t>
            </w:r>
            <w:r>
              <w:rPr>
                <w:rFonts w:hint="default" w:ascii="Times New Roman" w:hAnsi="Times New Roman" w:cs="Times New Roman"/>
                <w:color w:val="auto"/>
                <w:highlight w:val="none"/>
              </w:rPr>
              <w:t>噪声执行</w:t>
            </w:r>
            <w:r>
              <w:rPr>
                <w:rFonts w:hint="eastAsia"/>
                <w:lang w:val="en-US" w:eastAsia="zh-CN"/>
              </w:rPr>
              <w:t>《建筑施工噪声排放标准》（GB12523-2025）</w:t>
            </w:r>
            <w:r>
              <w:rPr>
                <w:rFonts w:hint="default" w:ascii="Times New Roman" w:hAnsi="Times New Roman" w:cs="Times New Roman"/>
                <w:color w:val="auto"/>
                <w:highlight w:val="none"/>
              </w:rPr>
              <w:t>要求（昼间：</w:t>
            </w:r>
            <w:r>
              <w:rPr>
                <w:rFonts w:hint="eastAsia" w:cs="Times New Roman"/>
                <w:color w:val="auto"/>
                <w:highlight w:val="none"/>
                <w:lang w:val="en-US" w:eastAsia="zh-CN"/>
              </w:rPr>
              <w:t>70</w:t>
            </w:r>
            <w:r>
              <w:rPr>
                <w:rFonts w:hint="default" w:ascii="Times New Roman" w:hAnsi="Times New Roman" w:cs="Times New Roman"/>
                <w:color w:val="auto"/>
                <w:highlight w:val="none"/>
              </w:rPr>
              <w:t>dB</w:t>
            </w:r>
            <w:r>
              <w:rPr>
                <w:rFonts w:hint="eastAsia" w:cs="Times New Roman"/>
                <w:color w:val="auto"/>
                <w:highlight w:val="none"/>
                <w:lang w:val="en-US" w:eastAsia="zh-CN"/>
              </w:rPr>
              <w:t>(</w:t>
            </w:r>
            <w:r>
              <w:rPr>
                <w:rFonts w:hint="default" w:ascii="Times New Roman" w:hAnsi="Times New Roman" w:cs="Times New Roman"/>
                <w:color w:val="auto"/>
                <w:highlight w:val="none"/>
              </w:rPr>
              <w:t>A</w:t>
            </w:r>
            <w:r>
              <w:rPr>
                <w:rFonts w:hint="eastAsia" w:cs="Times New Roman"/>
                <w:color w:val="auto"/>
                <w:highlight w:val="none"/>
                <w:lang w:val="en-US" w:eastAsia="zh-CN"/>
              </w:rPr>
              <w:t>)，</w:t>
            </w:r>
            <w:r>
              <w:rPr>
                <w:rFonts w:hint="default" w:ascii="Times New Roman" w:hAnsi="Times New Roman" w:cs="Times New Roman"/>
                <w:color w:val="auto"/>
                <w:highlight w:val="none"/>
              </w:rPr>
              <w:t>夜间：55dB</w:t>
            </w:r>
            <w:r>
              <w:rPr>
                <w:rFonts w:hint="eastAsia" w:cs="Times New Roman"/>
                <w:color w:val="auto"/>
                <w:highlight w:val="none"/>
                <w:lang w:val="en-US" w:eastAsia="zh-CN"/>
              </w:rPr>
              <w:t>(</w:t>
            </w:r>
            <w:r>
              <w:rPr>
                <w:rFonts w:hint="default" w:ascii="Times New Roman" w:hAnsi="Times New Roman" w:cs="Times New Roman"/>
                <w:color w:val="auto"/>
                <w:highlight w:val="none"/>
              </w:rPr>
              <w:t>A</w:t>
            </w:r>
            <w:r>
              <w:rPr>
                <w:rFonts w:hint="eastAsia" w:cs="Times New Roman"/>
                <w:color w:val="auto"/>
                <w:highlight w:val="none"/>
                <w:lang w:val="en-US" w:eastAsia="zh-CN"/>
              </w:rPr>
              <w:t>)</w:t>
            </w:r>
            <w:r>
              <w:rPr>
                <w:rFonts w:hint="default" w:ascii="Times New Roman" w:hAnsi="Times New Roman" w:cs="Times New Roman"/>
                <w:color w:val="auto"/>
                <w:highlight w:val="none"/>
              </w:rPr>
              <w:t>）</w:t>
            </w:r>
            <w:r>
              <w:rPr>
                <w:rFonts w:hint="eastAsia" w:cs="Times New Roman"/>
                <w:color w:val="auto"/>
                <w:highlight w:val="none"/>
                <w:lang w:eastAsia="zh-CN"/>
              </w:rPr>
              <w:t>。</w:t>
            </w:r>
          </w:p>
          <w:p w14:paraId="3FD77F4B">
            <w:pPr>
              <w:snapToGrid w:val="0"/>
              <w:spacing w:line="40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运营期噪声执行《工业企业厂界环境噪声排放标准》（GB12348-2008）3类标准（昼间：</w:t>
            </w:r>
            <w:r>
              <w:rPr>
                <w:rFonts w:hint="eastAsia" w:ascii="Times New Roman" w:hAnsi="Times New Roman" w:cs="Times New Roman"/>
                <w:color w:val="auto"/>
                <w:highlight w:val="none"/>
                <w:lang w:val="en-US" w:eastAsia="zh-CN"/>
              </w:rPr>
              <w:t>65</w:t>
            </w:r>
            <w:r>
              <w:rPr>
                <w:rFonts w:hint="default" w:ascii="Times New Roman" w:hAnsi="Times New Roman" w:cs="Times New Roman"/>
                <w:color w:val="auto"/>
                <w:highlight w:val="none"/>
              </w:rPr>
              <w:t>dB</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A</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夜间：55dB</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A</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w:t>
            </w:r>
          </w:p>
          <w:p w14:paraId="1145D3C0">
            <w:pPr>
              <w:snapToGrid w:val="0"/>
              <w:spacing w:line="40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（3）废水：</w:t>
            </w:r>
          </w:p>
          <w:p w14:paraId="3EB679C0">
            <w:pPr>
              <w:snapToGrid w:val="0"/>
              <w:spacing w:line="40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本项目废水排放执行</w:t>
            </w:r>
            <w:r>
              <w:rPr>
                <w:rFonts w:hint="eastAsia" w:cs="Times New Roman"/>
                <w:color w:val="auto"/>
                <w:highlight w:val="none"/>
                <w:lang w:eastAsia="zh-CN"/>
              </w:rPr>
              <w:t>《污水综合排放标准》（GB8978-1996）及修改单</w:t>
            </w:r>
            <w:r>
              <w:rPr>
                <w:rFonts w:hint="default" w:ascii="Times New Roman" w:hAnsi="Times New Roman" w:cs="Times New Roman"/>
                <w:color w:val="auto"/>
                <w:highlight w:val="none"/>
              </w:rPr>
              <w:t>表4三级标准，同时应满足</w:t>
            </w:r>
            <w:r>
              <w:rPr>
                <w:rFonts w:hint="eastAsia" w:cs="Times New Roman"/>
                <w:color w:val="auto"/>
                <w:highlight w:val="none"/>
                <w:lang w:val="en-US" w:eastAsia="zh-CN"/>
              </w:rPr>
              <w:t>园区</w:t>
            </w:r>
            <w:r>
              <w:rPr>
                <w:rFonts w:hint="eastAsia" w:ascii="Times New Roman" w:hAnsi="Times New Roman" w:cs="Times New Roman"/>
                <w:color w:val="auto"/>
                <w:highlight w:val="none"/>
                <w:lang w:val="en-US" w:eastAsia="zh-CN"/>
              </w:rPr>
              <w:t>污水处理厂</w:t>
            </w:r>
            <w:r>
              <w:rPr>
                <w:rFonts w:hint="default" w:ascii="Times New Roman" w:hAnsi="Times New Roman" w:cs="Times New Roman"/>
                <w:color w:val="auto"/>
                <w:highlight w:val="none"/>
              </w:rPr>
              <w:t>进水水质要求，具体标准见下表。</w:t>
            </w:r>
          </w:p>
          <w:p w14:paraId="6DA52F97">
            <w:pPr>
              <w:snapToGrid w:val="0"/>
              <w:spacing w:line="40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表3-4废水排放标准</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093"/>
              <w:gridCol w:w="606"/>
              <w:gridCol w:w="2315"/>
              <w:gridCol w:w="2115"/>
              <w:gridCol w:w="1603"/>
            </w:tblGrid>
            <w:tr w14:paraId="14D3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12" w:space="0"/>
                  </w:tcBorders>
                  <w:vAlign w:val="top"/>
                </w:tcPr>
                <w:p w14:paraId="33F436B4">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0" w:type="auto"/>
                  <w:tcBorders>
                    <w:top w:val="single" w:color="auto" w:sz="12" w:space="0"/>
                  </w:tcBorders>
                  <w:vAlign w:val="top"/>
                </w:tcPr>
                <w:p w14:paraId="75205796">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污染物名称</w:t>
                  </w:r>
                </w:p>
              </w:tc>
              <w:tc>
                <w:tcPr>
                  <w:tcW w:w="0" w:type="auto"/>
                  <w:tcBorders>
                    <w:top w:val="single" w:color="auto" w:sz="12" w:space="0"/>
                  </w:tcBorders>
                  <w:vAlign w:val="top"/>
                </w:tcPr>
                <w:p w14:paraId="6630F3A7">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w:t>
                  </w:r>
                </w:p>
              </w:tc>
              <w:tc>
                <w:tcPr>
                  <w:tcW w:w="0" w:type="auto"/>
                  <w:tcBorders>
                    <w:top w:val="single" w:color="auto" w:sz="12" w:space="0"/>
                  </w:tcBorders>
                  <w:vAlign w:val="top"/>
                </w:tcPr>
                <w:p w14:paraId="55EA9855">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GB8978-1996表4三级标准</w:t>
                  </w:r>
                </w:p>
              </w:tc>
              <w:tc>
                <w:tcPr>
                  <w:tcW w:w="0" w:type="auto"/>
                  <w:tcBorders>
                    <w:top w:val="single" w:color="auto" w:sz="12" w:space="0"/>
                  </w:tcBorders>
                  <w:vAlign w:val="top"/>
                </w:tcPr>
                <w:p w14:paraId="3FE34705">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eastAsia" w:cs="Times New Roman"/>
                      <w:color w:val="auto"/>
                      <w:sz w:val="18"/>
                      <w:szCs w:val="18"/>
                      <w:highlight w:val="none"/>
                      <w:lang w:val="en-US" w:eastAsia="zh-CN"/>
                    </w:rPr>
                    <w:t>园区污水处理厂</w:t>
                  </w:r>
                  <w:r>
                    <w:rPr>
                      <w:rFonts w:hint="default" w:ascii="Times New Roman" w:hAnsi="Times New Roman" w:cs="Times New Roman"/>
                      <w:color w:val="auto"/>
                      <w:sz w:val="18"/>
                      <w:szCs w:val="18"/>
                      <w:highlight w:val="none"/>
                    </w:rPr>
                    <w:t>进水水质</w:t>
                  </w:r>
                </w:p>
              </w:tc>
              <w:tc>
                <w:tcPr>
                  <w:tcW w:w="0" w:type="auto"/>
                  <w:tcBorders>
                    <w:top w:val="single" w:color="auto" w:sz="12" w:space="0"/>
                    <w:right w:val="single" w:color="auto" w:sz="12" w:space="0"/>
                  </w:tcBorders>
                  <w:vAlign w:val="top"/>
                </w:tcPr>
                <w:p w14:paraId="28FBAD22">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本项目执行标准值</w:t>
                  </w:r>
                </w:p>
              </w:tc>
            </w:tr>
            <w:tr w14:paraId="6360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single" w:color="auto" w:sz="4" w:space="0"/>
                  </w:tcBorders>
                  <w:vAlign w:val="top"/>
                </w:tcPr>
                <w:p w14:paraId="55618783">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0" w:type="auto"/>
                  <w:vAlign w:val="top"/>
                </w:tcPr>
                <w:p w14:paraId="0A602258">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pH</w:t>
                  </w:r>
                </w:p>
              </w:tc>
              <w:tc>
                <w:tcPr>
                  <w:tcW w:w="0" w:type="auto"/>
                  <w:vAlign w:val="top"/>
                </w:tcPr>
                <w:p w14:paraId="6D68E173">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0" w:type="auto"/>
                  <w:vAlign w:val="top"/>
                </w:tcPr>
                <w:p w14:paraId="6175B465">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w:t>
                  </w:r>
                </w:p>
              </w:tc>
              <w:tc>
                <w:tcPr>
                  <w:tcW w:w="0" w:type="auto"/>
                  <w:vAlign w:val="top"/>
                </w:tcPr>
                <w:p w14:paraId="1066EB24">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w:t>
                  </w:r>
                </w:p>
              </w:tc>
              <w:tc>
                <w:tcPr>
                  <w:tcW w:w="0" w:type="auto"/>
                  <w:tcBorders>
                    <w:right w:val="single" w:color="auto" w:sz="12" w:space="0"/>
                  </w:tcBorders>
                  <w:vAlign w:val="top"/>
                </w:tcPr>
                <w:p w14:paraId="5BA4B3F1">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6.5-9</w:t>
                  </w:r>
                </w:p>
              </w:tc>
            </w:tr>
            <w:tr w14:paraId="34A4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single" w:color="auto" w:sz="4" w:space="0"/>
                  </w:tcBorders>
                  <w:vAlign w:val="top"/>
                </w:tcPr>
                <w:p w14:paraId="6033CAE9">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0" w:type="auto"/>
                  <w:vAlign w:val="top"/>
                </w:tcPr>
                <w:p w14:paraId="217423E6">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COD</w:t>
                  </w:r>
                </w:p>
              </w:tc>
              <w:tc>
                <w:tcPr>
                  <w:tcW w:w="0" w:type="auto"/>
                  <w:vAlign w:val="top"/>
                </w:tcPr>
                <w:p w14:paraId="3F4ACB05">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mg/L</w:t>
                  </w:r>
                </w:p>
              </w:tc>
              <w:tc>
                <w:tcPr>
                  <w:tcW w:w="0" w:type="auto"/>
                  <w:vAlign w:val="top"/>
                </w:tcPr>
                <w:p w14:paraId="5F492D5D">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w:t>
                  </w:r>
                </w:p>
              </w:tc>
              <w:tc>
                <w:tcPr>
                  <w:tcW w:w="0" w:type="auto"/>
                  <w:vAlign w:val="top"/>
                </w:tcPr>
                <w:p w14:paraId="7D695AF7">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w:t>
                  </w:r>
                </w:p>
              </w:tc>
              <w:tc>
                <w:tcPr>
                  <w:tcW w:w="0" w:type="auto"/>
                  <w:tcBorders>
                    <w:right w:val="single" w:color="auto" w:sz="12" w:space="0"/>
                  </w:tcBorders>
                  <w:vAlign w:val="top"/>
                </w:tcPr>
                <w:p w14:paraId="28DB13CB">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w:t>
                  </w:r>
                </w:p>
              </w:tc>
            </w:tr>
            <w:tr w14:paraId="50A5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single" w:color="auto" w:sz="4" w:space="0"/>
                  </w:tcBorders>
                  <w:vAlign w:val="top"/>
                </w:tcPr>
                <w:p w14:paraId="1E948BF3">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0" w:type="auto"/>
                  <w:vAlign w:val="top"/>
                </w:tcPr>
                <w:p w14:paraId="3E743DE7">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BOD</w:t>
                  </w:r>
                  <w:r>
                    <w:rPr>
                      <w:rFonts w:hint="default" w:ascii="Times New Roman" w:hAnsi="Times New Roman" w:cs="Times New Roman"/>
                      <w:color w:val="auto"/>
                      <w:sz w:val="18"/>
                      <w:szCs w:val="18"/>
                      <w:highlight w:val="none"/>
                      <w:vertAlign w:val="subscript"/>
                    </w:rPr>
                    <w:t>5</w:t>
                  </w:r>
                </w:p>
              </w:tc>
              <w:tc>
                <w:tcPr>
                  <w:tcW w:w="0" w:type="auto"/>
                  <w:vAlign w:val="top"/>
                </w:tcPr>
                <w:p w14:paraId="61C75050">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mg/L</w:t>
                  </w:r>
                </w:p>
              </w:tc>
              <w:tc>
                <w:tcPr>
                  <w:tcW w:w="0" w:type="auto"/>
                  <w:vAlign w:val="top"/>
                </w:tcPr>
                <w:p w14:paraId="0FAF5A5B">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w:t>
                  </w:r>
                </w:p>
              </w:tc>
              <w:tc>
                <w:tcPr>
                  <w:tcW w:w="0" w:type="auto"/>
                  <w:vAlign w:val="top"/>
                </w:tcPr>
                <w:p w14:paraId="18638414">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w:t>
                  </w:r>
                </w:p>
              </w:tc>
              <w:tc>
                <w:tcPr>
                  <w:tcW w:w="0" w:type="auto"/>
                  <w:tcBorders>
                    <w:right w:val="single" w:color="auto" w:sz="12" w:space="0"/>
                  </w:tcBorders>
                  <w:vAlign w:val="top"/>
                </w:tcPr>
                <w:p w14:paraId="5E5FDA82">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w:t>
                  </w:r>
                </w:p>
              </w:tc>
            </w:tr>
            <w:tr w14:paraId="0F91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single" w:color="auto" w:sz="4" w:space="0"/>
                  </w:tcBorders>
                  <w:vAlign w:val="top"/>
                </w:tcPr>
                <w:p w14:paraId="48653F97">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0" w:type="auto"/>
                  <w:vAlign w:val="top"/>
                </w:tcPr>
                <w:p w14:paraId="7A386C39">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悬浮物</w:t>
                  </w:r>
                </w:p>
              </w:tc>
              <w:tc>
                <w:tcPr>
                  <w:tcW w:w="0" w:type="auto"/>
                  <w:vAlign w:val="top"/>
                </w:tcPr>
                <w:p w14:paraId="3EA9E9FE">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mg/L</w:t>
                  </w:r>
                </w:p>
              </w:tc>
              <w:tc>
                <w:tcPr>
                  <w:tcW w:w="0" w:type="auto"/>
                  <w:vAlign w:val="top"/>
                </w:tcPr>
                <w:p w14:paraId="6F6F9DE4">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≤400</w:t>
                  </w:r>
                </w:p>
              </w:tc>
              <w:tc>
                <w:tcPr>
                  <w:tcW w:w="0" w:type="auto"/>
                  <w:vAlign w:val="top"/>
                </w:tcPr>
                <w:p w14:paraId="4450AA43">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w:t>
                  </w:r>
                </w:p>
              </w:tc>
              <w:tc>
                <w:tcPr>
                  <w:tcW w:w="0" w:type="auto"/>
                  <w:tcBorders>
                    <w:right w:val="single" w:color="auto" w:sz="12" w:space="0"/>
                  </w:tcBorders>
                  <w:vAlign w:val="top"/>
                </w:tcPr>
                <w:p w14:paraId="7C177C73">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w:t>
                  </w:r>
                </w:p>
              </w:tc>
            </w:tr>
            <w:tr w14:paraId="152C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single" w:color="auto" w:sz="4" w:space="0"/>
                    <w:bottom w:val="single" w:color="auto" w:sz="12" w:space="0"/>
                  </w:tcBorders>
                  <w:vAlign w:val="top"/>
                </w:tcPr>
                <w:p w14:paraId="612011BD">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0" w:type="auto"/>
                  <w:tcBorders>
                    <w:bottom w:val="single" w:color="auto" w:sz="12" w:space="0"/>
                  </w:tcBorders>
                  <w:vAlign w:val="top"/>
                </w:tcPr>
                <w:p w14:paraId="519B26D3">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氨氮</w:t>
                  </w:r>
                </w:p>
              </w:tc>
              <w:tc>
                <w:tcPr>
                  <w:tcW w:w="0" w:type="auto"/>
                  <w:tcBorders>
                    <w:bottom w:val="single" w:color="auto" w:sz="12" w:space="0"/>
                  </w:tcBorders>
                  <w:vAlign w:val="top"/>
                </w:tcPr>
                <w:p w14:paraId="0AB960D4">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mg/L</w:t>
                  </w:r>
                </w:p>
              </w:tc>
              <w:tc>
                <w:tcPr>
                  <w:tcW w:w="0" w:type="auto"/>
                  <w:tcBorders>
                    <w:bottom w:val="single" w:color="auto" w:sz="12" w:space="0"/>
                  </w:tcBorders>
                  <w:vAlign w:val="top"/>
                </w:tcPr>
                <w:p w14:paraId="7670F631">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0" w:type="auto"/>
                  <w:tcBorders>
                    <w:bottom w:val="single" w:color="auto" w:sz="12" w:space="0"/>
                  </w:tcBorders>
                  <w:vAlign w:val="top"/>
                </w:tcPr>
                <w:p w14:paraId="6085F7F6">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w:t>
                  </w:r>
                </w:p>
              </w:tc>
              <w:tc>
                <w:tcPr>
                  <w:tcW w:w="0" w:type="auto"/>
                  <w:tcBorders>
                    <w:bottom w:val="single" w:color="auto" w:sz="12" w:space="0"/>
                    <w:right w:val="single" w:color="auto" w:sz="12" w:space="0"/>
                  </w:tcBorders>
                  <w:vAlign w:val="top"/>
                </w:tcPr>
                <w:p w14:paraId="4AF7F0D9">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w:t>
                  </w:r>
                </w:p>
              </w:tc>
            </w:tr>
          </w:tbl>
          <w:p w14:paraId="0F5A9BC8">
            <w:pPr>
              <w:snapToGrid w:val="0"/>
              <w:spacing w:line="40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（4）固体废物：</w:t>
            </w:r>
            <w:bookmarkStart w:id="27" w:name="_Hlk165314053"/>
          </w:p>
          <w:p w14:paraId="714B228E">
            <w:pPr>
              <w:snapToGrid w:val="0"/>
              <w:spacing w:line="40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一般固体废物满足《一般工业固体废物储存和填埋污染控制标准》（GB18599-2020）</w:t>
            </w:r>
            <w:bookmarkEnd w:id="27"/>
            <w:r>
              <w:rPr>
                <w:rFonts w:hint="eastAsia" w:cs="Times New Roman"/>
                <w:color w:val="auto"/>
                <w:highlight w:val="none"/>
                <w:lang w:eastAsia="zh-CN"/>
              </w:rPr>
              <w:t>、</w:t>
            </w:r>
            <w:r>
              <w:rPr>
                <w:rFonts w:hint="default" w:ascii="Times New Roman" w:hAnsi="Times New Roman" w:cs="Times New Roman"/>
                <w:color w:val="auto"/>
                <w:highlight w:val="none"/>
              </w:rPr>
              <w:t>《一般工业固体废物管理台账制定指南</w:t>
            </w:r>
            <w:r>
              <w:rPr>
                <w:rFonts w:hint="eastAsia" w:cs="Times New Roman"/>
                <w:color w:val="auto"/>
                <w:highlight w:val="none"/>
                <w:lang w:eastAsia="zh-CN"/>
              </w:rPr>
              <w:t>（</w:t>
            </w:r>
            <w:r>
              <w:rPr>
                <w:rFonts w:hint="default" w:ascii="Times New Roman" w:hAnsi="Times New Roman" w:cs="Times New Roman"/>
                <w:color w:val="auto"/>
                <w:highlight w:val="none"/>
              </w:rPr>
              <w:t>试行</w:t>
            </w:r>
            <w:r>
              <w:rPr>
                <w:rFonts w:hint="eastAsia" w:cs="Times New Roman"/>
                <w:color w:val="auto"/>
                <w:highlight w:val="none"/>
                <w:lang w:eastAsia="zh-CN"/>
              </w:rPr>
              <w:t>）</w:t>
            </w:r>
            <w:r>
              <w:rPr>
                <w:rFonts w:hint="default" w:ascii="Times New Roman" w:hAnsi="Times New Roman" w:cs="Times New Roman"/>
                <w:color w:val="auto"/>
                <w:highlight w:val="none"/>
              </w:rPr>
              <w:t>》（公告2021年第82号。</w:t>
            </w:r>
          </w:p>
          <w:p w14:paraId="5F31D8C9">
            <w:pPr>
              <w:snapToGrid w:val="0"/>
              <w:spacing w:line="40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危险废物执行《危险废物贮存污染控制标准》（GB18597-2023）中有关规定。</w:t>
            </w:r>
          </w:p>
        </w:tc>
      </w:tr>
      <w:tr w14:paraId="5532F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89" w:type="pct"/>
            <w:vAlign w:val="center"/>
          </w:tcPr>
          <w:p w14:paraId="54816CD6">
            <w:pPr>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cs="Times New Roman"/>
                <w:color w:val="auto"/>
                <w:kern w:val="0"/>
                <w:highlight w:val="none"/>
              </w:rPr>
            </w:pPr>
            <w:r>
              <w:rPr>
                <w:rFonts w:hint="default" w:ascii="Times New Roman" w:hAnsi="Times New Roman" w:cs="Times New Roman"/>
                <w:bCs/>
                <w:color w:val="auto"/>
                <w:kern w:val="0"/>
                <w:highlight w:val="none"/>
              </w:rPr>
              <w:t>其他</w:t>
            </w:r>
          </w:p>
        </w:tc>
        <w:tc>
          <w:tcPr>
            <w:tcW w:w="4610" w:type="pct"/>
            <w:vAlign w:val="center"/>
          </w:tcPr>
          <w:p w14:paraId="23FCFA66">
            <w:pPr>
              <w:adjustRightInd w:val="0"/>
              <w:snapToGrid w:val="0"/>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无</w:t>
            </w:r>
          </w:p>
        </w:tc>
      </w:tr>
    </w:tbl>
    <w:p w14:paraId="022E1BB0">
      <w:pPr>
        <w:pStyle w:val="26"/>
        <w:jc w:val="both"/>
        <w:rPr>
          <w:rFonts w:hint="default" w:ascii="Times New Roman" w:hAnsi="Times New Roman" w:cs="Times New Roman"/>
          <w:color w:val="auto"/>
          <w:highlight w:val="none"/>
        </w:rPr>
        <w:sectPr>
          <w:headerReference r:id="rId8" w:type="default"/>
          <w:pgSz w:w="11907" w:h="16840"/>
          <w:pgMar w:top="1701" w:right="1440" w:bottom="2127" w:left="1440" w:header="1247" w:footer="1757" w:gutter="0"/>
          <w:pgBorders>
            <w:top w:val="none" w:sz="0" w:space="0"/>
            <w:left w:val="none" w:sz="0" w:space="0"/>
            <w:bottom w:val="none" w:sz="0" w:space="0"/>
            <w:right w:val="none" w:sz="0" w:space="0"/>
          </w:pgBorders>
          <w:cols w:space="720" w:num="1"/>
          <w:docGrid w:linePitch="312" w:charSpace="0"/>
        </w:sectPr>
      </w:pPr>
    </w:p>
    <w:p w14:paraId="70B40C36">
      <w:pPr>
        <w:pStyle w:val="26"/>
        <w:rPr>
          <w:rFonts w:hint="default" w:ascii="Times New Roman" w:hAnsi="Times New Roman" w:cs="Times New Roman"/>
          <w:b/>
          <w:color w:val="auto"/>
          <w:sz w:val="32"/>
          <w:highlight w:val="none"/>
        </w:rPr>
      </w:pPr>
      <w:bookmarkStart w:id="28" w:name="_Toc14231"/>
      <w:bookmarkStart w:id="29" w:name="_Toc25487"/>
      <w:r>
        <w:rPr>
          <w:rFonts w:hint="default" w:ascii="Times New Roman" w:hAnsi="Times New Roman" w:cs="Times New Roman"/>
          <w:b/>
          <w:color w:val="auto"/>
          <w:sz w:val="32"/>
          <w:highlight w:val="none"/>
        </w:rPr>
        <w:t>四、</w:t>
      </w:r>
      <w:r>
        <w:rPr>
          <w:rFonts w:hint="default" w:ascii="Times New Roman" w:hAnsi="Times New Roman" w:cs="Times New Roman"/>
          <w:b/>
          <w:color w:val="auto"/>
          <w:sz w:val="32"/>
          <w:highlight w:val="none"/>
          <w:lang w:val="en-US" w:eastAsia="zh-CN"/>
        </w:rPr>
        <w:t>主要环境影响和保护措施</w:t>
      </w:r>
      <w:bookmarkEnd w:id="28"/>
      <w:bookmarkEnd w:id="29"/>
    </w:p>
    <w:tbl>
      <w:tblPr>
        <w:tblStyle w:val="30"/>
        <w:tblW w:w="504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9321"/>
      </w:tblGrid>
      <w:tr w14:paraId="192DBB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tcMar>
              <w:left w:w="28" w:type="dxa"/>
              <w:right w:w="28" w:type="dxa"/>
            </w:tcMar>
            <w:vAlign w:val="center"/>
          </w:tcPr>
          <w:p w14:paraId="72082A59">
            <w:pPr>
              <w:pStyle w:val="26"/>
              <w:jc w:val="both"/>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施工期环境</w:t>
            </w:r>
            <w:r>
              <w:rPr>
                <w:rFonts w:hint="default" w:ascii="Times New Roman" w:hAnsi="Times New Roman" w:cs="Times New Roman"/>
                <w:color w:val="auto"/>
                <w:highlight w:val="none"/>
                <w:lang w:val="en-US" w:eastAsia="zh-CN"/>
              </w:rPr>
              <w:t>保护措施</w:t>
            </w:r>
          </w:p>
        </w:tc>
        <w:tc>
          <w:tcPr>
            <w:tcW w:w="4652" w:type="pct"/>
            <w:vAlign w:val="center"/>
          </w:tcPr>
          <w:p w14:paraId="6D4AFA74">
            <w:pPr>
              <w:adjustRightInd w:val="0"/>
              <w:snapToGrid w:val="0"/>
              <w:spacing w:line="440" w:lineRule="exact"/>
              <w:rPr>
                <w:b/>
                <w:bCs/>
                <w:color w:val="auto"/>
                <w:spacing w:val="-10"/>
                <w:sz w:val="24"/>
                <w:highlight w:val="none"/>
              </w:rPr>
            </w:pPr>
            <w:r>
              <w:rPr>
                <w:b/>
                <w:bCs/>
                <w:color w:val="auto"/>
                <w:spacing w:val="-10"/>
                <w:sz w:val="24"/>
                <w:highlight w:val="none"/>
              </w:rPr>
              <w:t>1、</w:t>
            </w:r>
            <w:r>
              <w:rPr>
                <w:b/>
                <w:bCs/>
                <w:color w:val="auto"/>
                <w:sz w:val="24"/>
                <w:highlight w:val="none"/>
              </w:rPr>
              <w:t>水环境保护措施</w:t>
            </w:r>
          </w:p>
          <w:p w14:paraId="56D524C0">
            <w:pPr>
              <w:adjustRightInd w:val="0"/>
              <w:snapToGrid w:val="0"/>
              <w:spacing w:line="440" w:lineRule="exact"/>
              <w:ind w:firstLine="480" w:firstLineChars="200"/>
              <w:rPr>
                <w:color w:val="auto"/>
                <w:kern w:val="0"/>
                <w:highlight w:val="none"/>
              </w:rPr>
            </w:pPr>
            <w:r>
              <w:rPr>
                <w:color w:val="auto"/>
                <w:kern w:val="0"/>
                <w:highlight w:val="none"/>
              </w:rPr>
              <w:t>（1）施工废水必须建设防渗沉淀池，经澄清后，用于</w:t>
            </w:r>
            <w:r>
              <w:rPr>
                <w:rFonts w:hint="default"/>
                <w:color w:val="auto"/>
                <w:kern w:val="0"/>
                <w:highlight w:val="none"/>
              </w:rPr>
              <w:t>回用或</w:t>
            </w:r>
            <w:r>
              <w:rPr>
                <w:color w:val="auto"/>
                <w:kern w:val="0"/>
                <w:highlight w:val="none"/>
              </w:rPr>
              <w:t>施工场地的洒水降尘，不得随意倾倒。预防施工车辆和机械的跑、冒、滴、漏为主，在施工过程中应严格加强对机械设备的检修和维护力度与频次，发现问题，及时解决，</w:t>
            </w:r>
            <w:r>
              <w:rPr>
                <w:rFonts w:hint="default"/>
                <w:color w:val="auto"/>
                <w:kern w:val="0"/>
                <w:highlight w:val="none"/>
              </w:rPr>
              <w:t>严格</w:t>
            </w:r>
            <w:r>
              <w:rPr>
                <w:color w:val="auto"/>
                <w:kern w:val="0"/>
                <w:highlight w:val="none"/>
              </w:rPr>
              <w:t>禁止运输车辆和施工机械满身油污进行施工。施工机械和车辆一旦出现漏油现象，应立即停止施工并进行机械维修或更换设备。</w:t>
            </w:r>
          </w:p>
          <w:p w14:paraId="6829B7AA">
            <w:pPr>
              <w:adjustRightInd w:val="0"/>
              <w:snapToGrid w:val="0"/>
              <w:spacing w:line="440" w:lineRule="exact"/>
              <w:ind w:firstLine="480" w:firstLineChars="200"/>
              <w:rPr>
                <w:color w:val="auto"/>
                <w:kern w:val="0"/>
                <w:sz w:val="24"/>
                <w:highlight w:val="none"/>
              </w:rPr>
            </w:pPr>
            <w:r>
              <w:rPr>
                <w:color w:val="auto"/>
                <w:kern w:val="0"/>
                <w:highlight w:val="none"/>
              </w:rPr>
              <w:t>（2）施工期建设施工营地，施工营</w:t>
            </w:r>
            <w:r>
              <w:rPr>
                <w:rFonts w:hint="default"/>
                <w:color w:val="auto"/>
                <w:kern w:val="0"/>
                <w:highlight w:val="none"/>
              </w:rPr>
              <w:t>地</w:t>
            </w:r>
            <w:r>
              <w:rPr>
                <w:color w:val="auto"/>
                <w:kern w:val="0"/>
                <w:highlight w:val="none"/>
              </w:rPr>
              <w:t>建设临时隔油池、化粪池处理</w:t>
            </w:r>
            <w:r>
              <w:rPr>
                <w:rFonts w:hint="default"/>
                <w:color w:val="auto"/>
                <w:kern w:val="0"/>
                <w:highlight w:val="none"/>
              </w:rPr>
              <w:t>生活污水</w:t>
            </w:r>
            <w:r>
              <w:rPr>
                <w:color w:val="auto"/>
                <w:kern w:val="0"/>
                <w:highlight w:val="none"/>
              </w:rPr>
              <w:t>，处理后用泵抽至</w:t>
            </w:r>
            <w:r>
              <w:rPr>
                <w:rFonts w:hint="default"/>
                <w:color w:val="auto"/>
                <w:kern w:val="0"/>
                <w:highlight w:val="none"/>
                <w:lang w:val="en-US" w:eastAsia="zh-CN"/>
              </w:rPr>
              <w:t>产业园区</w:t>
            </w:r>
            <w:r>
              <w:rPr>
                <w:color w:val="auto"/>
                <w:kern w:val="0"/>
                <w:highlight w:val="none"/>
              </w:rPr>
              <w:t>排水管网，最终进入</w:t>
            </w:r>
            <w:r>
              <w:rPr>
                <w:rFonts w:hint="default"/>
                <w:color w:val="auto"/>
                <w:kern w:val="0"/>
                <w:highlight w:val="none"/>
                <w:lang w:val="en-US" w:eastAsia="zh-CN"/>
              </w:rPr>
              <w:t>园区</w:t>
            </w:r>
            <w:r>
              <w:rPr>
                <w:rFonts w:hint="default"/>
                <w:color w:val="auto"/>
                <w:kern w:val="0"/>
                <w:highlight w:val="none"/>
              </w:rPr>
              <w:t>污水处理厂，</w:t>
            </w:r>
            <w:r>
              <w:rPr>
                <w:color w:val="auto"/>
                <w:kern w:val="0"/>
                <w:highlight w:val="none"/>
              </w:rPr>
              <w:t>不得随意乱排。</w:t>
            </w:r>
          </w:p>
          <w:p w14:paraId="24B776C8">
            <w:pPr>
              <w:adjustRightInd w:val="0"/>
              <w:snapToGrid w:val="0"/>
              <w:spacing w:line="440" w:lineRule="exact"/>
              <w:rPr>
                <w:b/>
                <w:bCs/>
                <w:color w:val="auto"/>
                <w:sz w:val="24"/>
                <w:highlight w:val="none"/>
              </w:rPr>
            </w:pPr>
            <w:r>
              <w:rPr>
                <w:b/>
                <w:bCs/>
                <w:color w:val="auto"/>
                <w:sz w:val="24"/>
                <w:highlight w:val="none"/>
              </w:rPr>
              <w:t>2、大气环境保护措施</w:t>
            </w:r>
          </w:p>
          <w:p w14:paraId="7408DC4E">
            <w:pPr>
              <w:adjustRightInd w:val="0"/>
              <w:snapToGrid w:val="0"/>
              <w:spacing w:line="440" w:lineRule="exact"/>
              <w:ind w:firstLine="480" w:firstLineChars="200"/>
              <w:rPr>
                <w:color w:val="auto"/>
                <w:kern w:val="0"/>
                <w:highlight w:val="none"/>
              </w:rPr>
            </w:pPr>
            <w:r>
              <w:rPr>
                <w:color w:val="auto"/>
                <w:kern w:val="0"/>
                <w:highlight w:val="none"/>
              </w:rPr>
              <w:t>（1）物料堆放百分百覆盖。施工工地内堆放易产生扬尘污染物料的，必须密闭存放或覆盖；工程主体施工阶段必须使用密目式安全网进行封闭。</w:t>
            </w:r>
          </w:p>
          <w:p w14:paraId="26860043">
            <w:pPr>
              <w:adjustRightInd w:val="0"/>
              <w:snapToGrid w:val="0"/>
              <w:spacing w:line="440" w:lineRule="exact"/>
              <w:ind w:firstLine="480" w:firstLineChars="200"/>
              <w:rPr>
                <w:color w:val="auto"/>
                <w:kern w:val="0"/>
                <w:highlight w:val="none"/>
              </w:rPr>
            </w:pPr>
            <w:r>
              <w:rPr>
                <w:color w:val="auto"/>
                <w:kern w:val="0"/>
                <w:highlight w:val="none"/>
              </w:rPr>
              <w:t>（2）出现五级以上大风天气时，禁止进行土方等易产生扬尘污染的施工作业。</w:t>
            </w:r>
          </w:p>
          <w:p w14:paraId="60E1B2F0">
            <w:pPr>
              <w:adjustRightInd w:val="0"/>
              <w:snapToGrid w:val="0"/>
              <w:spacing w:line="440" w:lineRule="exact"/>
              <w:ind w:firstLine="480" w:firstLineChars="200"/>
              <w:rPr>
                <w:color w:val="auto"/>
                <w:kern w:val="0"/>
                <w:highlight w:val="none"/>
              </w:rPr>
            </w:pPr>
            <w:r>
              <w:rPr>
                <w:color w:val="auto"/>
                <w:kern w:val="0"/>
                <w:highlight w:val="none"/>
              </w:rPr>
              <w:t>（3）施工现场及时清理，及时平整，应当定时向地面洒水。</w:t>
            </w:r>
          </w:p>
          <w:p w14:paraId="1A55E9A0">
            <w:pPr>
              <w:adjustRightInd w:val="0"/>
              <w:snapToGrid w:val="0"/>
              <w:spacing w:line="440" w:lineRule="exact"/>
              <w:ind w:firstLine="480" w:firstLineChars="200"/>
              <w:rPr>
                <w:color w:val="auto"/>
                <w:kern w:val="0"/>
                <w:highlight w:val="none"/>
              </w:rPr>
            </w:pPr>
            <w:r>
              <w:rPr>
                <w:color w:val="auto"/>
                <w:kern w:val="0"/>
                <w:highlight w:val="none"/>
              </w:rPr>
              <w:t>（4）所有露天堆放的建筑材料、渣土等易产生扬尘的物料，必须进行覆盖，并采取喷淋或</w:t>
            </w:r>
            <w:r>
              <w:rPr>
                <w:rFonts w:hint="default"/>
                <w:color w:val="auto"/>
                <w:kern w:val="0"/>
                <w:highlight w:val="none"/>
                <w:lang w:eastAsia="zh-CN"/>
              </w:rPr>
              <w:t>其他</w:t>
            </w:r>
            <w:r>
              <w:rPr>
                <w:color w:val="auto"/>
                <w:kern w:val="0"/>
                <w:highlight w:val="none"/>
              </w:rPr>
              <w:t>抑尘措施。砂石料特别是细骨料应避免露天堆放，固料堆积边坡角度不宜过大，并适当洒水加湿，防止固料被风吹散。堆放的土石料应用遮布盖住，避免风吹起尘。</w:t>
            </w:r>
          </w:p>
          <w:p w14:paraId="431FCA06">
            <w:pPr>
              <w:adjustRightInd w:val="0"/>
              <w:snapToGrid w:val="0"/>
              <w:spacing w:line="440" w:lineRule="exact"/>
              <w:ind w:firstLine="480" w:firstLineChars="200"/>
              <w:rPr>
                <w:color w:val="auto"/>
                <w:kern w:val="0"/>
                <w:highlight w:val="none"/>
              </w:rPr>
            </w:pPr>
            <w:r>
              <w:rPr>
                <w:color w:val="auto"/>
                <w:kern w:val="0"/>
                <w:highlight w:val="none"/>
              </w:rPr>
              <w:t>（5）从事散装货物运输的车辆，特别是运输渣土、建筑材料等易产生扬尘物料的车辆，必须严密覆盖，严禁撒漏。</w:t>
            </w:r>
          </w:p>
          <w:p w14:paraId="00B7EC37">
            <w:pPr>
              <w:adjustRightInd w:val="0"/>
              <w:snapToGrid w:val="0"/>
              <w:spacing w:line="440" w:lineRule="exact"/>
              <w:ind w:firstLine="480" w:firstLineChars="200"/>
              <w:rPr>
                <w:color w:val="auto"/>
                <w:kern w:val="0"/>
                <w:highlight w:val="none"/>
              </w:rPr>
            </w:pPr>
            <w:r>
              <w:rPr>
                <w:color w:val="auto"/>
                <w:kern w:val="0"/>
                <w:highlight w:val="none"/>
              </w:rPr>
              <w:t>（6）工程项目竣工后，施工单位必须平整施工</w:t>
            </w:r>
            <w:r>
              <w:rPr>
                <w:rFonts w:hint="default"/>
                <w:color w:val="auto"/>
                <w:kern w:val="0"/>
                <w:highlight w:val="none"/>
                <w:lang w:eastAsia="zh-CN"/>
              </w:rPr>
              <w:t>场地</w:t>
            </w:r>
            <w:r>
              <w:rPr>
                <w:color w:val="auto"/>
                <w:kern w:val="0"/>
                <w:highlight w:val="none"/>
              </w:rPr>
              <w:t>，并清除积土、堆物。建筑材料弃渣应及时运走。</w:t>
            </w:r>
          </w:p>
          <w:p w14:paraId="3AA74A7D">
            <w:pPr>
              <w:adjustRightInd w:val="0"/>
              <w:snapToGrid w:val="0"/>
              <w:spacing w:line="440" w:lineRule="exact"/>
              <w:ind w:firstLine="480" w:firstLineChars="200"/>
              <w:rPr>
                <w:color w:val="auto"/>
                <w:kern w:val="0"/>
                <w:highlight w:val="none"/>
              </w:rPr>
            </w:pPr>
            <w:r>
              <w:rPr>
                <w:color w:val="auto"/>
                <w:kern w:val="0"/>
                <w:highlight w:val="none"/>
              </w:rPr>
              <w:t>（7）尽量选用低能耗、低污染排放的施工机械、车辆，应尽量使用质量高、品质好的燃料。要加强机械、车辆的管理和维修，减少因机械、车辆状况不佳造成的空气污染。对施工现场易产生扬尘的作业面（点）、道路进行洒水降尘；对进出车辆限速。</w:t>
            </w:r>
          </w:p>
          <w:p w14:paraId="28115B51">
            <w:pPr>
              <w:adjustRightInd w:val="0"/>
              <w:snapToGrid w:val="0"/>
              <w:spacing w:line="440" w:lineRule="exact"/>
              <w:ind w:firstLine="480" w:firstLineChars="200"/>
              <w:rPr>
                <w:color w:val="auto"/>
                <w:kern w:val="0"/>
                <w:sz w:val="24"/>
                <w:highlight w:val="none"/>
              </w:rPr>
            </w:pPr>
            <w:r>
              <w:rPr>
                <w:color w:val="auto"/>
                <w:kern w:val="0"/>
                <w:highlight w:val="none"/>
              </w:rPr>
              <w:t>（8）施工机械实行限速行驶，施工区的施工场地、临时道路每天洒水不少于5次，减少扬尘对大气环境和施工人员的危害。</w:t>
            </w:r>
          </w:p>
          <w:p w14:paraId="6E37CABB">
            <w:pPr>
              <w:adjustRightInd w:val="0"/>
              <w:snapToGrid w:val="0"/>
              <w:spacing w:line="440" w:lineRule="exact"/>
              <w:rPr>
                <w:b/>
                <w:bCs/>
                <w:color w:val="auto"/>
                <w:sz w:val="24"/>
                <w:highlight w:val="none"/>
              </w:rPr>
            </w:pPr>
            <w:r>
              <w:rPr>
                <w:b/>
                <w:bCs/>
                <w:color w:val="auto"/>
                <w:sz w:val="24"/>
                <w:highlight w:val="none"/>
              </w:rPr>
              <w:t>3、噪声环境影响保护措施</w:t>
            </w:r>
          </w:p>
          <w:p w14:paraId="5EF301B0">
            <w:pPr>
              <w:adjustRightInd w:val="0"/>
              <w:snapToGrid w:val="0"/>
              <w:spacing w:line="440" w:lineRule="exact"/>
              <w:ind w:firstLine="480" w:firstLineChars="200"/>
              <w:rPr>
                <w:color w:val="auto"/>
                <w:kern w:val="0"/>
                <w:highlight w:val="none"/>
              </w:rPr>
            </w:pPr>
            <w:r>
              <w:rPr>
                <w:color w:val="auto"/>
                <w:kern w:val="0"/>
                <w:highlight w:val="none"/>
              </w:rPr>
              <w:t>（1）施工设备选型时，在满足施工需要的前提下，尽可能选取噪声低、振动小、能耗小的先进设备；加强施工机械的维护保养，避免由于设备性能差而使机械噪声增大的现象发生。</w:t>
            </w:r>
          </w:p>
          <w:p w14:paraId="3FA86F68">
            <w:pPr>
              <w:adjustRightInd w:val="0"/>
              <w:snapToGrid w:val="0"/>
              <w:spacing w:line="440" w:lineRule="exact"/>
              <w:ind w:firstLine="480" w:firstLineChars="200"/>
              <w:rPr>
                <w:color w:val="auto"/>
                <w:kern w:val="0"/>
                <w:highlight w:val="none"/>
              </w:rPr>
            </w:pPr>
            <w:r>
              <w:rPr>
                <w:color w:val="auto"/>
                <w:kern w:val="0"/>
                <w:highlight w:val="none"/>
              </w:rPr>
              <w:t>（2）项目在建设期间应科学管理，在不影响施工质量的前提下，建筑施工单位应对施工中所产生的噪声和振动采取有效的降噪、减振措施，做到预防为主，文明施工，努力减少对周围环境的影响。在施工中要采用低噪声、低振动的施工机械，对高噪声高振动设备要采取有效的降噪、减振措施，如加弹性垫、包覆和隔声罩等办法，减少施工现场的噪声和振动污染。</w:t>
            </w:r>
          </w:p>
          <w:p w14:paraId="69B6854C">
            <w:pPr>
              <w:adjustRightInd w:val="0"/>
              <w:snapToGrid w:val="0"/>
              <w:spacing w:line="440" w:lineRule="exact"/>
              <w:ind w:firstLine="480" w:firstLineChars="200"/>
              <w:rPr>
                <w:color w:val="auto"/>
                <w:kern w:val="0"/>
                <w:highlight w:val="none"/>
              </w:rPr>
            </w:pPr>
            <w:r>
              <w:rPr>
                <w:color w:val="auto"/>
                <w:kern w:val="0"/>
                <w:highlight w:val="none"/>
              </w:rPr>
              <w:t>（3）施工作业必须合理安排施工时间和施工机械工作时间，禁止在13：30~15：30、24：00~8：00施工。根据有关规定，建设施工时因特殊原因必须连续作业的，须报</w:t>
            </w:r>
            <w:r>
              <w:rPr>
                <w:rFonts w:hint="eastAsia"/>
                <w:color w:val="auto"/>
                <w:kern w:val="0"/>
                <w:highlight w:val="none"/>
                <w:lang w:val="en-US" w:eastAsia="zh-CN"/>
              </w:rPr>
              <w:t>第七师</w:t>
            </w:r>
            <w:r>
              <w:rPr>
                <w:color w:val="auto"/>
                <w:kern w:val="0"/>
                <w:highlight w:val="none"/>
              </w:rPr>
              <w:t>生态环境局备案，同意后方可施工。</w:t>
            </w:r>
          </w:p>
          <w:p w14:paraId="6B1BE32B">
            <w:pPr>
              <w:adjustRightInd w:val="0"/>
              <w:snapToGrid w:val="0"/>
              <w:spacing w:line="440" w:lineRule="exact"/>
              <w:ind w:firstLine="480" w:firstLineChars="200"/>
              <w:rPr>
                <w:bCs/>
                <w:color w:val="auto"/>
                <w:spacing w:val="-10"/>
                <w:sz w:val="24"/>
                <w:highlight w:val="none"/>
              </w:rPr>
            </w:pPr>
            <w:r>
              <w:rPr>
                <w:color w:val="auto"/>
                <w:kern w:val="0"/>
                <w:highlight w:val="none"/>
              </w:rPr>
              <w:t>（4）必须加强对施工人员的管理，减少人为原因产生的高噪声。提高施工人员特别是现场施工负责人员的环保意识，施工部门负责人应学习国家相关环保</w:t>
            </w:r>
            <w:r>
              <w:rPr>
                <w:rFonts w:hint="default"/>
                <w:color w:val="auto"/>
                <w:kern w:val="0"/>
                <w:highlight w:val="none"/>
                <w:lang w:eastAsia="zh-CN"/>
              </w:rPr>
              <w:t>法律法规</w:t>
            </w:r>
            <w:r>
              <w:rPr>
                <w:color w:val="auto"/>
                <w:kern w:val="0"/>
                <w:highlight w:val="none"/>
              </w:rPr>
              <w:t>，增强环保意识，明确认识噪声对人体的危害。强化施工机械操作人员的个人劳动卫生防护。</w:t>
            </w:r>
          </w:p>
          <w:p w14:paraId="1F2DEE3E">
            <w:pPr>
              <w:adjustRightInd w:val="0"/>
              <w:snapToGrid w:val="0"/>
              <w:spacing w:line="440" w:lineRule="exact"/>
              <w:rPr>
                <w:b/>
                <w:bCs/>
                <w:color w:val="auto"/>
                <w:sz w:val="24"/>
                <w:highlight w:val="none"/>
              </w:rPr>
            </w:pPr>
            <w:r>
              <w:rPr>
                <w:b/>
                <w:bCs/>
                <w:color w:val="auto"/>
                <w:sz w:val="24"/>
                <w:highlight w:val="none"/>
              </w:rPr>
              <w:t>4、固体废物环境影响保护措施</w:t>
            </w:r>
          </w:p>
          <w:p w14:paraId="2C3E553A">
            <w:pPr>
              <w:adjustRightInd w:val="0"/>
              <w:snapToGrid w:val="0"/>
              <w:spacing w:line="440" w:lineRule="exact"/>
              <w:ind w:firstLine="480" w:firstLineChars="200"/>
              <w:rPr>
                <w:color w:val="auto"/>
                <w:kern w:val="0"/>
                <w:highlight w:val="none"/>
              </w:rPr>
            </w:pPr>
            <w:r>
              <w:rPr>
                <w:color w:val="auto"/>
                <w:kern w:val="0"/>
                <w:highlight w:val="none"/>
              </w:rPr>
              <w:t>（1）遗留在现场的建筑废弃物要及时清运和回填；运送建筑废弃物的车辆在离开施工场地的时候，要及时清理干净车料粘带的泥土。</w:t>
            </w:r>
          </w:p>
          <w:p w14:paraId="16DA5862">
            <w:pPr>
              <w:adjustRightInd w:val="0"/>
              <w:snapToGrid w:val="0"/>
              <w:spacing w:line="440" w:lineRule="exact"/>
              <w:ind w:firstLine="480" w:firstLineChars="200"/>
              <w:rPr>
                <w:color w:val="auto"/>
                <w:kern w:val="0"/>
                <w:highlight w:val="none"/>
              </w:rPr>
            </w:pPr>
            <w:r>
              <w:rPr>
                <w:color w:val="auto"/>
                <w:kern w:val="0"/>
                <w:highlight w:val="none"/>
              </w:rPr>
              <w:t>（2）运输时做好防扬散、防洒漏工作，避免固废、扬尘影响环境。</w:t>
            </w:r>
          </w:p>
          <w:p w14:paraId="11141436">
            <w:pPr>
              <w:adjustRightInd w:val="0"/>
              <w:snapToGrid w:val="0"/>
              <w:spacing w:line="440" w:lineRule="exact"/>
              <w:ind w:firstLine="480" w:firstLineChars="200"/>
              <w:rPr>
                <w:color w:val="auto"/>
                <w:kern w:val="0"/>
                <w:highlight w:val="none"/>
              </w:rPr>
            </w:pPr>
            <w:r>
              <w:rPr>
                <w:color w:val="auto"/>
                <w:kern w:val="0"/>
                <w:highlight w:val="none"/>
              </w:rPr>
              <w:t>（3）废弃在施工场地的金属、其他可回收材料要及时回收。</w:t>
            </w:r>
          </w:p>
          <w:p w14:paraId="443E83EC">
            <w:pPr>
              <w:adjustRightInd w:val="0"/>
              <w:snapToGrid w:val="0"/>
              <w:spacing w:line="440" w:lineRule="exact"/>
              <w:ind w:firstLine="480" w:firstLineChars="200"/>
              <w:rPr>
                <w:color w:val="auto"/>
                <w:kern w:val="0"/>
                <w:highlight w:val="none"/>
              </w:rPr>
            </w:pPr>
            <w:r>
              <w:rPr>
                <w:color w:val="auto"/>
                <w:kern w:val="0"/>
                <w:highlight w:val="none"/>
              </w:rPr>
              <w:t>（4）建筑垃圾运往</w:t>
            </w:r>
            <w:r>
              <w:rPr>
                <w:rFonts w:hint="default"/>
                <w:color w:val="auto"/>
                <w:kern w:val="0"/>
                <w:highlight w:val="none"/>
                <w:lang w:val="en-US" w:eastAsia="zh-CN"/>
              </w:rPr>
              <w:t>产业园</w:t>
            </w:r>
            <w:r>
              <w:rPr>
                <w:color w:val="auto"/>
                <w:kern w:val="0"/>
                <w:highlight w:val="none"/>
              </w:rPr>
              <w:t>区建筑垃圾填埋场填埋，生活垃圾运至</w:t>
            </w:r>
            <w:r>
              <w:rPr>
                <w:rFonts w:hint="default"/>
                <w:color w:val="auto"/>
                <w:kern w:val="0"/>
                <w:highlight w:val="none"/>
                <w:lang w:val="en-US" w:eastAsia="zh-CN"/>
              </w:rPr>
              <w:t>产业园</w:t>
            </w:r>
            <w:r>
              <w:rPr>
                <w:color w:val="auto"/>
                <w:kern w:val="0"/>
                <w:highlight w:val="none"/>
              </w:rPr>
              <w:t>区无害化垃圾处理场，不得随意倾倒。</w:t>
            </w:r>
          </w:p>
          <w:p w14:paraId="21CEF69F">
            <w:pPr>
              <w:adjustRightInd w:val="0"/>
              <w:snapToGrid w:val="0"/>
              <w:spacing w:line="440" w:lineRule="exact"/>
              <w:ind w:firstLine="480" w:firstLineChars="200"/>
              <w:rPr>
                <w:color w:val="auto"/>
                <w:kern w:val="0"/>
                <w:highlight w:val="none"/>
              </w:rPr>
            </w:pPr>
            <w:r>
              <w:rPr>
                <w:color w:val="auto"/>
                <w:kern w:val="0"/>
                <w:highlight w:val="none"/>
              </w:rPr>
              <w:t>（5）施工人员的生活垃圾应集中收集，不允许随地乱抛，影响环境卫生，或混入建筑垃圾；纳入城市生活垃圾收运处理系统。堆存时间</w:t>
            </w:r>
            <w:r>
              <w:rPr>
                <w:rFonts w:hint="default"/>
                <w:color w:val="auto"/>
                <w:kern w:val="0"/>
                <w:highlight w:val="none"/>
                <w:lang w:eastAsia="zh-CN"/>
              </w:rPr>
              <w:t>不宜</w:t>
            </w:r>
            <w:r>
              <w:rPr>
                <w:color w:val="auto"/>
                <w:kern w:val="0"/>
                <w:highlight w:val="none"/>
              </w:rPr>
              <w:t>超过24h，应与相关部门协调好，做到日产日清。</w:t>
            </w:r>
          </w:p>
          <w:p w14:paraId="112F1B71">
            <w:pPr>
              <w:adjustRightInd w:val="0"/>
              <w:snapToGrid w:val="0"/>
              <w:spacing w:line="440" w:lineRule="exact"/>
              <w:ind w:firstLine="480" w:firstLineChars="200"/>
              <w:rPr>
                <w:color w:val="auto"/>
                <w:kern w:val="0"/>
                <w:sz w:val="24"/>
                <w:highlight w:val="none"/>
              </w:rPr>
            </w:pPr>
            <w:r>
              <w:rPr>
                <w:color w:val="auto"/>
                <w:kern w:val="0"/>
                <w:highlight w:val="none"/>
              </w:rPr>
              <w:t>（6）工程施工单位应对施工人员加强教育，不随意乱丢废弃物，同时，保证工人工作、生活环境卫生质量。</w:t>
            </w:r>
          </w:p>
          <w:p w14:paraId="37A57172">
            <w:pPr>
              <w:adjustRightInd w:val="0"/>
              <w:snapToGrid w:val="0"/>
              <w:spacing w:line="440" w:lineRule="exact"/>
              <w:rPr>
                <w:b/>
                <w:bCs/>
                <w:color w:val="auto"/>
                <w:sz w:val="24"/>
                <w:highlight w:val="none"/>
              </w:rPr>
            </w:pPr>
            <w:r>
              <w:rPr>
                <w:rFonts w:hint="default"/>
                <w:b/>
                <w:bCs/>
                <w:color w:val="auto"/>
                <w:sz w:val="24"/>
                <w:highlight w:val="none"/>
              </w:rPr>
              <w:t>5、生态环境保护措施</w:t>
            </w:r>
          </w:p>
          <w:p w14:paraId="1F7D318C">
            <w:pPr>
              <w:spacing w:line="480" w:lineRule="exact"/>
              <w:ind w:firstLine="482"/>
              <w:rPr>
                <w:color w:val="auto"/>
                <w:highlight w:val="none"/>
              </w:rPr>
            </w:pPr>
            <w:r>
              <w:rPr>
                <w:bCs/>
                <w:color w:val="auto"/>
                <w:highlight w:val="none"/>
              </w:rPr>
              <w:t>本项目位于</w:t>
            </w:r>
            <w:r>
              <w:rPr>
                <w:rFonts w:hint="default"/>
                <w:bCs/>
                <w:color w:val="auto"/>
                <w:highlight w:val="none"/>
                <w:lang w:val="en-US" w:eastAsia="zh-CN"/>
              </w:rPr>
              <w:t>民丰产业园区</w:t>
            </w:r>
            <w:r>
              <w:rPr>
                <w:rFonts w:hint="default"/>
                <w:bCs/>
                <w:color w:val="auto"/>
                <w:highlight w:val="none"/>
              </w:rPr>
              <w:t>工业用地，</w:t>
            </w:r>
            <w:r>
              <w:rPr>
                <w:color w:val="auto"/>
                <w:highlight w:val="none"/>
              </w:rPr>
              <w:t>永久占地面积</w:t>
            </w:r>
            <w:r>
              <w:rPr>
                <w:rFonts w:hint="default"/>
                <w:bCs/>
                <w:color w:val="auto"/>
                <w:sz w:val="22"/>
                <w:highlight w:val="none"/>
                <w:lang w:val="en-US" w:eastAsia="zh-CN"/>
              </w:rPr>
              <w:t>4295.86</w:t>
            </w:r>
            <w:r>
              <w:rPr>
                <w:rFonts w:hint="eastAsia"/>
                <w:color w:val="auto"/>
                <w:highlight w:val="none"/>
                <w:lang w:eastAsia="zh-CN"/>
              </w:rPr>
              <w:t>m²</w:t>
            </w:r>
            <w:r>
              <w:rPr>
                <w:color w:val="auto"/>
                <w:highlight w:val="none"/>
              </w:rPr>
              <w:t>，土地类型现状为荒地和少量植被，地表植被长势一般，植被覆盖率低，</w:t>
            </w:r>
            <w:r>
              <w:rPr>
                <w:rFonts w:hint="default"/>
                <w:bCs/>
                <w:color w:val="auto"/>
                <w:highlight w:val="none"/>
              </w:rPr>
              <w:t>用地范围内没有生态环境保护目标。</w:t>
            </w:r>
          </w:p>
          <w:p w14:paraId="2261F0D6">
            <w:pPr>
              <w:spacing w:line="480" w:lineRule="exact"/>
              <w:ind w:firstLine="482"/>
              <w:rPr>
                <w:color w:val="auto"/>
                <w:highlight w:val="none"/>
              </w:rPr>
            </w:pPr>
            <w:r>
              <w:rPr>
                <w:color w:val="auto"/>
                <w:highlight w:val="none"/>
              </w:rPr>
              <w:t>工程占地面积较大，施工开挖、平整对土壤和植被进行破坏，造成一定的水土流失和生物量损失。</w:t>
            </w:r>
            <w:r>
              <w:rPr>
                <w:rFonts w:hint="default"/>
                <w:bCs/>
                <w:color w:val="auto"/>
                <w:highlight w:val="none"/>
              </w:rPr>
              <w:t>项目施工过程中会对植被、动物、土壤造成扰动，减少自然植被量，处理不善会导致水土流失；施工机械噪声、废气、植被的破坏等均对现存动物、鸟类的生境造成破坏，减少动物和鸟类的生存空间。</w:t>
            </w:r>
          </w:p>
          <w:p w14:paraId="2608A917">
            <w:pPr>
              <w:spacing w:line="480" w:lineRule="exact"/>
              <w:ind w:firstLine="482"/>
              <w:rPr>
                <w:color w:val="auto"/>
                <w:highlight w:val="none"/>
              </w:rPr>
            </w:pPr>
            <w:r>
              <w:rPr>
                <w:color w:val="auto"/>
                <w:highlight w:val="none"/>
              </w:rPr>
              <w:t>施工期生态减缓措施：</w:t>
            </w:r>
          </w:p>
          <w:p w14:paraId="53529EC5">
            <w:pPr>
              <w:spacing w:line="480" w:lineRule="exact"/>
              <w:ind w:firstLine="480" w:firstLineChars="200"/>
              <w:rPr>
                <w:color w:val="auto"/>
                <w:highlight w:val="none"/>
              </w:rPr>
            </w:pPr>
            <w:r>
              <w:rPr>
                <w:color w:val="auto"/>
                <w:highlight w:val="none"/>
              </w:rPr>
              <w:t>（1）施工时临时施工营地设在厂区内，尽量减少厂区外植被的破坏量，以达到既少占土地、又方便施工、又保护植被的目的。</w:t>
            </w:r>
          </w:p>
          <w:p w14:paraId="25B7AE59">
            <w:pPr>
              <w:spacing w:line="480" w:lineRule="exact"/>
              <w:ind w:firstLine="480" w:firstLineChars="200"/>
              <w:rPr>
                <w:color w:val="auto"/>
                <w:highlight w:val="none"/>
              </w:rPr>
            </w:pPr>
            <w:r>
              <w:rPr>
                <w:color w:val="auto"/>
                <w:highlight w:val="none"/>
              </w:rPr>
              <w:t>（2）严格规定施工车辆的行驶路线，充分利用现有道路，禁止施工车辆任意在厂区外围行驶破坏土壤和植被。严禁随意开设施工便道。对工程利用的施工道路两侧设置限制性</w:t>
            </w:r>
            <w:r>
              <w:rPr>
                <w:rFonts w:hint="default"/>
                <w:color w:val="auto"/>
                <w:highlight w:val="none"/>
                <w:lang w:eastAsia="zh-CN"/>
              </w:rPr>
              <w:t>标识牌</w:t>
            </w:r>
            <w:r>
              <w:rPr>
                <w:color w:val="auto"/>
                <w:highlight w:val="none"/>
              </w:rPr>
              <w:t>，减少对地表的扰动。</w:t>
            </w:r>
          </w:p>
          <w:p w14:paraId="304E76A4">
            <w:pPr>
              <w:adjustRightInd w:val="0"/>
              <w:snapToGrid w:val="0"/>
              <w:spacing w:line="440" w:lineRule="exact"/>
              <w:ind w:firstLine="480" w:firstLineChars="200"/>
              <w:rPr>
                <w:color w:val="auto"/>
                <w:highlight w:val="none"/>
              </w:rPr>
            </w:pPr>
            <w:r>
              <w:rPr>
                <w:color w:val="auto"/>
                <w:highlight w:val="none"/>
              </w:rPr>
              <w:t>（3）工程施工过程中，建筑垃圾严禁随走随倒，全部运往开发区建筑垃圾填埋场填埋处理，不得占用周边土地，破坏周边植被。</w:t>
            </w:r>
          </w:p>
          <w:p w14:paraId="37E46594">
            <w:pPr>
              <w:adjustRightInd w:val="0"/>
              <w:snapToGrid w:val="0"/>
              <w:spacing w:line="440" w:lineRule="exact"/>
              <w:ind w:firstLine="480" w:firstLineChars="200"/>
              <w:rPr>
                <w:color w:val="auto"/>
                <w:highlight w:val="none"/>
              </w:rPr>
            </w:pPr>
            <w:r>
              <w:rPr>
                <w:color w:val="auto"/>
                <w:highlight w:val="none"/>
              </w:rPr>
              <w:t>（</w:t>
            </w:r>
            <w:r>
              <w:rPr>
                <w:rFonts w:hint="default"/>
                <w:color w:val="auto"/>
                <w:highlight w:val="none"/>
              </w:rPr>
              <w:t>4）应加强宣传，严禁施工人员和车辆对项目区以外区域进行碾压或进行影响和伤害动植物的任何活动。</w:t>
            </w:r>
          </w:p>
          <w:p w14:paraId="139D50B6">
            <w:pPr>
              <w:adjustRightInd w:val="0"/>
              <w:snapToGrid w:val="0"/>
              <w:spacing w:line="440" w:lineRule="exact"/>
              <w:ind w:firstLine="480" w:firstLineChars="200"/>
              <w:rPr>
                <w:rFonts w:hint="default" w:ascii="Times New Roman" w:hAnsi="Times New Roman" w:cs="Times New Roman"/>
                <w:color w:val="auto"/>
                <w:highlight w:val="none"/>
              </w:rPr>
            </w:pPr>
            <w:r>
              <w:rPr>
                <w:color w:val="auto"/>
                <w:highlight w:val="none"/>
              </w:rPr>
              <w:t>（</w:t>
            </w:r>
            <w:r>
              <w:rPr>
                <w:rFonts w:hint="default"/>
                <w:color w:val="auto"/>
                <w:highlight w:val="none"/>
              </w:rPr>
              <w:t>5）施工结束后，对临时占地、临时施工道路进行生态恢复措施，播撒适合本地生长的野生植被种子，禁止车辆、人员的碾压，促进尽快恢复。</w:t>
            </w:r>
          </w:p>
        </w:tc>
      </w:tr>
      <w:tr w14:paraId="09D798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tcMar>
              <w:left w:w="28" w:type="dxa"/>
              <w:right w:w="28" w:type="dxa"/>
            </w:tcMar>
            <w:vAlign w:val="center"/>
          </w:tcPr>
          <w:p w14:paraId="267264DC">
            <w:pPr>
              <w:pStyle w:val="26"/>
              <w:jc w:val="both"/>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运营期生态环境影响分析</w:t>
            </w:r>
          </w:p>
        </w:tc>
        <w:tc>
          <w:tcPr>
            <w:tcW w:w="4652" w:type="pct"/>
            <w:vAlign w:val="center"/>
          </w:tcPr>
          <w:p w14:paraId="56BCAB76">
            <w:pPr>
              <w:adjustRightInd w:val="0"/>
              <w:snapToGrid w:val="0"/>
              <w:spacing w:line="440" w:lineRule="exact"/>
              <w:rPr>
                <w:rFonts w:hint="default"/>
                <w:b/>
                <w:bCs/>
                <w:color w:val="auto"/>
                <w:highlight w:val="none"/>
              </w:rPr>
            </w:pPr>
            <w:r>
              <w:rPr>
                <w:rFonts w:hint="default"/>
                <w:b/>
                <w:bCs/>
                <w:color w:val="auto"/>
                <w:highlight w:val="none"/>
              </w:rPr>
              <w:t>一、废气</w:t>
            </w:r>
          </w:p>
          <w:p w14:paraId="5486F894">
            <w:pPr>
              <w:adjustRightInd w:val="0"/>
              <w:snapToGrid w:val="0"/>
              <w:spacing w:line="440" w:lineRule="exact"/>
              <w:ind w:firstLine="480" w:firstLineChars="200"/>
              <w:rPr>
                <w:rFonts w:hint="default"/>
                <w:color w:val="auto"/>
                <w:highlight w:val="none"/>
              </w:rPr>
            </w:pPr>
            <w:r>
              <w:rPr>
                <w:rFonts w:hint="default"/>
                <w:color w:val="auto"/>
                <w:highlight w:val="none"/>
              </w:rPr>
              <w:t>本项目运营期产生的废气主要为锅炉燃烧废气、果渣暂存产生的臭气。</w:t>
            </w:r>
          </w:p>
          <w:p w14:paraId="233FA35D">
            <w:pPr>
              <w:adjustRightInd w:val="0"/>
              <w:snapToGrid w:val="0"/>
              <w:spacing w:line="440" w:lineRule="exact"/>
              <w:ind w:firstLine="482" w:firstLineChars="200"/>
              <w:rPr>
                <w:rFonts w:hint="default"/>
                <w:b/>
                <w:bCs/>
                <w:color w:val="auto"/>
                <w:highlight w:val="none"/>
              </w:rPr>
            </w:pPr>
            <w:r>
              <w:rPr>
                <w:rFonts w:hint="default"/>
                <w:b/>
                <w:bCs/>
                <w:color w:val="auto"/>
                <w:highlight w:val="none"/>
              </w:rPr>
              <w:t>1.废气源强</w:t>
            </w:r>
          </w:p>
          <w:p w14:paraId="1468B93C">
            <w:pPr>
              <w:adjustRightInd w:val="0"/>
              <w:snapToGrid w:val="0"/>
              <w:spacing w:line="440" w:lineRule="exact"/>
              <w:ind w:firstLine="480" w:firstLineChars="200"/>
              <w:rPr>
                <w:rFonts w:hint="default"/>
                <w:color w:val="auto"/>
                <w:highlight w:val="none"/>
              </w:rPr>
            </w:pPr>
            <w:r>
              <w:rPr>
                <w:rFonts w:hint="default"/>
                <w:color w:val="auto"/>
                <w:highlight w:val="none"/>
              </w:rPr>
              <w:t>（1）有组织废气</w:t>
            </w:r>
          </w:p>
          <w:p w14:paraId="19B46D4A">
            <w:pPr>
              <w:adjustRightInd w:val="0"/>
              <w:snapToGrid w:val="0"/>
              <w:spacing w:line="440" w:lineRule="exact"/>
              <w:ind w:firstLine="480" w:firstLineChars="200"/>
              <w:rPr>
                <w:rFonts w:hint="default"/>
                <w:color w:val="auto"/>
                <w:highlight w:val="none"/>
              </w:rPr>
            </w:pPr>
            <w:r>
              <w:rPr>
                <w:rFonts w:hint="default"/>
                <w:color w:val="auto"/>
                <w:highlight w:val="none"/>
              </w:rPr>
              <w:t>本项目设置1台2t/h天然气锅炉，锅炉产生的废气主要为天然气在燃烧过程中产生的SO</w:t>
            </w:r>
            <w:r>
              <w:rPr>
                <w:rFonts w:hint="default"/>
                <w:color w:val="auto"/>
                <w:highlight w:val="none"/>
                <w:vertAlign w:val="subscript"/>
              </w:rPr>
              <w:t>2</w:t>
            </w:r>
            <w:r>
              <w:rPr>
                <w:rFonts w:hint="default"/>
                <w:color w:val="auto"/>
                <w:highlight w:val="none"/>
              </w:rPr>
              <w:t>、NOx、颗粒物、烟气林格曼黑度，燃气锅炉安装低氮燃烧器，废气通过1根1</w:t>
            </w:r>
            <w:r>
              <w:rPr>
                <w:rFonts w:hint="eastAsia"/>
                <w:color w:val="auto"/>
                <w:highlight w:val="none"/>
                <w:lang w:val="en-US" w:eastAsia="zh-CN"/>
              </w:rPr>
              <w:t>2</w:t>
            </w:r>
            <w:r>
              <w:rPr>
                <w:rFonts w:hint="default"/>
                <w:color w:val="auto"/>
                <w:highlight w:val="none"/>
              </w:rPr>
              <w:t>m高的排气筒DA00</w:t>
            </w:r>
            <w:r>
              <w:rPr>
                <w:rFonts w:hint="default"/>
                <w:color w:val="auto"/>
                <w:highlight w:val="none"/>
                <w:lang w:val="en-US" w:eastAsia="zh-CN"/>
              </w:rPr>
              <w:t>1</w:t>
            </w:r>
            <w:r>
              <w:rPr>
                <w:rFonts w:hint="default"/>
                <w:color w:val="auto"/>
                <w:highlight w:val="none"/>
              </w:rPr>
              <w:t>排放。</w:t>
            </w:r>
          </w:p>
          <w:p w14:paraId="4B183492">
            <w:pPr>
              <w:adjustRightInd w:val="0"/>
              <w:snapToGrid w:val="0"/>
              <w:spacing w:line="440" w:lineRule="exact"/>
              <w:ind w:firstLine="480" w:firstLineChars="200"/>
              <w:rPr>
                <w:rFonts w:hint="default"/>
                <w:color w:val="auto"/>
                <w:highlight w:val="none"/>
              </w:rPr>
            </w:pPr>
            <w:r>
              <w:rPr>
                <w:rFonts w:hint="default"/>
                <w:color w:val="auto"/>
                <w:highlight w:val="none"/>
              </w:rPr>
              <w:t>参考《纳入排污许可管理的火电等17个行业污染物实际排放量计算方法（含排污系数、物料衡算方法）（试行）》表A.1废气污染物排放产污系数一览表、表B.3燃气工业锅炉的废气产排污系数、《排污许可证申请与核发技术规范锅炉》（HJ953-2018）中表F.3燃气工业锅炉的废气产排污系数，锅炉废气产排污系数</w:t>
            </w:r>
            <w:r>
              <w:rPr>
                <w:rFonts w:hint="default"/>
                <w:color w:val="auto"/>
                <w:highlight w:val="none"/>
                <w:lang w:val="en-US" w:eastAsia="zh-CN"/>
              </w:rPr>
              <w:t>见</w:t>
            </w:r>
            <w:r>
              <w:rPr>
                <w:rFonts w:hint="default"/>
                <w:color w:val="auto"/>
                <w:highlight w:val="none"/>
              </w:rPr>
              <w:t>表</w:t>
            </w:r>
            <w:r>
              <w:rPr>
                <w:rFonts w:hint="default"/>
                <w:color w:val="auto"/>
                <w:highlight w:val="none"/>
                <w:lang w:val="en-US" w:eastAsia="zh-CN"/>
              </w:rPr>
              <w:t>4-1</w:t>
            </w:r>
            <w:r>
              <w:rPr>
                <w:rFonts w:hint="default"/>
                <w:color w:val="auto"/>
                <w:highlight w:val="none"/>
              </w:rPr>
              <w:t>所示。</w:t>
            </w:r>
          </w:p>
          <w:p w14:paraId="4A8A03FD">
            <w:pPr>
              <w:adjustRightInd w:val="0"/>
              <w:snapToGrid w:val="0"/>
              <w:spacing w:line="440" w:lineRule="exact"/>
              <w:jc w:val="center"/>
              <w:rPr>
                <w:rFonts w:hint="default"/>
                <w:color w:val="auto"/>
                <w:highlight w:val="none"/>
              </w:rPr>
            </w:pPr>
            <w:r>
              <w:rPr>
                <w:b/>
                <w:bCs/>
                <w:color w:val="auto"/>
                <w:spacing w:val="-2"/>
                <w:highlight w:val="none"/>
              </w:rPr>
              <w:t>表</w:t>
            </w:r>
            <w:r>
              <w:rPr>
                <w:rFonts w:ascii="Times New Roman" w:hAnsi="Times New Roman" w:eastAsia="Times New Roman" w:cs="Times New Roman"/>
                <w:b/>
                <w:bCs/>
                <w:color w:val="auto"/>
                <w:spacing w:val="-2"/>
                <w:highlight w:val="none"/>
              </w:rPr>
              <w:t>4-1</w:t>
            </w:r>
            <w:r>
              <w:rPr>
                <w:rFonts w:hint="default" w:eastAsia="宋体" w:cs="Times New Roman"/>
                <w:b/>
                <w:bCs/>
                <w:color w:val="auto"/>
                <w:spacing w:val="-2"/>
                <w:highlight w:val="none"/>
                <w:lang w:val="en-US" w:eastAsia="zh-CN"/>
              </w:rPr>
              <w:t xml:space="preserve">    </w:t>
            </w:r>
            <w:r>
              <w:rPr>
                <w:b/>
                <w:bCs/>
                <w:color w:val="auto"/>
                <w:spacing w:val="-2"/>
                <w:highlight w:val="none"/>
              </w:rPr>
              <w:t>锅炉废气产排污系数一览表</w:t>
            </w:r>
          </w:p>
          <w:tbl>
            <w:tblPr>
              <w:tblStyle w:val="118"/>
              <w:tblW w:w="5000"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371"/>
              <w:gridCol w:w="550"/>
              <w:gridCol w:w="1057"/>
              <w:gridCol w:w="783"/>
              <w:gridCol w:w="845"/>
              <w:gridCol w:w="770"/>
              <w:gridCol w:w="4699"/>
            </w:tblGrid>
            <w:tr w14:paraId="2F57B3F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204" w:type="pct"/>
                  <w:vAlign w:val="center"/>
                </w:tcPr>
                <w:p w14:paraId="3AC350A9">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2"/>
                      <w:sz w:val="18"/>
                      <w:szCs w:val="18"/>
                      <w:highlight w:val="none"/>
                    </w:rPr>
                    <w:t>原料</w:t>
                  </w:r>
                </w:p>
                <w:p w14:paraId="1F2AF16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3"/>
                      <w:sz w:val="18"/>
                      <w:szCs w:val="18"/>
                      <w:highlight w:val="none"/>
                    </w:rPr>
                    <w:t>名称</w:t>
                  </w:r>
                </w:p>
              </w:tc>
              <w:tc>
                <w:tcPr>
                  <w:tcW w:w="303" w:type="pct"/>
                  <w:vAlign w:val="center"/>
                </w:tcPr>
                <w:p w14:paraId="768D7B7C">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6"/>
                      <w:sz w:val="18"/>
                      <w:szCs w:val="18"/>
                      <w:highlight w:val="none"/>
                    </w:rPr>
                    <w:t>污染物指</w:t>
                  </w:r>
                  <w:r>
                    <w:rPr>
                      <w:color w:val="auto"/>
                      <w:sz w:val="18"/>
                      <w:szCs w:val="18"/>
                      <w:highlight w:val="none"/>
                    </w:rPr>
                    <w:t>标</w:t>
                  </w:r>
                </w:p>
              </w:tc>
              <w:tc>
                <w:tcPr>
                  <w:tcW w:w="582" w:type="pct"/>
                  <w:vAlign w:val="center"/>
                </w:tcPr>
                <w:p w14:paraId="698B579E">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3"/>
                      <w:sz w:val="18"/>
                      <w:szCs w:val="18"/>
                      <w:highlight w:val="none"/>
                    </w:rPr>
                    <w:t>单位</w:t>
                  </w:r>
                </w:p>
              </w:tc>
              <w:tc>
                <w:tcPr>
                  <w:tcW w:w="431" w:type="pct"/>
                  <w:vAlign w:val="center"/>
                </w:tcPr>
                <w:p w14:paraId="4FB51D15">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7"/>
                      <w:sz w:val="18"/>
                      <w:szCs w:val="18"/>
                      <w:highlight w:val="none"/>
                    </w:rPr>
                    <w:t>产污系数</w:t>
                  </w:r>
                </w:p>
              </w:tc>
              <w:tc>
                <w:tcPr>
                  <w:tcW w:w="465" w:type="pct"/>
                  <w:vAlign w:val="center"/>
                </w:tcPr>
                <w:p w14:paraId="6E0F5BF1">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7"/>
                      <w:sz w:val="18"/>
                      <w:szCs w:val="18"/>
                      <w:highlight w:val="none"/>
                    </w:rPr>
                    <w:t>末端治理</w:t>
                  </w:r>
                </w:p>
                <w:p w14:paraId="1F80A5A1">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7"/>
                      <w:sz w:val="18"/>
                      <w:szCs w:val="18"/>
                      <w:highlight w:val="none"/>
                    </w:rPr>
                    <w:t>技术名称</w:t>
                  </w:r>
                </w:p>
              </w:tc>
              <w:tc>
                <w:tcPr>
                  <w:tcW w:w="424" w:type="pct"/>
                  <w:vAlign w:val="center"/>
                </w:tcPr>
                <w:p w14:paraId="586F5858">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6"/>
                      <w:sz w:val="18"/>
                      <w:szCs w:val="18"/>
                      <w:highlight w:val="none"/>
                    </w:rPr>
                    <w:t>排污系</w:t>
                  </w:r>
                  <w:r>
                    <w:rPr>
                      <w:color w:val="auto"/>
                      <w:sz w:val="18"/>
                      <w:szCs w:val="18"/>
                      <w:highlight w:val="none"/>
                    </w:rPr>
                    <w:t>数</w:t>
                  </w:r>
                </w:p>
              </w:tc>
              <w:tc>
                <w:tcPr>
                  <w:tcW w:w="2587" w:type="pct"/>
                  <w:vAlign w:val="center"/>
                </w:tcPr>
                <w:p w14:paraId="109308E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4"/>
                      <w:sz w:val="18"/>
                      <w:szCs w:val="18"/>
                      <w:highlight w:val="none"/>
                    </w:rPr>
                    <w:t>来源</w:t>
                  </w:r>
                </w:p>
              </w:tc>
            </w:tr>
            <w:tr w14:paraId="4CEFB59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204" w:type="pct"/>
                  <w:vMerge w:val="restart"/>
                  <w:vAlign w:val="center"/>
                </w:tcPr>
                <w:p w14:paraId="7F724C93">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2"/>
                      <w:sz w:val="18"/>
                      <w:szCs w:val="18"/>
                      <w:highlight w:val="none"/>
                    </w:rPr>
                    <w:t>天然</w:t>
                  </w:r>
                  <w:r>
                    <w:rPr>
                      <w:color w:val="auto"/>
                      <w:sz w:val="18"/>
                      <w:szCs w:val="18"/>
                      <w:highlight w:val="none"/>
                    </w:rPr>
                    <w:t>气</w:t>
                  </w:r>
                </w:p>
              </w:tc>
              <w:tc>
                <w:tcPr>
                  <w:tcW w:w="303" w:type="pct"/>
                  <w:vAlign w:val="center"/>
                </w:tcPr>
                <w:p w14:paraId="1475BF53">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6"/>
                      <w:sz w:val="18"/>
                      <w:szCs w:val="18"/>
                      <w:highlight w:val="none"/>
                    </w:rPr>
                    <w:t>工业废气</w:t>
                  </w:r>
                  <w:r>
                    <w:rPr>
                      <w:color w:val="auto"/>
                      <w:sz w:val="18"/>
                      <w:szCs w:val="18"/>
                      <w:highlight w:val="none"/>
                    </w:rPr>
                    <w:t>量</w:t>
                  </w:r>
                </w:p>
              </w:tc>
              <w:tc>
                <w:tcPr>
                  <w:tcW w:w="582" w:type="pct"/>
                  <w:vAlign w:val="center"/>
                </w:tcPr>
                <w:p w14:paraId="079E324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6"/>
                      <w:position w:val="1"/>
                      <w:sz w:val="18"/>
                      <w:szCs w:val="18"/>
                      <w:highlight w:val="none"/>
                    </w:rPr>
                    <w:t>标立方米</w:t>
                  </w:r>
                  <w:r>
                    <w:rPr>
                      <w:rFonts w:ascii="Times New Roman" w:hAnsi="Times New Roman" w:eastAsia="Times New Roman" w:cs="Times New Roman"/>
                      <w:color w:val="auto"/>
                      <w:spacing w:val="6"/>
                      <w:position w:val="1"/>
                      <w:sz w:val="18"/>
                      <w:szCs w:val="18"/>
                      <w:highlight w:val="none"/>
                    </w:rPr>
                    <w:t>/</w:t>
                  </w:r>
                  <w:r>
                    <w:rPr>
                      <w:color w:val="auto"/>
                      <w:spacing w:val="7"/>
                      <w:sz w:val="18"/>
                      <w:szCs w:val="18"/>
                      <w:highlight w:val="none"/>
                    </w:rPr>
                    <w:t>万立方米</w:t>
                  </w:r>
                  <w:r>
                    <w:rPr>
                      <w:rFonts w:ascii="Times New Roman" w:hAnsi="Times New Roman" w:eastAsia="Times New Roman" w:cs="Times New Roman"/>
                      <w:color w:val="auto"/>
                      <w:spacing w:val="7"/>
                      <w:sz w:val="18"/>
                      <w:szCs w:val="18"/>
                      <w:highlight w:val="none"/>
                    </w:rPr>
                    <w:t>-</w:t>
                  </w:r>
                  <w:r>
                    <w:rPr>
                      <w:color w:val="auto"/>
                      <w:spacing w:val="2"/>
                      <w:sz w:val="18"/>
                      <w:szCs w:val="18"/>
                      <w:highlight w:val="none"/>
                    </w:rPr>
                    <w:t>原料</w:t>
                  </w:r>
                </w:p>
              </w:tc>
              <w:tc>
                <w:tcPr>
                  <w:tcW w:w="431" w:type="pct"/>
                  <w:vAlign w:val="center"/>
                </w:tcPr>
                <w:p w14:paraId="15630EA3">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1"/>
                      <w:position w:val="2"/>
                      <w:sz w:val="18"/>
                      <w:szCs w:val="18"/>
                      <w:highlight w:val="none"/>
                    </w:rPr>
                    <w:t>136259.17</w:t>
                  </w:r>
                </w:p>
              </w:tc>
              <w:tc>
                <w:tcPr>
                  <w:tcW w:w="465" w:type="pct"/>
                  <w:vAlign w:val="center"/>
                </w:tcPr>
                <w:p w14:paraId="5F2818F7">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3"/>
                      <w:sz w:val="18"/>
                      <w:szCs w:val="18"/>
                      <w:highlight w:val="none"/>
                    </w:rPr>
                    <w:t>直排</w:t>
                  </w:r>
                </w:p>
              </w:tc>
              <w:tc>
                <w:tcPr>
                  <w:tcW w:w="424" w:type="pct"/>
                  <w:vAlign w:val="center"/>
                </w:tcPr>
                <w:p w14:paraId="56A4DB7D">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position w:val="1"/>
                      <w:sz w:val="18"/>
                      <w:szCs w:val="18"/>
                      <w:highlight w:val="none"/>
                    </w:rPr>
                    <w:t>136259</w:t>
                  </w:r>
                  <w:r>
                    <w:rPr>
                      <w:rFonts w:ascii="Times New Roman" w:hAnsi="Times New Roman" w:eastAsia="Times New Roman" w:cs="Times New Roman"/>
                      <w:color w:val="auto"/>
                      <w:spacing w:val="-1"/>
                      <w:position w:val="1"/>
                      <w:sz w:val="18"/>
                      <w:szCs w:val="18"/>
                      <w:highlight w:val="none"/>
                    </w:rPr>
                    <w:t>.17</w:t>
                  </w:r>
                </w:p>
              </w:tc>
              <w:tc>
                <w:tcPr>
                  <w:tcW w:w="2587" w:type="pct"/>
                  <w:vMerge w:val="restart"/>
                  <w:vAlign w:val="center"/>
                </w:tcPr>
                <w:p w14:paraId="05A9D9A0">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8"/>
                      <w:sz w:val="18"/>
                      <w:szCs w:val="18"/>
                      <w:highlight w:val="none"/>
                    </w:rPr>
                    <w:t>《纳入排污许可管</w:t>
                  </w:r>
                  <w:r>
                    <w:rPr>
                      <w:color w:val="auto"/>
                      <w:spacing w:val="4"/>
                      <w:position w:val="1"/>
                      <w:sz w:val="18"/>
                      <w:szCs w:val="18"/>
                      <w:highlight w:val="none"/>
                    </w:rPr>
                    <w:t>理的火电等</w:t>
                  </w:r>
                  <w:r>
                    <w:rPr>
                      <w:rFonts w:ascii="Times New Roman" w:hAnsi="Times New Roman" w:eastAsia="Times New Roman" w:cs="Times New Roman"/>
                      <w:color w:val="auto"/>
                      <w:spacing w:val="4"/>
                      <w:position w:val="1"/>
                      <w:sz w:val="18"/>
                      <w:szCs w:val="18"/>
                      <w:highlight w:val="none"/>
                    </w:rPr>
                    <w:t>17</w:t>
                  </w:r>
                  <w:r>
                    <w:rPr>
                      <w:color w:val="auto"/>
                      <w:spacing w:val="4"/>
                      <w:position w:val="1"/>
                      <w:sz w:val="18"/>
                      <w:szCs w:val="18"/>
                      <w:highlight w:val="none"/>
                    </w:rPr>
                    <w:t>个行</w:t>
                  </w:r>
                  <w:r>
                    <w:rPr>
                      <w:color w:val="auto"/>
                      <w:spacing w:val="8"/>
                      <w:sz w:val="18"/>
                      <w:szCs w:val="18"/>
                      <w:highlight w:val="none"/>
                    </w:rPr>
                    <w:t>业污染物实际排放</w:t>
                  </w:r>
                  <w:r>
                    <w:rPr>
                      <w:color w:val="auto"/>
                      <w:spacing w:val="-3"/>
                      <w:sz w:val="18"/>
                      <w:szCs w:val="18"/>
                      <w:highlight w:val="none"/>
                    </w:rPr>
                    <w:t>量计算方法（含排污</w:t>
                  </w:r>
                  <w:r>
                    <w:rPr>
                      <w:color w:val="auto"/>
                      <w:spacing w:val="8"/>
                      <w:sz w:val="18"/>
                      <w:szCs w:val="18"/>
                      <w:highlight w:val="none"/>
                    </w:rPr>
                    <w:t>系数、物料衡算方</w:t>
                  </w:r>
                  <w:r>
                    <w:rPr>
                      <w:color w:val="auto"/>
                      <w:spacing w:val="16"/>
                      <w:sz w:val="18"/>
                      <w:szCs w:val="18"/>
                      <w:highlight w:val="none"/>
                    </w:rPr>
                    <w:t>法</w:t>
                  </w:r>
                  <w:r>
                    <w:rPr>
                      <w:color w:val="auto"/>
                      <w:spacing w:val="-6"/>
                      <w:sz w:val="18"/>
                      <w:szCs w:val="18"/>
                      <w:highlight w:val="none"/>
                    </w:rPr>
                    <w:t>）（</w:t>
                  </w:r>
                  <w:r>
                    <w:rPr>
                      <w:color w:val="auto"/>
                      <w:spacing w:val="16"/>
                      <w:sz w:val="18"/>
                      <w:szCs w:val="18"/>
                      <w:highlight w:val="none"/>
                    </w:rPr>
                    <w:t>试行）》</w:t>
                  </w:r>
                </w:p>
              </w:tc>
            </w:tr>
            <w:tr w14:paraId="6B52459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204" w:type="pct"/>
                  <w:vMerge w:val="continue"/>
                  <w:vAlign w:val="center"/>
                </w:tcPr>
                <w:p w14:paraId="3127164D">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2"/>
                      <w:sz w:val="18"/>
                      <w:szCs w:val="18"/>
                      <w:highlight w:val="none"/>
                    </w:rPr>
                  </w:pPr>
                </w:p>
              </w:tc>
              <w:tc>
                <w:tcPr>
                  <w:tcW w:w="303" w:type="pct"/>
                  <w:vAlign w:val="center"/>
                </w:tcPr>
                <w:p w14:paraId="481AA0C7">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color w:val="auto"/>
                      <w:spacing w:val="6"/>
                      <w:sz w:val="18"/>
                      <w:szCs w:val="18"/>
                      <w:highlight w:val="none"/>
                    </w:rPr>
                  </w:pPr>
                  <w:r>
                    <w:rPr>
                      <w:color w:val="auto"/>
                      <w:spacing w:val="7"/>
                      <w:sz w:val="18"/>
                      <w:szCs w:val="18"/>
                      <w:highlight w:val="none"/>
                    </w:rPr>
                    <w:t>颗粒物</w:t>
                  </w:r>
                </w:p>
              </w:tc>
              <w:tc>
                <w:tcPr>
                  <w:tcW w:w="582" w:type="pct"/>
                  <w:vAlign w:val="center"/>
                </w:tcPr>
                <w:p w14:paraId="38283E4E">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color w:val="auto"/>
                      <w:spacing w:val="2"/>
                      <w:sz w:val="18"/>
                      <w:szCs w:val="18"/>
                      <w:highlight w:val="none"/>
                    </w:rPr>
                  </w:pPr>
                  <w:r>
                    <w:rPr>
                      <w:color w:val="auto"/>
                      <w:spacing w:val="6"/>
                      <w:sz w:val="18"/>
                      <w:szCs w:val="18"/>
                      <w:highlight w:val="none"/>
                    </w:rPr>
                    <w:t>毫克</w:t>
                  </w:r>
                  <w:r>
                    <w:rPr>
                      <w:rFonts w:ascii="Times New Roman" w:hAnsi="Times New Roman" w:eastAsia="Times New Roman" w:cs="Times New Roman"/>
                      <w:color w:val="auto"/>
                      <w:spacing w:val="6"/>
                      <w:sz w:val="18"/>
                      <w:szCs w:val="18"/>
                      <w:highlight w:val="none"/>
                    </w:rPr>
                    <w:t>/</w:t>
                  </w:r>
                  <w:r>
                    <w:rPr>
                      <w:color w:val="auto"/>
                      <w:spacing w:val="6"/>
                      <w:sz w:val="18"/>
                      <w:szCs w:val="18"/>
                      <w:highlight w:val="none"/>
                    </w:rPr>
                    <w:t>立方</w:t>
                  </w:r>
                  <w:r>
                    <w:rPr>
                      <w:color w:val="auto"/>
                      <w:spacing w:val="5"/>
                      <w:sz w:val="18"/>
                      <w:szCs w:val="18"/>
                      <w:highlight w:val="none"/>
                    </w:rPr>
                    <w:t>米</w:t>
                  </w:r>
                  <w:r>
                    <w:rPr>
                      <w:rFonts w:ascii="Times New Roman" w:hAnsi="Times New Roman" w:eastAsia="Times New Roman" w:cs="Times New Roman"/>
                      <w:color w:val="auto"/>
                      <w:spacing w:val="5"/>
                      <w:sz w:val="18"/>
                      <w:szCs w:val="18"/>
                      <w:highlight w:val="none"/>
                    </w:rPr>
                    <w:t>-</w:t>
                  </w:r>
                  <w:r>
                    <w:rPr>
                      <w:color w:val="auto"/>
                      <w:spacing w:val="5"/>
                      <w:sz w:val="18"/>
                      <w:szCs w:val="18"/>
                      <w:highlight w:val="none"/>
                    </w:rPr>
                    <w:t>原料</w:t>
                  </w:r>
                </w:p>
              </w:tc>
              <w:tc>
                <w:tcPr>
                  <w:tcW w:w="431" w:type="pct"/>
                  <w:vAlign w:val="center"/>
                </w:tcPr>
                <w:p w14:paraId="20CED707">
                  <w:pPr>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103.9</w:t>
                  </w:r>
                </w:p>
              </w:tc>
              <w:tc>
                <w:tcPr>
                  <w:tcW w:w="465" w:type="pct"/>
                  <w:vAlign w:val="center"/>
                </w:tcPr>
                <w:p w14:paraId="5D25F122">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color w:val="auto"/>
                      <w:spacing w:val="3"/>
                      <w:sz w:val="18"/>
                      <w:szCs w:val="18"/>
                      <w:highlight w:val="none"/>
                    </w:rPr>
                  </w:pPr>
                  <w:r>
                    <w:rPr>
                      <w:color w:val="auto"/>
                      <w:spacing w:val="3"/>
                      <w:sz w:val="18"/>
                      <w:szCs w:val="18"/>
                      <w:highlight w:val="none"/>
                    </w:rPr>
                    <w:t>直排</w:t>
                  </w:r>
                </w:p>
              </w:tc>
              <w:tc>
                <w:tcPr>
                  <w:tcW w:w="424" w:type="pct"/>
                  <w:vAlign w:val="center"/>
                </w:tcPr>
                <w:p w14:paraId="625FFDAF">
                  <w:pPr>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ascii="Times New Roman" w:hAnsi="Times New Roman" w:eastAsia="Times New Roman" w:cs="Times New Roman"/>
                      <w:color w:val="auto"/>
                      <w:spacing w:val="-1"/>
                      <w:position w:val="1"/>
                      <w:sz w:val="18"/>
                      <w:szCs w:val="18"/>
                      <w:highlight w:val="none"/>
                    </w:rPr>
                  </w:pPr>
                  <w:r>
                    <w:rPr>
                      <w:rFonts w:ascii="Times New Roman" w:hAnsi="Times New Roman" w:eastAsia="Times New Roman" w:cs="Times New Roman"/>
                      <w:color w:val="auto"/>
                      <w:spacing w:val="-1"/>
                      <w:position w:val="2"/>
                      <w:sz w:val="18"/>
                      <w:szCs w:val="18"/>
                      <w:highlight w:val="none"/>
                    </w:rPr>
                    <w:t>103.9</w:t>
                  </w:r>
                </w:p>
              </w:tc>
              <w:tc>
                <w:tcPr>
                  <w:tcW w:w="2587" w:type="pct"/>
                  <w:vMerge w:val="continue"/>
                  <w:vAlign w:val="center"/>
                </w:tcPr>
                <w:p w14:paraId="020A612A">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16"/>
                      <w:sz w:val="18"/>
                      <w:szCs w:val="18"/>
                      <w:highlight w:val="none"/>
                    </w:rPr>
                  </w:pPr>
                </w:p>
              </w:tc>
            </w:tr>
            <w:tr w14:paraId="4DD2932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204" w:type="pct"/>
                  <w:vMerge w:val="continue"/>
                  <w:vAlign w:val="center"/>
                </w:tcPr>
                <w:p w14:paraId="4EB00C26">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2"/>
                      <w:sz w:val="18"/>
                      <w:szCs w:val="18"/>
                      <w:highlight w:val="none"/>
                    </w:rPr>
                  </w:pPr>
                </w:p>
              </w:tc>
              <w:tc>
                <w:tcPr>
                  <w:tcW w:w="303" w:type="pct"/>
                  <w:vAlign w:val="center"/>
                </w:tcPr>
                <w:p w14:paraId="54E90F17">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color w:val="auto"/>
                      <w:spacing w:val="7"/>
                      <w:sz w:val="18"/>
                      <w:szCs w:val="18"/>
                      <w:highlight w:val="none"/>
                    </w:rPr>
                  </w:pPr>
                  <w:r>
                    <w:rPr>
                      <w:color w:val="auto"/>
                      <w:spacing w:val="6"/>
                      <w:sz w:val="18"/>
                      <w:szCs w:val="18"/>
                      <w:highlight w:val="none"/>
                    </w:rPr>
                    <w:t>二氧化硫</w:t>
                  </w:r>
                </w:p>
              </w:tc>
              <w:tc>
                <w:tcPr>
                  <w:tcW w:w="582" w:type="pct"/>
                  <w:vAlign w:val="center"/>
                </w:tcPr>
                <w:p w14:paraId="4147134E">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6"/>
                      <w:sz w:val="18"/>
                      <w:szCs w:val="18"/>
                      <w:highlight w:val="none"/>
                    </w:rPr>
                  </w:pPr>
                  <w:r>
                    <w:rPr>
                      <w:color w:val="auto"/>
                      <w:spacing w:val="6"/>
                      <w:position w:val="1"/>
                      <w:sz w:val="18"/>
                      <w:szCs w:val="18"/>
                      <w:highlight w:val="none"/>
                    </w:rPr>
                    <w:t>千克</w:t>
                  </w:r>
                  <w:r>
                    <w:rPr>
                      <w:rFonts w:ascii="Times New Roman" w:hAnsi="Times New Roman" w:eastAsia="Times New Roman" w:cs="Times New Roman"/>
                      <w:color w:val="auto"/>
                      <w:spacing w:val="6"/>
                      <w:position w:val="1"/>
                      <w:sz w:val="18"/>
                      <w:szCs w:val="18"/>
                      <w:highlight w:val="none"/>
                    </w:rPr>
                    <w:t>/</w:t>
                  </w:r>
                  <w:r>
                    <w:rPr>
                      <w:color w:val="auto"/>
                      <w:spacing w:val="6"/>
                      <w:position w:val="1"/>
                      <w:sz w:val="18"/>
                      <w:szCs w:val="18"/>
                      <w:highlight w:val="none"/>
                    </w:rPr>
                    <w:t>万立</w:t>
                  </w:r>
                  <w:r>
                    <w:rPr>
                      <w:color w:val="auto"/>
                      <w:spacing w:val="6"/>
                      <w:sz w:val="18"/>
                      <w:szCs w:val="18"/>
                      <w:highlight w:val="none"/>
                    </w:rPr>
                    <w:t>方米</w:t>
                  </w:r>
                  <w:r>
                    <w:rPr>
                      <w:rFonts w:ascii="Times New Roman" w:hAnsi="Times New Roman" w:eastAsia="Times New Roman" w:cs="Times New Roman"/>
                      <w:color w:val="auto"/>
                      <w:spacing w:val="6"/>
                      <w:sz w:val="18"/>
                      <w:szCs w:val="18"/>
                      <w:highlight w:val="none"/>
                    </w:rPr>
                    <w:t>-</w:t>
                  </w:r>
                  <w:r>
                    <w:rPr>
                      <w:color w:val="auto"/>
                      <w:spacing w:val="6"/>
                      <w:sz w:val="18"/>
                      <w:szCs w:val="18"/>
                      <w:highlight w:val="none"/>
                    </w:rPr>
                    <w:t>原料</w:t>
                  </w:r>
                </w:p>
              </w:tc>
              <w:tc>
                <w:tcPr>
                  <w:tcW w:w="431" w:type="pct"/>
                  <w:vAlign w:val="center"/>
                </w:tcPr>
                <w:p w14:paraId="607ABDF7">
                  <w:pPr>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3"/>
                      <w:position w:val="2"/>
                      <w:sz w:val="18"/>
                      <w:szCs w:val="18"/>
                      <w:highlight w:val="none"/>
                    </w:rPr>
                    <w:t>0.02s</w:t>
                  </w:r>
                </w:p>
              </w:tc>
              <w:tc>
                <w:tcPr>
                  <w:tcW w:w="465" w:type="pct"/>
                  <w:vAlign w:val="center"/>
                </w:tcPr>
                <w:p w14:paraId="7A1171E3">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color w:val="auto"/>
                      <w:spacing w:val="3"/>
                      <w:sz w:val="18"/>
                      <w:szCs w:val="18"/>
                      <w:highlight w:val="none"/>
                    </w:rPr>
                  </w:pPr>
                  <w:r>
                    <w:rPr>
                      <w:color w:val="auto"/>
                      <w:spacing w:val="3"/>
                      <w:sz w:val="18"/>
                      <w:szCs w:val="18"/>
                      <w:highlight w:val="none"/>
                    </w:rPr>
                    <w:t>直排</w:t>
                  </w:r>
                </w:p>
              </w:tc>
              <w:tc>
                <w:tcPr>
                  <w:tcW w:w="424" w:type="pct"/>
                  <w:vAlign w:val="center"/>
                </w:tcPr>
                <w:p w14:paraId="403787B0">
                  <w:pPr>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3"/>
                      <w:position w:val="2"/>
                      <w:sz w:val="18"/>
                      <w:szCs w:val="18"/>
                      <w:highlight w:val="none"/>
                    </w:rPr>
                    <w:t>0.02s</w:t>
                  </w:r>
                </w:p>
              </w:tc>
              <w:tc>
                <w:tcPr>
                  <w:tcW w:w="2587" w:type="pct"/>
                  <w:vMerge w:val="continue"/>
                  <w:vAlign w:val="center"/>
                </w:tcPr>
                <w:p w14:paraId="4C5755CE">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16"/>
                      <w:sz w:val="18"/>
                      <w:szCs w:val="18"/>
                      <w:highlight w:val="none"/>
                    </w:rPr>
                  </w:pPr>
                </w:p>
              </w:tc>
            </w:tr>
            <w:tr w14:paraId="32BD8BB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204" w:type="pct"/>
                  <w:vMerge w:val="continue"/>
                  <w:vAlign w:val="center"/>
                </w:tcPr>
                <w:p w14:paraId="0C7FD464">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2"/>
                      <w:sz w:val="18"/>
                      <w:szCs w:val="18"/>
                      <w:highlight w:val="none"/>
                    </w:rPr>
                  </w:pPr>
                </w:p>
              </w:tc>
              <w:tc>
                <w:tcPr>
                  <w:tcW w:w="303" w:type="pct"/>
                  <w:vAlign w:val="center"/>
                </w:tcPr>
                <w:p w14:paraId="2EAC25E1">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color w:val="auto"/>
                      <w:spacing w:val="7"/>
                      <w:sz w:val="18"/>
                      <w:szCs w:val="18"/>
                      <w:highlight w:val="none"/>
                    </w:rPr>
                  </w:pPr>
                  <w:r>
                    <w:rPr>
                      <w:color w:val="auto"/>
                      <w:spacing w:val="7"/>
                      <w:sz w:val="18"/>
                      <w:szCs w:val="18"/>
                      <w:highlight w:val="none"/>
                    </w:rPr>
                    <w:t>氮氧化物</w:t>
                  </w:r>
                </w:p>
              </w:tc>
              <w:tc>
                <w:tcPr>
                  <w:tcW w:w="582" w:type="pct"/>
                  <w:vAlign w:val="center"/>
                </w:tcPr>
                <w:p w14:paraId="78E05E54">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6"/>
                      <w:sz w:val="18"/>
                      <w:szCs w:val="18"/>
                      <w:highlight w:val="none"/>
                    </w:rPr>
                  </w:pPr>
                  <w:r>
                    <w:rPr>
                      <w:color w:val="auto"/>
                      <w:spacing w:val="6"/>
                      <w:position w:val="1"/>
                      <w:sz w:val="18"/>
                      <w:szCs w:val="18"/>
                      <w:highlight w:val="none"/>
                    </w:rPr>
                    <w:t>千克</w:t>
                  </w:r>
                  <w:r>
                    <w:rPr>
                      <w:rFonts w:ascii="Times New Roman" w:hAnsi="Times New Roman" w:eastAsia="Times New Roman" w:cs="Times New Roman"/>
                      <w:color w:val="auto"/>
                      <w:spacing w:val="6"/>
                      <w:position w:val="1"/>
                      <w:sz w:val="18"/>
                      <w:szCs w:val="18"/>
                      <w:highlight w:val="none"/>
                    </w:rPr>
                    <w:t>/</w:t>
                  </w:r>
                  <w:r>
                    <w:rPr>
                      <w:color w:val="auto"/>
                      <w:spacing w:val="6"/>
                      <w:position w:val="1"/>
                      <w:sz w:val="18"/>
                      <w:szCs w:val="18"/>
                      <w:highlight w:val="none"/>
                    </w:rPr>
                    <w:t>万立</w:t>
                  </w:r>
                  <w:r>
                    <w:rPr>
                      <w:color w:val="auto"/>
                      <w:spacing w:val="6"/>
                      <w:sz w:val="18"/>
                      <w:szCs w:val="18"/>
                      <w:highlight w:val="none"/>
                    </w:rPr>
                    <w:t>方米</w:t>
                  </w:r>
                  <w:r>
                    <w:rPr>
                      <w:rFonts w:ascii="Times New Roman" w:hAnsi="Times New Roman" w:eastAsia="Times New Roman" w:cs="Times New Roman"/>
                      <w:color w:val="auto"/>
                      <w:spacing w:val="6"/>
                      <w:sz w:val="18"/>
                      <w:szCs w:val="18"/>
                      <w:highlight w:val="none"/>
                    </w:rPr>
                    <w:t>-</w:t>
                  </w:r>
                  <w:r>
                    <w:rPr>
                      <w:color w:val="auto"/>
                      <w:spacing w:val="6"/>
                      <w:sz w:val="18"/>
                      <w:szCs w:val="18"/>
                      <w:highlight w:val="none"/>
                    </w:rPr>
                    <w:t>原料</w:t>
                  </w:r>
                </w:p>
              </w:tc>
              <w:tc>
                <w:tcPr>
                  <w:tcW w:w="431" w:type="pct"/>
                  <w:vAlign w:val="center"/>
                </w:tcPr>
                <w:p w14:paraId="7734C0F1">
                  <w:pPr>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2"/>
                      <w:position w:val="2"/>
                      <w:sz w:val="18"/>
                      <w:szCs w:val="18"/>
                      <w:highlight w:val="none"/>
                    </w:rPr>
                    <w:t>6.97</w:t>
                  </w:r>
                </w:p>
              </w:tc>
              <w:tc>
                <w:tcPr>
                  <w:tcW w:w="465" w:type="pct"/>
                  <w:vAlign w:val="center"/>
                </w:tcPr>
                <w:p w14:paraId="3B96626A">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color w:val="auto"/>
                      <w:spacing w:val="3"/>
                      <w:sz w:val="18"/>
                      <w:szCs w:val="18"/>
                      <w:highlight w:val="none"/>
                    </w:rPr>
                  </w:pPr>
                  <w:r>
                    <w:rPr>
                      <w:color w:val="auto"/>
                      <w:spacing w:val="7"/>
                      <w:sz w:val="18"/>
                      <w:szCs w:val="18"/>
                      <w:highlight w:val="none"/>
                    </w:rPr>
                    <w:t>低氮燃烧</w:t>
                  </w:r>
                  <w:r>
                    <w:rPr>
                      <w:rFonts w:ascii="Times New Roman" w:hAnsi="Times New Roman" w:eastAsia="Times New Roman" w:cs="Times New Roman"/>
                      <w:color w:val="auto"/>
                      <w:spacing w:val="7"/>
                      <w:sz w:val="18"/>
                      <w:szCs w:val="18"/>
                      <w:highlight w:val="none"/>
                    </w:rPr>
                    <w:t>-</w:t>
                  </w:r>
                  <w:r>
                    <w:rPr>
                      <w:color w:val="auto"/>
                      <w:spacing w:val="2"/>
                      <w:sz w:val="18"/>
                      <w:szCs w:val="18"/>
                      <w:highlight w:val="none"/>
                    </w:rPr>
                    <w:t>国内领先</w:t>
                  </w:r>
                </w:p>
              </w:tc>
              <w:tc>
                <w:tcPr>
                  <w:tcW w:w="424" w:type="pct"/>
                  <w:vAlign w:val="center"/>
                </w:tcPr>
                <w:p w14:paraId="342D3723">
                  <w:pPr>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2"/>
                      <w:position w:val="2"/>
                      <w:sz w:val="18"/>
                      <w:szCs w:val="18"/>
                      <w:highlight w:val="none"/>
                    </w:rPr>
                    <w:t>6.97</w:t>
                  </w:r>
                </w:p>
              </w:tc>
              <w:tc>
                <w:tcPr>
                  <w:tcW w:w="2587" w:type="pct"/>
                  <w:vMerge w:val="continue"/>
                  <w:vAlign w:val="center"/>
                </w:tcPr>
                <w:p w14:paraId="62C3AF63">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16"/>
                      <w:sz w:val="18"/>
                      <w:szCs w:val="18"/>
                      <w:highlight w:val="none"/>
                    </w:rPr>
                  </w:pPr>
                </w:p>
              </w:tc>
            </w:tr>
          </w:tbl>
          <w:p w14:paraId="50775055">
            <w:pPr>
              <w:adjustRightInd w:val="0"/>
              <w:snapToGrid w:val="0"/>
              <w:spacing w:line="440" w:lineRule="exact"/>
              <w:ind w:firstLine="400" w:firstLineChars="200"/>
              <w:rPr>
                <w:rFonts w:hint="default"/>
                <w:color w:val="auto"/>
                <w:sz w:val="20"/>
                <w:szCs w:val="20"/>
                <w:highlight w:val="none"/>
              </w:rPr>
            </w:pPr>
            <w:r>
              <w:rPr>
                <w:rFonts w:hint="default"/>
                <w:color w:val="auto"/>
                <w:sz w:val="20"/>
                <w:szCs w:val="20"/>
                <w:highlight w:val="none"/>
              </w:rPr>
              <w:t>注：产排污系数表中二氧化硫的产排污系数是以含硫量（S）的形式表示的，其中含硫量（S）是指燃气硫分含量，单位为毫克/立方米。根据《天然气》</w:t>
            </w:r>
            <w:r>
              <w:rPr>
                <w:rFonts w:hint="default"/>
                <w:color w:val="auto"/>
                <w:sz w:val="20"/>
                <w:szCs w:val="20"/>
                <w:highlight w:val="none"/>
                <w:lang w:eastAsia="zh-CN"/>
              </w:rPr>
              <w:t>（</w:t>
            </w:r>
            <w:r>
              <w:rPr>
                <w:rFonts w:hint="default"/>
                <w:color w:val="auto"/>
                <w:sz w:val="20"/>
                <w:szCs w:val="20"/>
                <w:highlight w:val="none"/>
              </w:rPr>
              <w:t>GB17820-2018</w:t>
            </w:r>
            <w:r>
              <w:rPr>
                <w:rFonts w:hint="default"/>
                <w:color w:val="auto"/>
                <w:sz w:val="20"/>
                <w:szCs w:val="20"/>
                <w:highlight w:val="none"/>
                <w:lang w:eastAsia="zh-CN"/>
              </w:rPr>
              <w:t>）</w:t>
            </w:r>
            <w:r>
              <w:rPr>
                <w:rFonts w:hint="default"/>
                <w:color w:val="auto"/>
                <w:sz w:val="20"/>
                <w:szCs w:val="20"/>
                <w:highlight w:val="none"/>
              </w:rPr>
              <w:t>，二类天然气含硫量应≤100毫克/立方米，本次评价S=100。</w:t>
            </w:r>
          </w:p>
          <w:p w14:paraId="1A7A8B5F">
            <w:pPr>
              <w:adjustRightInd w:val="0"/>
              <w:snapToGrid w:val="0"/>
              <w:spacing w:line="440" w:lineRule="exact"/>
              <w:ind w:firstLine="480" w:firstLineChars="200"/>
              <w:rPr>
                <w:rFonts w:hint="default"/>
                <w:color w:val="auto"/>
                <w:highlight w:val="none"/>
              </w:rPr>
            </w:pPr>
            <w:r>
              <w:rPr>
                <w:rFonts w:hint="default"/>
                <w:color w:val="auto"/>
                <w:highlight w:val="none"/>
              </w:rPr>
              <w:t>烟气林格曼黑度：参照山东万图高分子材料股份有限公司例行监测报告，企业设有1台2t/h天然气蒸汽锅炉，于2025.02.06对锅炉烟气进行监测，烟气林格曼黑度＜1级。本项目设置1台2t/h天然气蒸汽锅炉，锅炉功率相同，均安装低氮燃烧器，类比可行，本项目锅炉烟气林格曼黑度＜1级。</w:t>
            </w:r>
          </w:p>
          <w:p w14:paraId="5E2568C5">
            <w:pPr>
              <w:adjustRightInd w:val="0"/>
              <w:snapToGrid w:val="0"/>
              <w:spacing w:line="440" w:lineRule="exact"/>
              <w:ind w:firstLine="480" w:firstLineChars="200"/>
              <w:rPr>
                <w:rFonts w:hint="default"/>
                <w:color w:val="auto"/>
                <w:highlight w:val="none"/>
              </w:rPr>
            </w:pPr>
            <w:r>
              <w:rPr>
                <w:rFonts w:hint="default"/>
                <w:color w:val="auto"/>
                <w:highlight w:val="none"/>
              </w:rPr>
              <w:t>根据企业提供的资料，本项目2t/h天然气锅炉天然气用量为</w:t>
            </w:r>
            <w:r>
              <w:rPr>
                <w:rFonts w:hint="default"/>
                <w:color w:val="auto"/>
                <w:highlight w:val="none"/>
                <w:lang w:val="en-US" w:eastAsia="zh-CN"/>
              </w:rPr>
              <w:t>57600</w:t>
            </w:r>
            <w:r>
              <w:rPr>
                <w:rFonts w:hint="default"/>
                <w:color w:val="auto"/>
                <w:highlight w:val="none"/>
              </w:rPr>
              <w:t>m</w:t>
            </w:r>
            <w:r>
              <w:rPr>
                <w:rFonts w:hint="default" w:ascii="Times New Roman" w:hAnsi="Times New Roman" w:cs="Times New Roman"/>
                <w:color w:val="auto"/>
                <w:highlight w:val="none"/>
              </w:rPr>
              <w:t>³</w:t>
            </w:r>
            <w:r>
              <w:rPr>
                <w:rFonts w:hint="default"/>
                <w:color w:val="auto"/>
                <w:highlight w:val="none"/>
              </w:rPr>
              <w:t>/a。锅炉废气污染物产排情况见表</w:t>
            </w:r>
            <w:r>
              <w:rPr>
                <w:rFonts w:hint="default"/>
                <w:color w:val="auto"/>
                <w:highlight w:val="none"/>
                <w:lang w:val="en-US" w:eastAsia="zh-CN"/>
              </w:rPr>
              <w:t>4-2</w:t>
            </w:r>
            <w:r>
              <w:rPr>
                <w:rFonts w:hint="default"/>
                <w:color w:val="auto"/>
                <w:highlight w:val="none"/>
              </w:rPr>
              <w:t>。</w:t>
            </w:r>
          </w:p>
          <w:p w14:paraId="52A5837A">
            <w:pPr>
              <w:adjustRightInd w:val="0"/>
              <w:snapToGrid w:val="0"/>
              <w:spacing w:line="440" w:lineRule="exact"/>
              <w:jc w:val="center"/>
              <w:rPr>
                <w:rFonts w:hint="default"/>
                <w:color w:val="auto"/>
                <w:highlight w:val="none"/>
              </w:rPr>
            </w:pPr>
            <w:r>
              <w:rPr>
                <w:b/>
                <w:bCs/>
                <w:color w:val="auto"/>
                <w:spacing w:val="-2"/>
                <w:highlight w:val="none"/>
              </w:rPr>
              <w:t>表</w:t>
            </w:r>
            <w:r>
              <w:rPr>
                <w:rFonts w:ascii="Times New Roman" w:hAnsi="Times New Roman" w:eastAsia="Times New Roman" w:cs="Times New Roman"/>
                <w:b/>
                <w:bCs/>
                <w:color w:val="auto"/>
                <w:spacing w:val="-2"/>
                <w:highlight w:val="none"/>
              </w:rPr>
              <w:t>4-</w:t>
            </w:r>
            <w:r>
              <w:rPr>
                <w:rFonts w:hint="default" w:eastAsia="宋体" w:cs="Times New Roman"/>
                <w:b/>
                <w:bCs/>
                <w:color w:val="auto"/>
                <w:spacing w:val="-2"/>
                <w:highlight w:val="none"/>
                <w:lang w:val="en-US" w:eastAsia="zh-CN"/>
              </w:rPr>
              <w:t>2</w:t>
            </w:r>
            <w:r>
              <w:rPr>
                <w:rFonts w:hint="default" w:cs="Times New Roman"/>
                <w:b/>
                <w:bCs/>
                <w:color w:val="auto"/>
                <w:spacing w:val="-2"/>
                <w:highlight w:val="none"/>
                <w:lang w:val="en-US" w:eastAsia="zh-CN"/>
              </w:rPr>
              <w:t xml:space="preserve">     </w:t>
            </w:r>
            <w:r>
              <w:rPr>
                <w:b/>
                <w:bCs/>
                <w:color w:val="auto"/>
                <w:spacing w:val="-2"/>
                <w:highlight w:val="none"/>
              </w:rPr>
              <w:t>锅炉废气产排污系数一览表</w:t>
            </w:r>
          </w:p>
          <w:tbl>
            <w:tblPr>
              <w:tblStyle w:val="118"/>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56"/>
              <w:gridCol w:w="1265"/>
              <w:gridCol w:w="1059"/>
              <w:gridCol w:w="1001"/>
              <w:gridCol w:w="1309"/>
              <w:gridCol w:w="1059"/>
              <w:gridCol w:w="1001"/>
              <w:gridCol w:w="1321"/>
              <w:gridCol w:w="25"/>
            </w:tblGrid>
            <w:tr w14:paraId="57688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80" w:type="pct"/>
                  <w:vMerge w:val="restart"/>
                  <w:tcBorders>
                    <w:top w:val="single" w:color="auto" w:sz="12" w:space="0"/>
                    <w:bottom w:val="nil"/>
                  </w:tcBorders>
                  <w:vAlign w:val="center"/>
                </w:tcPr>
                <w:p w14:paraId="315D8293">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z w:val="20"/>
                      <w:szCs w:val="20"/>
                      <w:highlight w:val="none"/>
                    </w:rPr>
                  </w:pPr>
                  <w:r>
                    <w:rPr>
                      <w:color w:val="auto"/>
                      <w:spacing w:val="6"/>
                      <w:sz w:val="20"/>
                      <w:szCs w:val="20"/>
                      <w:highlight w:val="none"/>
                    </w:rPr>
                    <w:t>污染物</w:t>
                  </w:r>
                </w:p>
              </w:tc>
              <w:tc>
                <w:tcPr>
                  <w:tcW w:w="695" w:type="pct"/>
                  <w:vMerge w:val="restart"/>
                  <w:tcBorders>
                    <w:top w:val="single" w:color="auto" w:sz="12" w:space="0"/>
                    <w:bottom w:val="nil"/>
                  </w:tcBorders>
                  <w:vAlign w:val="center"/>
                </w:tcPr>
                <w:p w14:paraId="733CB262">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ascii="Times New Roman" w:hAnsi="Times New Roman" w:eastAsia="Times New Roman" w:cs="Times New Roman"/>
                      <w:color w:val="auto"/>
                      <w:sz w:val="20"/>
                      <w:szCs w:val="20"/>
                      <w:highlight w:val="none"/>
                    </w:rPr>
                  </w:pPr>
                  <w:r>
                    <w:rPr>
                      <w:color w:val="auto"/>
                      <w:spacing w:val="7"/>
                      <w:sz w:val="20"/>
                      <w:szCs w:val="20"/>
                      <w:highlight w:val="none"/>
                    </w:rPr>
                    <w:t>废气量</w:t>
                  </w:r>
                  <w:r>
                    <w:rPr>
                      <w:rFonts w:hint="default" w:eastAsia="宋体"/>
                      <w:color w:val="auto"/>
                      <w:spacing w:val="7"/>
                      <w:sz w:val="20"/>
                      <w:szCs w:val="20"/>
                      <w:highlight w:val="none"/>
                      <w:lang w:eastAsia="zh-CN"/>
                    </w:rPr>
                    <w:t>（</w:t>
                  </w:r>
                  <w:r>
                    <w:rPr>
                      <w:rFonts w:hint="eastAsia" w:eastAsia="宋体" w:cs="Times New Roman"/>
                      <w:color w:val="auto"/>
                      <w:spacing w:val="2"/>
                      <w:sz w:val="20"/>
                      <w:szCs w:val="20"/>
                      <w:highlight w:val="none"/>
                      <w:lang w:eastAsia="zh-CN"/>
                    </w:rPr>
                    <w:t>m³</w:t>
                  </w:r>
                  <w:r>
                    <w:rPr>
                      <w:rFonts w:ascii="Times New Roman" w:hAnsi="Times New Roman" w:eastAsia="Times New Roman" w:cs="Times New Roman"/>
                      <w:color w:val="auto"/>
                      <w:spacing w:val="2"/>
                      <w:sz w:val="20"/>
                      <w:szCs w:val="20"/>
                      <w:highlight w:val="none"/>
                    </w:rPr>
                    <w:t>/h</w:t>
                  </w:r>
                  <w:r>
                    <w:rPr>
                      <w:rFonts w:hint="default" w:eastAsia="宋体" w:cs="Times New Roman"/>
                      <w:color w:val="auto"/>
                      <w:spacing w:val="2"/>
                      <w:sz w:val="20"/>
                      <w:szCs w:val="20"/>
                      <w:highlight w:val="none"/>
                      <w:lang w:eastAsia="zh-CN"/>
                    </w:rPr>
                    <w:t>）</w:t>
                  </w:r>
                </w:p>
              </w:tc>
              <w:tc>
                <w:tcPr>
                  <w:tcW w:w="1851" w:type="pct"/>
                  <w:gridSpan w:val="3"/>
                  <w:tcBorders>
                    <w:top w:val="single" w:color="auto" w:sz="12" w:space="0"/>
                  </w:tcBorders>
                  <w:vAlign w:val="center"/>
                </w:tcPr>
                <w:p w14:paraId="6F1420CD">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z w:val="20"/>
                      <w:szCs w:val="20"/>
                      <w:highlight w:val="none"/>
                    </w:rPr>
                  </w:pPr>
                  <w:r>
                    <w:rPr>
                      <w:color w:val="auto"/>
                      <w:spacing w:val="7"/>
                      <w:sz w:val="20"/>
                      <w:szCs w:val="20"/>
                      <w:highlight w:val="none"/>
                    </w:rPr>
                    <w:t>产生情况</w:t>
                  </w:r>
                </w:p>
              </w:tc>
              <w:tc>
                <w:tcPr>
                  <w:tcW w:w="1858" w:type="pct"/>
                  <w:gridSpan w:val="3"/>
                  <w:tcBorders>
                    <w:top w:val="single" w:color="auto" w:sz="12" w:space="0"/>
                    <w:right w:val="single" w:color="auto" w:sz="12" w:space="0"/>
                  </w:tcBorders>
                  <w:vAlign w:val="center"/>
                </w:tcPr>
                <w:p w14:paraId="47878008">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z w:val="20"/>
                      <w:szCs w:val="20"/>
                      <w:highlight w:val="none"/>
                    </w:rPr>
                  </w:pPr>
                  <w:r>
                    <w:rPr>
                      <w:color w:val="auto"/>
                      <w:spacing w:val="7"/>
                      <w:sz w:val="20"/>
                      <w:szCs w:val="20"/>
                      <w:highlight w:val="none"/>
                    </w:rPr>
                    <w:t>排放情况</w:t>
                  </w:r>
                </w:p>
              </w:tc>
              <w:tc>
                <w:tcPr>
                  <w:tcW w:w="13" w:type="pct"/>
                  <w:tcBorders>
                    <w:left w:val="single" w:color="auto" w:sz="12" w:space="0"/>
                  </w:tcBorders>
                  <w:vAlign w:val="center"/>
                </w:tcPr>
                <w:p w14:paraId="09D5A57B">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p>
              </w:tc>
            </w:tr>
            <w:tr w14:paraId="7FA07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80" w:type="pct"/>
                  <w:vMerge w:val="continue"/>
                  <w:tcBorders>
                    <w:top w:val="nil"/>
                    <w:left w:val="single" w:color="auto" w:sz="4" w:space="0"/>
                  </w:tcBorders>
                  <w:vAlign w:val="center"/>
                </w:tcPr>
                <w:p w14:paraId="6018C4C9">
                  <w:pPr>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ascii="Times New Roman"/>
                      <w:color w:val="auto"/>
                      <w:sz w:val="21"/>
                      <w:highlight w:val="none"/>
                    </w:rPr>
                  </w:pPr>
                </w:p>
              </w:tc>
              <w:tc>
                <w:tcPr>
                  <w:tcW w:w="695" w:type="pct"/>
                  <w:vMerge w:val="continue"/>
                  <w:tcBorders>
                    <w:top w:val="nil"/>
                  </w:tcBorders>
                  <w:vAlign w:val="center"/>
                </w:tcPr>
                <w:p w14:paraId="606F338E">
                  <w:pPr>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ascii="Times New Roman"/>
                      <w:color w:val="auto"/>
                      <w:sz w:val="21"/>
                      <w:highlight w:val="none"/>
                    </w:rPr>
                  </w:pPr>
                </w:p>
              </w:tc>
              <w:tc>
                <w:tcPr>
                  <w:tcW w:w="582" w:type="pct"/>
                  <w:vAlign w:val="center"/>
                </w:tcPr>
                <w:p w14:paraId="0B39B44B">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ascii="Times New Roman" w:hAnsi="Times New Roman" w:eastAsia="Times New Roman" w:cs="Times New Roman"/>
                      <w:color w:val="auto"/>
                      <w:sz w:val="20"/>
                      <w:szCs w:val="20"/>
                      <w:highlight w:val="none"/>
                    </w:rPr>
                  </w:pPr>
                  <w:r>
                    <w:rPr>
                      <w:color w:val="auto"/>
                      <w:spacing w:val="6"/>
                      <w:sz w:val="20"/>
                      <w:szCs w:val="20"/>
                      <w:highlight w:val="none"/>
                    </w:rPr>
                    <w:t>产生量</w:t>
                  </w:r>
                  <w:r>
                    <w:rPr>
                      <w:rFonts w:hint="default" w:eastAsia="宋体"/>
                      <w:color w:val="auto"/>
                      <w:spacing w:val="6"/>
                      <w:sz w:val="20"/>
                      <w:szCs w:val="20"/>
                      <w:highlight w:val="none"/>
                      <w:lang w:eastAsia="zh-CN"/>
                    </w:rPr>
                    <w:t>（</w:t>
                  </w:r>
                  <w:r>
                    <w:rPr>
                      <w:rFonts w:ascii="Times New Roman" w:hAnsi="Times New Roman" w:eastAsia="Times New Roman" w:cs="Times New Roman"/>
                      <w:color w:val="auto"/>
                      <w:spacing w:val="1"/>
                      <w:sz w:val="20"/>
                      <w:szCs w:val="20"/>
                      <w:highlight w:val="none"/>
                    </w:rPr>
                    <w:t>t/a</w:t>
                  </w:r>
                  <w:r>
                    <w:rPr>
                      <w:rFonts w:hint="default" w:eastAsia="宋体" w:cs="Times New Roman"/>
                      <w:color w:val="auto"/>
                      <w:spacing w:val="1"/>
                      <w:sz w:val="20"/>
                      <w:szCs w:val="20"/>
                      <w:highlight w:val="none"/>
                      <w:lang w:eastAsia="zh-CN"/>
                    </w:rPr>
                    <w:t>）</w:t>
                  </w:r>
                </w:p>
              </w:tc>
              <w:tc>
                <w:tcPr>
                  <w:tcW w:w="550" w:type="pct"/>
                  <w:vAlign w:val="center"/>
                </w:tcPr>
                <w:p w14:paraId="5E6102E3">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ascii="Times New Roman" w:hAnsi="Times New Roman" w:eastAsia="Times New Roman" w:cs="Times New Roman"/>
                      <w:color w:val="auto"/>
                      <w:sz w:val="20"/>
                      <w:szCs w:val="20"/>
                      <w:highlight w:val="none"/>
                    </w:rPr>
                  </w:pPr>
                  <w:r>
                    <w:rPr>
                      <w:color w:val="auto"/>
                      <w:spacing w:val="5"/>
                      <w:sz w:val="20"/>
                      <w:szCs w:val="20"/>
                      <w:highlight w:val="none"/>
                    </w:rPr>
                    <w:t>速率</w:t>
                  </w:r>
                  <w:r>
                    <w:rPr>
                      <w:rFonts w:hint="default" w:eastAsia="宋体"/>
                      <w:color w:val="auto"/>
                      <w:spacing w:val="5"/>
                      <w:sz w:val="20"/>
                      <w:szCs w:val="20"/>
                      <w:highlight w:val="none"/>
                      <w:lang w:eastAsia="zh-CN"/>
                    </w:rPr>
                    <w:t>（</w:t>
                  </w:r>
                  <w:r>
                    <w:rPr>
                      <w:rFonts w:ascii="Times New Roman" w:hAnsi="Times New Roman" w:eastAsia="Times New Roman" w:cs="Times New Roman"/>
                      <w:color w:val="auto"/>
                      <w:sz w:val="20"/>
                      <w:szCs w:val="20"/>
                      <w:highlight w:val="none"/>
                    </w:rPr>
                    <w:t>kg</w:t>
                  </w:r>
                  <w:r>
                    <w:rPr>
                      <w:rFonts w:ascii="Times New Roman" w:hAnsi="Times New Roman" w:eastAsia="Times New Roman" w:cs="Times New Roman"/>
                      <w:color w:val="auto"/>
                      <w:spacing w:val="3"/>
                      <w:sz w:val="20"/>
                      <w:szCs w:val="20"/>
                      <w:highlight w:val="none"/>
                    </w:rPr>
                    <w:t>/h</w:t>
                  </w:r>
                  <w:r>
                    <w:rPr>
                      <w:rFonts w:hint="default" w:eastAsia="宋体" w:cs="Times New Roman"/>
                      <w:color w:val="auto"/>
                      <w:spacing w:val="3"/>
                      <w:sz w:val="20"/>
                      <w:szCs w:val="20"/>
                      <w:highlight w:val="none"/>
                      <w:lang w:eastAsia="zh-CN"/>
                    </w:rPr>
                    <w:t>）</w:t>
                  </w:r>
                </w:p>
              </w:tc>
              <w:tc>
                <w:tcPr>
                  <w:tcW w:w="717" w:type="pct"/>
                  <w:vAlign w:val="center"/>
                </w:tcPr>
                <w:p w14:paraId="369AFDC4">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ascii="Times New Roman" w:hAnsi="Times New Roman" w:eastAsia="Times New Roman" w:cs="Times New Roman"/>
                      <w:color w:val="auto"/>
                      <w:sz w:val="20"/>
                      <w:szCs w:val="20"/>
                      <w:highlight w:val="none"/>
                    </w:rPr>
                  </w:pPr>
                  <w:r>
                    <w:rPr>
                      <w:color w:val="auto"/>
                      <w:spacing w:val="4"/>
                      <w:sz w:val="20"/>
                      <w:szCs w:val="20"/>
                      <w:highlight w:val="none"/>
                    </w:rPr>
                    <w:t>浓度</w:t>
                  </w:r>
                  <w:r>
                    <w:rPr>
                      <w:rFonts w:ascii="Times New Roman" w:hAnsi="Times New Roman" w:eastAsia="Times New Roman" w:cs="Times New Roman"/>
                      <w:color w:val="auto"/>
                      <w:spacing w:val="4"/>
                      <w:sz w:val="20"/>
                      <w:szCs w:val="20"/>
                      <w:highlight w:val="none"/>
                    </w:rPr>
                    <w:t>(</w:t>
                  </w:r>
                  <w:r>
                    <w:rPr>
                      <w:rFonts w:ascii="Times New Roman" w:hAnsi="Times New Roman" w:eastAsia="Times New Roman" w:cs="Times New Roman"/>
                      <w:color w:val="auto"/>
                      <w:sz w:val="20"/>
                      <w:szCs w:val="20"/>
                      <w:highlight w:val="none"/>
                    </w:rPr>
                    <w:t>mg</w:t>
                  </w:r>
                  <w:r>
                    <w:rPr>
                      <w:rFonts w:ascii="Times New Roman" w:hAnsi="Times New Roman" w:eastAsia="Times New Roman" w:cs="Times New Roman"/>
                      <w:color w:val="auto"/>
                      <w:spacing w:val="4"/>
                      <w:sz w:val="20"/>
                      <w:szCs w:val="20"/>
                      <w:highlight w:val="none"/>
                    </w:rPr>
                    <w:t>/</w:t>
                  </w:r>
                  <w:r>
                    <w:rPr>
                      <w:rFonts w:hint="eastAsia" w:eastAsia="宋体" w:cs="Times New Roman"/>
                      <w:color w:val="auto"/>
                      <w:spacing w:val="4"/>
                      <w:sz w:val="20"/>
                      <w:szCs w:val="20"/>
                      <w:highlight w:val="none"/>
                      <w:lang w:eastAsia="zh-CN"/>
                    </w:rPr>
                    <w:t>m³</w:t>
                  </w:r>
                  <w:r>
                    <w:rPr>
                      <w:rFonts w:ascii="Times New Roman" w:hAnsi="Times New Roman" w:eastAsia="Times New Roman" w:cs="Times New Roman"/>
                      <w:color w:val="auto"/>
                      <w:spacing w:val="4"/>
                      <w:position w:val="1"/>
                      <w:sz w:val="20"/>
                      <w:szCs w:val="20"/>
                      <w:highlight w:val="none"/>
                    </w:rPr>
                    <w:t>)</w:t>
                  </w:r>
                </w:p>
              </w:tc>
              <w:tc>
                <w:tcPr>
                  <w:tcW w:w="582" w:type="pct"/>
                  <w:vAlign w:val="center"/>
                </w:tcPr>
                <w:p w14:paraId="1C3921BE">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ascii="Times New Roman" w:hAnsi="Times New Roman" w:eastAsia="Times New Roman" w:cs="Times New Roman"/>
                      <w:color w:val="auto"/>
                      <w:sz w:val="20"/>
                      <w:szCs w:val="20"/>
                      <w:highlight w:val="none"/>
                    </w:rPr>
                  </w:pPr>
                  <w:r>
                    <w:rPr>
                      <w:color w:val="auto"/>
                      <w:spacing w:val="6"/>
                      <w:sz w:val="20"/>
                      <w:szCs w:val="20"/>
                      <w:highlight w:val="none"/>
                    </w:rPr>
                    <w:t>排放量</w:t>
                  </w:r>
                  <w:r>
                    <w:rPr>
                      <w:rFonts w:hint="default" w:eastAsia="宋体"/>
                      <w:color w:val="auto"/>
                      <w:spacing w:val="6"/>
                      <w:sz w:val="20"/>
                      <w:szCs w:val="20"/>
                      <w:highlight w:val="none"/>
                      <w:lang w:eastAsia="zh-CN"/>
                    </w:rPr>
                    <w:t>（</w:t>
                  </w:r>
                  <w:r>
                    <w:rPr>
                      <w:rFonts w:ascii="Times New Roman" w:hAnsi="Times New Roman" w:eastAsia="Times New Roman" w:cs="Times New Roman"/>
                      <w:color w:val="auto"/>
                      <w:spacing w:val="1"/>
                      <w:sz w:val="20"/>
                      <w:szCs w:val="20"/>
                      <w:highlight w:val="none"/>
                    </w:rPr>
                    <w:t>t/a</w:t>
                  </w:r>
                  <w:r>
                    <w:rPr>
                      <w:rFonts w:hint="default" w:eastAsia="宋体" w:cs="Times New Roman"/>
                      <w:color w:val="auto"/>
                      <w:spacing w:val="1"/>
                      <w:sz w:val="20"/>
                      <w:szCs w:val="20"/>
                      <w:highlight w:val="none"/>
                      <w:lang w:eastAsia="zh-CN"/>
                    </w:rPr>
                    <w:t>）</w:t>
                  </w:r>
                </w:p>
              </w:tc>
              <w:tc>
                <w:tcPr>
                  <w:tcW w:w="550" w:type="pct"/>
                  <w:vAlign w:val="center"/>
                </w:tcPr>
                <w:p w14:paraId="0D09BA9F">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ascii="Times New Roman" w:hAnsi="Times New Roman" w:eastAsia="Times New Roman" w:cs="Times New Roman"/>
                      <w:color w:val="auto"/>
                      <w:sz w:val="20"/>
                      <w:szCs w:val="20"/>
                      <w:highlight w:val="none"/>
                    </w:rPr>
                  </w:pPr>
                  <w:r>
                    <w:rPr>
                      <w:color w:val="auto"/>
                      <w:spacing w:val="5"/>
                      <w:sz w:val="20"/>
                      <w:szCs w:val="20"/>
                      <w:highlight w:val="none"/>
                    </w:rPr>
                    <w:t>速率</w:t>
                  </w:r>
                  <w:r>
                    <w:rPr>
                      <w:rFonts w:hint="default" w:eastAsia="宋体"/>
                      <w:color w:val="auto"/>
                      <w:spacing w:val="5"/>
                      <w:sz w:val="20"/>
                      <w:szCs w:val="20"/>
                      <w:highlight w:val="none"/>
                      <w:lang w:eastAsia="zh-CN"/>
                    </w:rPr>
                    <w:t>（</w:t>
                  </w:r>
                  <w:r>
                    <w:rPr>
                      <w:rFonts w:ascii="Times New Roman" w:hAnsi="Times New Roman" w:eastAsia="Times New Roman" w:cs="Times New Roman"/>
                      <w:color w:val="auto"/>
                      <w:sz w:val="20"/>
                      <w:szCs w:val="20"/>
                      <w:highlight w:val="none"/>
                    </w:rPr>
                    <w:t>kg</w:t>
                  </w:r>
                  <w:r>
                    <w:rPr>
                      <w:rFonts w:ascii="Times New Roman" w:hAnsi="Times New Roman" w:eastAsia="Times New Roman" w:cs="Times New Roman"/>
                      <w:color w:val="auto"/>
                      <w:spacing w:val="3"/>
                      <w:sz w:val="20"/>
                      <w:szCs w:val="20"/>
                      <w:highlight w:val="none"/>
                    </w:rPr>
                    <w:t>/h</w:t>
                  </w:r>
                  <w:r>
                    <w:rPr>
                      <w:rFonts w:hint="default" w:eastAsia="宋体" w:cs="Times New Roman"/>
                      <w:color w:val="auto"/>
                      <w:spacing w:val="3"/>
                      <w:sz w:val="20"/>
                      <w:szCs w:val="20"/>
                      <w:highlight w:val="none"/>
                      <w:lang w:eastAsia="zh-CN"/>
                    </w:rPr>
                    <w:t>）</w:t>
                  </w:r>
                </w:p>
              </w:tc>
              <w:tc>
                <w:tcPr>
                  <w:tcW w:w="725" w:type="pct"/>
                  <w:tcBorders>
                    <w:right w:val="single" w:color="auto" w:sz="12" w:space="0"/>
                  </w:tcBorders>
                  <w:vAlign w:val="center"/>
                </w:tcPr>
                <w:p w14:paraId="54CC7DC8">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ascii="Times New Roman" w:hAnsi="Times New Roman" w:eastAsia="Times New Roman" w:cs="Times New Roman"/>
                      <w:color w:val="auto"/>
                      <w:sz w:val="20"/>
                      <w:szCs w:val="20"/>
                      <w:highlight w:val="none"/>
                    </w:rPr>
                  </w:pPr>
                  <w:r>
                    <w:rPr>
                      <w:color w:val="auto"/>
                      <w:spacing w:val="4"/>
                      <w:sz w:val="20"/>
                      <w:szCs w:val="20"/>
                      <w:highlight w:val="none"/>
                    </w:rPr>
                    <w:t>浓度</w:t>
                  </w:r>
                  <w:r>
                    <w:rPr>
                      <w:rFonts w:ascii="Times New Roman" w:hAnsi="Times New Roman" w:eastAsia="Times New Roman" w:cs="Times New Roman"/>
                      <w:color w:val="auto"/>
                      <w:spacing w:val="4"/>
                      <w:sz w:val="20"/>
                      <w:szCs w:val="20"/>
                      <w:highlight w:val="none"/>
                    </w:rPr>
                    <w:t>(</w:t>
                  </w:r>
                  <w:r>
                    <w:rPr>
                      <w:rFonts w:ascii="Times New Roman" w:hAnsi="Times New Roman" w:eastAsia="Times New Roman" w:cs="Times New Roman"/>
                      <w:color w:val="auto"/>
                      <w:sz w:val="20"/>
                      <w:szCs w:val="20"/>
                      <w:highlight w:val="none"/>
                    </w:rPr>
                    <w:t>mg</w:t>
                  </w:r>
                  <w:r>
                    <w:rPr>
                      <w:rFonts w:ascii="Times New Roman" w:hAnsi="Times New Roman" w:eastAsia="Times New Roman" w:cs="Times New Roman"/>
                      <w:color w:val="auto"/>
                      <w:spacing w:val="4"/>
                      <w:sz w:val="20"/>
                      <w:szCs w:val="20"/>
                      <w:highlight w:val="none"/>
                    </w:rPr>
                    <w:t>/</w:t>
                  </w:r>
                  <w:r>
                    <w:rPr>
                      <w:rFonts w:hint="eastAsia" w:eastAsia="宋体" w:cs="Times New Roman"/>
                      <w:color w:val="auto"/>
                      <w:spacing w:val="4"/>
                      <w:sz w:val="20"/>
                      <w:szCs w:val="20"/>
                      <w:highlight w:val="none"/>
                      <w:lang w:eastAsia="zh-CN"/>
                    </w:rPr>
                    <w:t>m³</w:t>
                  </w:r>
                  <w:r>
                    <w:rPr>
                      <w:rFonts w:ascii="Times New Roman" w:hAnsi="Times New Roman" w:eastAsia="Times New Roman" w:cs="Times New Roman"/>
                      <w:color w:val="auto"/>
                      <w:spacing w:val="4"/>
                      <w:position w:val="1"/>
                      <w:sz w:val="20"/>
                      <w:szCs w:val="20"/>
                      <w:highlight w:val="none"/>
                    </w:rPr>
                    <w:t>)</w:t>
                  </w:r>
                </w:p>
              </w:tc>
              <w:tc>
                <w:tcPr>
                  <w:tcW w:w="13" w:type="pct"/>
                  <w:tcBorders>
                    <w:left w:val="single" w:color="auto" w:sz="12" w:space="0"/>
                  </w:tcBorders>
                  <w:vAlign w:val="center"/>
                </w:tcPr>
                <w:p w14:paraId="10EB399B">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4"/>
                      <w:sz w:val="20"/>
                      <w:szCs w:val="20"/>
                      <w:highlight w:val="none"/>
                    </w:rPr>
                  </w:pPr>
                </w:p>
              </w:tc>
            </w:tr>
            <w:tr w14:paraId="0F8D2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80" w:type="pct"/>
                  <w:tcBorders>
                    <w:left w:val="single" w:color="auto" w:sz="4" w:space="0"/>
                  </w:tcBorders>
                  <w:vAlign w:val="center"/>
                </w:tcPr>
                <w:p w14:paraId="138190DD">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颗粒物</w:t>
                  </w:r>
                </w:p>
              </w:tc>
              <w:tc>
                <w:tcPr>
                  <w:tcW w:w="695" w:type="pct"/>
                  <w:vMerge w:val="restart"/>
                  <w:vAlign w:val="center"/>
                </w:tcPr>
                <w:p w14:paraId="7C7D43B2">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545</w:t>
                  </w:r>
                </w:p>
              </w:tc>
              <w:tc>
                <w:tcPr>
                  <w:tcW w:w="582" w:type="pct"/>
                  <w:vAlign w:val="center"/>
                </w:tcPr>
                <w:p w14:paraId="3CFC0C0D">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0.0006</w:t>
                  </w:r>
                </w:p>
              </w:tc>
              <w:tc>
                <w:tcPr>
                  <w:tcW w:w="550" w:type="pct"/>
                  <w:vAlign w:val="center"/>
                </w:tcPr>
                <w:p w14:paraId="5E623E6D">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0.0004</w:t>
                  </w:r>
                </w:p>
              </w:tc>
              <w:tc>
                <w:tcPr>
                  <w:tcW w:w="717" w:type="pct"/>
                  <w:vAlign w:val="center"/>
                </w:tcPr>
                <w:p w14:paraId="16C18E6D">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0.7</w:t>
                  </w:r>
                </w:p>
              </w:tc>
              <w:tc>
                <w:tcPr>
                  <w:tcW w:w="582" w:type="pct"/>
                  <w:vAlign w:val="center"/>
                </w:tcPr>
                <w:p w14:paraId="3D1347C8">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0.0006</w:t>
                  </w:r>
                </w:p>
              </w:tc>
              <w:tc>
                <w:tcPr>
                  <w:tcW w:w="550" w:type="pct"/>
                  <w:vAlign w:val="center"/>
                </w:tcPr>
                <w:p w14:paraId="2B94EC4A">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0.0004</w:t>
                  </w:r>
                </w:p>
              </w:tc>
              <w:tc>
                <w:tcPr>
                  <w:tcW w:w="725" w:type="pct"/>
                  <w:tcBorders>
                    <w:right w:val="single" w:color="auto" w:sz="12" w:space="0"/>
                  </w:tcBorders>
                  <w:vAlign w:val="center"/>
                </w:tcPr>
                <w:p w14:paraId="16CE72A7">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0.7</w:t>
                  </w:r>
                </w:p>
              </w:tc>
              <w:tc>
                <w:tcPr>
                  <w:tcW w:w="13" w:type="pct"/>
                  <w:tcBorders>
                    <w:left w:val="single" w:color="auto" w:sz="12" w:space="0"/>
                  </w:tcBorders>
                  <w:vAlign w:val="center"/>
                </w:tcPr>
                <w:p w14:paraId="7C4A72C9">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20"/>
                      <w:szCs w:val="20"/>
                      <w:highlight w:val="none"/>
                      <w:lang w:val="en-US" w:eastAsia="zh-CN"/>
                    </w:rPr>
                  </w:pPr>
                </w:p>
              </w:tc>
            </w:tr>
            <w:tr w14:paraId="3490C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80" w:type="pct"/>
                  <w:tcBorders>
                    <w:left w:val="single" w:color="auto" w:sz="4" w:space="0"/>
                  </w:tcBorders>
                  <w:vAlign w:val="center"/>
                </w:tcPr>
                <w:p w14:paraId="3EBAB9BF">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SO₂</w:t>
                  </w:r>
                </w:p>
              </w:tc>
              <w:tc>
                <w:tcPr>
                  <w:tcW w:w="695" w:type="pct"/>
                  <w:vMerge w:val="continue"/>
                  <w:vAlign w:val="center"/>
                </w:tcPr>
                <w:p w14:paraId="33C0454F">
                  <w:pPr>
                    <w:pStyle w:val="119"/>
                    <w:keepNext w:val="0"/>
                    <w:keepLines w:val="0"/>
                    <w:pageBreakBefore w:val="0"/>
                    <w:widowControl w:val="0"/>
                    <w:kinsoku/>
                    <w:wordWrap/>
                    <w:overflowPunct/>
                    <w:topLinePunct w:val="0"/>
                    <w:autoSpaceDE/>
                    <w:autoSpaceDN/>
                    <w:bidi w:val="0"/>
                    <w:adjustRightInd/>
                    <w:snapToGrid/>
                    <w:spacing w:line="200" w:lineRule="exact"/>
                    <w:ind w:left="277" w:right="0" w:hanging="49"/>
                    <w:jc w:val="center"/>
                    <w:textAlignment w:val="auto"/>
                    <w:rPr>
                      <w:color w:val="auto"/>
                      <w:spacing w:val="7"/>
                      <w:sz w:val="20"/>
                      <w:szCs w:val="20"/>
                      <w:highlight w:val="none"/>
                    </w:rPr>
                  </w:pPr>
                </w:p>
              </w:tc>
              <w:tc>
                <w:tcPr>
                  <w:tcW w:w="582" w:type="pct"/>
                  <w:vAlign w:val="center"/>
                </w:tcPr>
                <w:p w14:paraId="20D42551">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0.0115</w:t>
                  </w:r>
                </w:p>
              </w:tc>
              <w:tc>
                <w:tcPr>
                  <w:tcW w:w="550" w:type="pct"/>
                  <w:vAlign w:val="center"/>
                </w:tcPr>
                <w:p w14:paraId="32441889">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0.008</w:t>
                  </w:r>
                </w:p>
              </w:tc>
              <w:tc>
                <w:tcPr>
                  <w:tcW w:w="717" w:type="pct"/>
                  <w:vAlign w:val="center"/>
                </w:tcPr>
                <w:p w14:paraId="40CA14BA">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14.7</w:t>
                  </w:r>
                </w:p>
              </w:tc>
              <w:tc>
                <w:tcPr>
                  <w:tcW w:w="582" w:type="pct"/>
                  <w:vAlign w:val="center"/>
                </w:tcPr>
                <w:p w14:paraId="45E091C5">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0.0115</w:t>
                  </w:r>
                </w:p>
              </w:tc>
              <w:tc>
                <w:tcPr>
                  <w:tcW w:w="550" w:type="pct"/>
                  <w:vAlign w:val="center"/>
                </w:tcPr>
                <w:p w14:paraId="15347DB7">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0.008</w:t>
                  </w:r>
                </w:p>
              </w:tc>
              <w:tc>
                <w:tcPr>
                  <w:tcW w:w="725" w:type="pct"/>
                  <w:tcBorders>
                    <w:right w:val="single" w:color="auto" w:sz="12" w:space="0"/>
                  </w:tcBorders>
                  <w:vAlign w:val="center"/>
                </w:tcPr>
                <w:p w14:paraId="0259D9B4">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14.7</w:t>
                  </w:r>
                </w:p>
              </w:tc>
              <w:tc>
                <w:tcPr>
                  <w:tcW w:w="13" w:type="pct"/>
                  <w:tcBorders>
                    <w:left w:val="single" w:color="auto" w:sz="12" w:space="0"/>
                  </w:tcBorders>
                  <w:vAlign w:val="center"/>
                </w:tcPr>
                <w:p w14:paraId="41E0EA08">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20"/>
                      <w:szCs w:val="20"/>
                      <w:highlight w:val="none"/>
                      <w:lang w:val="en-US" w:eastAsia="zh-CN"/>
                    </w:rPr>
                  </w:pPr>
                </w:p>
              </w:tc>
            </w:tr>
            <w:tr w14:paraId="116D1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80" w:type="pct"/>
                  <w:tcBorders>
                    <w:left w:val="single" w:color="auto" w:sz="4" w:space="0"/>
                  </w:tcBorders>
                  <w:vAlign w:val="center"/>
                </w:tcPr>
                <w:p w14:paraId="14892A8B">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NOx</w:t>
                  </w:r>
                </w:p>
              </w:tc>
              <w:tc>
                <w:tcPr>
                  <w:tcW w:w="695" w:type="pct"/>
                  <w:vMerge w:val="continue"/>
                  <w:vAlign w:val="center"/>
                </w:tcPr>
                <w:p w14:paraId="3D01D351">
                  <w:pPr>
                    <w:pStyle w:val="119"/>
                    <w:keepNext w:val="0"/>
                    <w:keepLines w:val="0"/>
                    <w:pageBreakBefore w:val="0"/>
                    <w:widowControl w:val="0"/>
                    <w:kinsoku/>
                    <w:wordWrap/>
                    <w:overflowPunct/>
                    <w:topLinePunct w:val="0"/>
                    <w:autoSpaceDE/>
                    <w:autoSpaceDN/>
                    <w:bidi w:val="0"/>
                    <w:adjustRightInd/>
                    <w:snapToGrid/>
                    <w:spacing w:line="200" w:lineRule="exact"/>
                    <w:ind w:left="277" w:right="0" w:hanging="49"/>
                    <w:jc w:val="center"/>
                    <w:textAlignment w:val="auto"/>
                    <w:rPr>
                      <w:color w:val="auto"/>
                      <w:spacing w:val="7"/>
                      <w:sz w:val="20"/>
                      <w:szCs w:val="20"/>
                      <w:highlight w:val="none"/>
                    </w:rPr>
                  </w:pPr>
                </w:p>
              </w:tc>
              <w:tc>
                <w:tcPr>
                  <w:tcW w:w="582" w:type="pct"/>
                  <w:vAlign w:val="center"/>
                </w:tcPr>
                <w:p w14:paraId="618F6914">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0.0401</w:t>
                  </w:r>
                </w:p>
              </w:tc>
              <w:tc>
                <w:tcPr>
                  <w:tcW w:w="550" w:type="pct"/>
                  <w:vAlign w:val="center"/>
                </w:tcPr>
                <w:p w14:paraId="2775647C">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0.0279</w:t>
                  </w:r>
                </w:p>
              </w:tc>
              <w:tc>
                <w:tcPr>
                  <w:tcW w:w="717" w:type="pct"/>
                  <w:vAlign w:val="center"/>
                </w:tcPr>
                <w:p w14:paraId="4FC3E573">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20"/>
                      <w:szCs w:val="20"/>
                      <w:highlight w:val="none"/>
                      <w:lang w:val="en-US"/>
                    </w:rPr>
                  </w:pPr>
                  <w:r>
                    <w:rPr>
                      <w:rFonts w:hint="eastAsia"/>
                      <w:color w:val="auto"/>
                      <w:spacing w:val="7"/>
                      <w:sz w:val="20"/>
                      <w:szCs w:val="20"/>
                      <w:highlight w:val="none"/>
                      <w:lang w:val="en-US" w:eastAsia="zh-CN"/>
                    </w:rPr>
                    <w:t>50</w:t>
                  </w:r>
                </w:p>
              </w:tc>
              <w:tc>
                <w:tcPr>
                  <w:tcW w:w="582" w:type="pct"/>
                  <w:vAlign w:val="center"/>
                </w:tcPr>
                <w:p w14:paraId="01E57B46">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0.0401</w:t>
                  </w:r>
                </w:p>
              </w:tc>
              <w:tc>
                <w:tcPr>
                  <w:tcW w:w="550" w:type="pct"/>
                  <w:vAlign w:val="center"/>
                </w:tcPr>
                <w:p w14:paraId="6E8E8E06">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color w:val="auto"/>
                      <w:spacing w:val="7"/>
                      <w:sz w:val="20"/>
                      <w:szCs w:val="20"/>
                      <w:highlight w:val="none"/>
                    </w:rPr>
                  </w:pPr>
                  <w:r>
                    <w:rPr>
                      <w:rFonts w:hint="default"/>
                      <w:color w:val="auto"/>
                      <w:spacing w:val="7"/>
                      <w:sz w:val="20"/>
                      <w:szCs w:val="20"/>
                      <w:highlight w:val="none"/>
                      <w:lang w:val="en-US" w:eastAsia="zh-CN"/>
                    </w:rPr>
                    <w:t>0.0279</w:t>
                  </w:r>
                </w:p>
              </w:tc>
              <w:tc>
                <w:tcPr>
                  <w:tcW w:w="725" w:type="pct"/>
                  <w:tcBorders>
                    <w:right w:val="single" w:color="auto" w:sz="12" w:space="0"/>
                  </w:tcBorders>
                  <w:vAlign w:val="center"/>
                </w:tcPr>
                <w:p w14:paraId="2D5EE20F">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20"/>
                      <w:szCs w:val="20"/>
                      <w:highlight w:val="none"/>
                      <w:lang w:val="en-US"/>
                    </w:rPr>
                  </w:pPr>
                  <w:r>
                    <w:rPr>
                      <w:rFonts w:hint="eastAsia"/>
                      <w:color w:val="auto"/>
                      <w:spacing w:val="7"/>
                      <w:sz w:val="20"/>
                      <w:szCs w:val="20"/>
                      <w:highlight w:val="none"/>
                      <w:lang w:val="en-US" w:eastAsia="zh-CN"/>
                    </w:rPr>
                    <w:t>50</w:t>
                  </w:r>
                </w:p>
              </w:tc>
              <w:tc>
                <w:tcPr>
                  <w:tcW w:w="13" w:type="pct"/>
                  <w:tcBorders>
                    <w:left w:val="single" w:color="auto" w:sz="12" w:space="0"/>
                  </w:tcBorders>
                  <w:vAlign w:val="center"/>
                </w:tcPr>
                <w:p w14:paraId="483825B7">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20"/>
                      <w:szCs w:val="20"/>
                      <w:highlight w:val="none"/>
                      <w:lang w:val="en-US" w:eastAsia="zh-CN"/>
                    </w:rPr>
                  </w:pPr>
                </w:p>
              </w:tc>
            </w:tr>
            <w:tr w14:paraId="19F3A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80" w:type="pct"/>
                  <w:tcBorders>
                    <w:left w:val="single" w:color="auto" w:sz="4" w:space="0"/>
                    <w:bottom w:val="single" w:color="auto" w:sz="12" w:space="0"/>
                  </w:tcBorders>
                  <w:vAlign w:val="center"/>
                </w:tcPr>
                <w:p w14:paraId="4E7B3428">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18"/>
                      <w:szCs w:val="18"/>
                      <w:highlight w:val="none"/>
                      <w:lang w:val="en-US" w:eastAsia="zh-CN"/>
                    </w:rPr>
                  </w:pPr>
                  <w:r>
                    <w:rPr>
                      <w:rFonts w:hint="default"/>
                      <w:color w:val="auto"/>
                      <w:spacing w:val="7"/>
                      <w:sz w:val="18"/>
                      <w:szCs w:val="18"/>
                      <w:highlight w:val="none"/>
                      <w:lang w:val="en-US" w:eastAsia="zh-CN"/>
                    </w:rPr>
                    <w:t>林格曼黑度</w:t>
                  </w:r>
                </w:p>
              </w:tc>
              <w:tc>
                <w:tcPr>
                  <w:tcW w:w="695" w:type="pct"/>
                  <w:vMerge w:val="continue"/>
                  <w:tcBorders>
                    <w:bottom w:val="single" w:color="auto" w:sz="12" w:space="0"/>
                  </w:tcBorders>
                  <w:vAlign w:val="center"/>
                </w:tcPr>
                <w:p w14:paraId="792686FA">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18"/>
                      <w:szCs w:val="18"/>
                      <w:highlight w:val="none"/>
                      <w:lang w:val="en-US" w:eastAsia="zh-CN"/>
                    </w:rPr>
                  </w:pPr>
                </w:p>
              </w:tc>
              <w:tc>
                <w:tcPr>
                  <w:tcW w:w="582" w:type="pct"/>
                  <w:tcBorders>
                    <w:bottom w:val="single" w:color="auto" w:sz="12" w:space="0"/>
                  </w:tcBorders>
                  <w:vAlign w:val="center"/>
                </w:tcPr>
                <w:p w14:paraId="72FAF522">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18"/>
                      <w:szCs w:val="18"/>
                      <w:highlight w:val="none"/>
                      <w:lang w:val="en-US" w:eastAsia="zh-CN"/>
                    </w:rPr>
                  </w:pPr>
                  <w:r>
                    <w:rPr>
                      <w:rFonts w:hint="default"/>
                      <w:color w:val="auto"/>
                      <w:spacing w:val="7"/>
                      <w:sz w:val="18"/>
                      <w:szCs w:val="18"/>
                      <w:highlight w:val="none"/>
                      <w:lang w:val="en-US" w:eastAsia="zh-CN"/>
                    </w:rPr>
                    <w:t>/</w:t>
                  </w:r>
                </w:p>
              </w:tc>
              <w:tc>
                <w:tcPr>
                  <w:tcW w:w="550" w:type="pct"/>
                  <w:tcBorders>
                    <w:bottom w:val="single" w:color="auto" w:sz="12" w:space="0"/>
                  </w:tcBorders>
                  <w:vAlign w:val="center"/>
                </w:tcPr>
                <w:p w14:paraId="66C2B644">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18"/>
                      <w:szCs w:val="18"/>
                      <w:highlight w:val="none"/>
                      <w:lang w:val="en-US" w:eastAsia="zh-CN"/>
                    </w:rPr>
                  </w:pPr>
                  <w:r>
                    <w:rPr>
                      <w:rFonts w:hint="default"/>
                      <w:color w:val="auto"/>
                      <w:spacing w:val="7"/>
                      <w:sz w:val="18"/>
                      <w:szCs w:val="18"/>
                      <w:highlight w:val="none"/>
                      <w:lang w:val="en-US" w:eastAsia="zh-CN"/>
                    </w:rPr>
                    <w:t>/</w:t>
                  </w:r>
                </w:p>
              </w:tc>
              <w:tc>
                <w:tcPr>
                  <w:tcW w:w="717" w:type="pct"/>
                  <w:tcBorders>
                    <w:bottom w:val="single" w:color="auto" w:sz="12" w:space="0"/>
                  </w:tcBorders>
                  <w:vAlign w:val="center"/>
                </w:tcPr>
                <w:p w14:paraId="7F107FE0">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18"/>
                      <w:szCs w:val="18"/>
                      <w:highlight w:val="none"/>
                      <w:lang w:val="en-US" w:eastAsia="zh-CN"/>
                    </w:rPr>
                  </w:pPr>
                  <w:r>
                    <w:rPr>
                      <w:rFonts w:hint="default"/>
                      <w:color w:val="auto"/>
                      <w:spacing w:val="7"/>
                      <w:sz w:val="18"/>
                      <w:szCs w:val="18"/>
                      <w:highlight w:val="none"/>
                      <w:lang w:val="en-US" w:eastAsia="zh-CN"/>
                    </w:rPr>
                    <w:t>&lt;1级</w:t>
                  </w:r>
                </w:p>
              </w:tc>
              <w:tc>
                <w:tcPr>
                  <w:tcW w:w="582" w:type="pct"/>
                  <w:tcBorders>
                    <w:bottom w:val="single" w:color="auto" w:sz="12" w:space="0"/>
                  </w:tcBorders>
                  <w:vAlign w:val="center"/>
                </w:tcPr>
                <w:p w14:paraId="12BFCDE9">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18"/>
                      <w:szCs w:val="18"/>
                      <w:highlight w:val="none"/>
                      <w:lang w:val="en-US" w:eastAsia="zh-CN"/>
                    </w:rPr>
                  </w:pPr>
                  <w:r>
                    <w:rPr>
                      <w:rFonts w:hint="default"/>
                      <w:color w:val="auto"/>
                      <w:spacing w:val="7"/>
                      <w:sz w:val="18"/>
                      <w:szCs w:val="18"/>
                      <w:highlight w:val="none"/>
                      <w:lang w:val="en-US" w:eastAsia="zh-CN"/>
                    </w:rPr>
                    <w:t>/</w:t>
                  </w:r>
                </w:p>
              </w:tc>
              <w:tc>
                <w:tcPr>
                  <w:tcW w:w="550" w:type="pct"/>
                  <w:tcBorders>
                    <w:bottom w:val="single" w:color="auto" w:sz="12" w:space="0"/>
                  </w:tcBorders>
                  <w:vAlign w:val="center"/>
                </w:tcPr>
                <w:p w14:paraId="2C9D8FD5">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18"/>
                      <w:szCs w:val="18"/>
                      <w:highlight w:val="none"/>
                      <w:lang w:val="en-US" w:eastAsia="zh-CN"/>
                    </w:rPr>
                  </w:pPr>
                  <w:r>
                    <w:rPr>
                      <w:rFonts w:hint="default"/>
                      <w:color w:val="auto"/>
                      <w:spacing w:val="7"/>
                      <w:sz w:val="18"/>
                      <w:szCs w:val="18"/>
                      <w:highlight w:val="none"/>
                      <w:lang w:val="en-US" w:eastAsia="zh-CN"/>
                    </w:rPr>
                    <w:t>/</w:t>
                  </w:r>
                </w:p>
              </w:tc>
              <w:tc>
                <w:tcPr>
                  <w:tcW w:w="725" w:type="pct"/>
                  <w:tcBorders>
                    <w:bottom w:val="single" w:color="auto" w:sz="12" w:space="0"/>
                    <w:right w:val="single" w:color="auto" w:sz="12" w:space="0"/>
                  </w:tcBorders>
                  <w:vAlign w:val="center"/>
                </w:tcPr>
                <w:p w14:paraId="33ED3938">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18"/>
                      <w:szCs w:val="18"/>
                      <w:highlight w:val="none"/>
                      <w:lang w:val="en-US" w:eastAsia="zh-CN"/>
                    </w:rPr>
                  </w:pPr>
                  <w:r>
                    <w:rPr>
                      <w:rFonts w:hint="default"/>
                      <w:color w:val="auto"/>
                      <w:spacing w:val="7"/>
                      <w:sz w:val="18"/>
                      <w:szCs w:val="18"/>
                      <w:highlight w:val="none"/>
                      <w:lang w:val="en-US" w:eastAsia="zh-CN"/>
                    </w:rPr>
                    <w:t>&lt;1级</w:t>
                  </w:r>
                </w:p>
              </w:tc>
              <w:tc>
                <w:tcPr>
                  <w:tcW w:w="13" w:type="pct"/>
                  <w:tcBorders>
                    <w:left w:val="single" w:color="auto" w:sz="12" w:space="0"/>
                  </w:tcBorders>
                  <w:vAlign w:val="center"/>
                </w:tcPr>
                <w:p w14:paraId="6DB8E668">
                  <w:pPr>
                    <w:pStyle w:val="119"/>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default"/>
                      <w:color w:val="auto"/>
                      <w:spacing w:val="7"/>
                      <w:sz w:val="20"/>
                      <w:szCs w:val="20"/>
                      <w:highlight w:val="none"/>
                      <w:lang w:val="en-US" w:eastAsia="zh-CN"/>
                    </w:rPr>
                  </w:pPr>
                </w:p>
              </w:tc>
            </w:tr>
          </w:tbl>
          <w:p w14:paraId="2B981AC1">
            <w:pPr>
              <w:adjustRightInd w:val="0"/>
              <w:snapToGrid w:val="0"/>
              <w:spacing w:line="440" w:lineRule="exact"/>
              <w:ind w:firstLine="480" w:firstLineChars="200"/>
              <w:rPr>
                <w:rFonts w:hint="default"/>
                <w:color w:val="auto"/>
                <w:highlight w:val="none"/>
              </w:rPr>
            </w:pPr>
            <w:r>
              <w:rPr>
                <w:rFonts w:hint="default"/>
                <w:color w:val="auto"/>
                <w:highlight w:val="none"/>
              </w:rPr>
              <w:t>由上表可知，颗粒物、二氧化硫、氮氧化物有组织排放速率满足《锅炉大气污染物排放标准》（GB 13271-2014）表2新建锅炉大气污染物排放浓度限值。</w:t>
            </w:r>
          </w:p>
          <w:p w14:paraId="0CD19684">
            <w:pPr>
              <w:adjustRightInd w:val="0"/>
              <w:snapToGrid w:val="0"/>
              <w:spacing w:line="440" w:lineRule="exact"/>
              <w:ind w:firstLine="480" w:firstLineChars="200"/>
              <w:rPr>
                <w:rFonts w:hint="default"/>
                <w:color w:val="auto"/>
                <w:highlight w:val="none"/>
              </w:rPr>
            </w:pPr>
            <w:r>
              <w:rPr>
                <w:rFonts w:hint="default"/>
                <w:color w:val="auto"/>
                <w:highlight w:val="none"/>
              </w:rPr>
              <w:t>（2）无组织废气</w:t>
            </w:r>
          </w:p>
          <w:p w14:paraId="7BB507DB">
            <w:pPr>
              <w:adjustRightInd w:val="0"/>
              <w:snapToGrid w:val="0"/>
              <w:spacing w:line="440" w:lineRule="exact"/>
              <w:ind w:firstLine="480" w:firstLineChars="200"/>
              <w:rPr>
                <w:rFonts w:hint="default"/>
                <w:color w:val="auto"/>
                <w:highlight w:val="none"/>
              </w:rPr>
            </w:pPr>
            <w:r>
              <w:rPr>
                <w:rFonts w:hint="default"/>
                <w:color w:val="auto"/>
                <w:highlight w:val="none"/>
              </w:rPr>
              <w:t>本项目无组织排放的废气主要为果渣暂存产生的臭气。</w:t>
            </w:r>
          </w:p>
          <w:p w14:paraId="12D4CFC5">
            <w:pPr>
              <w:adjustRightInd w:val="0"/>
              <w:snapToGrid w:val="0"/>
              <w:spacing w:line="440" w:lineRule="exact"/>
              <w:ind w:firstLine="480" w:firstLineChars="200"/>
              <w:rPr>
                <w:rFonts w:hint="default" w:eastAsia="宋体"/>
                <w:color w:val="auto"/>
                <w:highlight w:val="none"/>
                <w:lang w:val="en-US" w:eastAsia="zh-CN"/>
              </w:rPr>
            </w:pPr>
            <w:r>
              <w:rPr>
                <w:rFonts w:hint="default"/>
                <w:color w:val="auto"/>
                <w:highlight w:val="none"/>
              </w:rPr>
              <w:t>果渣暂存臭气：本项目压榨后的果渣经果渣料斗进入密闭的清运车。果渣日产日清，不在厂区内长时间储存。不能及时清运时，果渣在密闭的清运车中暂存。</w:t>
            </w:r>
            <w:r>
              <w:rPr>
                <w:rFonts w:hint="default"/>
                <w:color w:val="auto"/>
                <w:highlight w:val="none"/>
                <w:lang w:val="en-US" w:eastAsia="zh-CN"/>
              </w:rPr>
              <w:t>本项目废气产污环节、污染物种类、排放形式及污染防治设施见表4-3。</w:t>
            </w:r>
          </w:p>
          <w:p w14:paraId="37C6078A">
            <w:pPr>
              <w:adjustRightInd w:val="0"/>
              <w:snapToGrid w:val="0"/>
              <w:spacing w:line="440" w:lineRule="exact"/>
              <w:jc w:val="center"/>
              <w:rPr>
                <w:rFonts w:hint="default"/>
                <w:b/>
                <w:bCs/>
                <w:color w:val="auto"/>
                <w:highlight w:val="none"/>
              </w:rPr>
            </w:pPr>
            <w:r>
              <w:rPr>
                <w:rFonts w:hint="default"/>
                <w:b/>
                <w:bCs/>
                <w:color w:val="auto"/>
                <w:highlight w:val="none"/>
              </w:rPr>
              <w:t>表4-3废气产污环节、污染物种类、排放形式及污染防治设施一览表</w:t>
            </w:r>
          </w:p>
          <w:tbl>
            <w:tblPr>
              <w:tblStyle w:val="118"/>
              <w:tblW w:w="4998"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773"/>
              <w:gridCol w:w="662"/>
              <w:gridCol w:w="4182"/>
              <w:gridCol w:w="539"/>
              <w:gridCol w:w="664"/>
              <w:gridCol w:w="1354"/>
              <w:gridCol w:w="897"/>
            </w:tblGrid>
            <w:tr w14:paraId="1D12340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26" w:type="pct"/>
                  <w:vMerge w:val="restart"/>
                  <w:tcBorders>
                    <w:top w:val="single" w:color="000000" w:sz="12" w:space="0"/>
                    <w:left w:val="single" w:color="000000" w:sz="12" w:space="0"/>
                    <w:bottom w:val="single" w:color="000000" w:sz="4" w:space="0"/>
                    <w:right w:val="single" w:color="000000" w:sz="4" w:space="0"/>
                    <w:tl2br w:val="nil"/>
                  </w:tcBorders>
                  <w:shd w:val="clear" w:color="auto" w:fill="auto"/>
                  <w:vAlign w:val="center"/>
                </w:tcPr>
                <w:p w14:paraId="19F4A65C">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5"/>
                      <w:sz w:val="20"/>
                      <w:szCs w:val="20"/>
                      <w:highlight w:val="none"/>
                    </w:rPr>
                    <w:t>废气</w:t>
                  </w:r>
                  <w:r>
                    <w:rPr>
                      <w:color w:val="000000"/>
                      <w:spacing w:val="4"/>
                      <w:sz w:val="20"/>
                      <w:szCs w:val="20"/>
                      <w:highlight w:val="none"/>
                    </w:rPr>
                    <w:t>产污环节</w:t>
                  </w:r>
                </w:p>
              </w:tc>
              <w:tc>
                <w:tcPr>
                  <w:tcW w:w="365" w:type="pct"/>
                  <w:vMerge w:val="restart"/>
                  <w:tcBorders>
                    <w:top w:val="single" w:color="000000" w:sz="12" w:space="0"/>
                    <w:left w:val="single" w:color="000000" w:sz="4" w:space="0"/>
                    <w:bottom w:val="single" w:color="000000" w:sz="4" w:space="0"/>
                    <w:right w:val="single" w:color="000000" w:sz="4" w:space="0"/>
                  </w:tcBorders>
                  <w:shd w:val="clear" w:color="auto" w:fill="auto"/>
                  <w:vAlign w:val="center"/>
                </w:tcPr>
                <w:p w14:paraId="1B2948EB">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6"/>
                      <w:sz w:val="20"/>
                      <w:szCs w:val="20"/>
                      <w:highlight w:val="none"/>
                    </w:rPr>
                    <w:t>污染物种</w:t>
                  </w:r>
                  <w:r>
                    <w:rPr>
                      <w:color w:val="000000"/>
                      <w:sz w:val="20"/>
                      <w:szCs w:val="20"/>
                      <w:highlight w:val="none"/>
                    </w:rPr>
                    <w:t>类</w:t>
                  </w:r>
                </w:p>
              </w:tc>
              <w:tc>
                <w:tcPr>
                  <w:tcW w:w="2304" w:type="pct"/>
                  <w:vMerge w:val="restart"/>
                  <w:tcBorders>
                    <w:top w:val="single" w:color="000000" w:sz="12" w:space="0"/>
                    <w:left w:val="single" w:color="000000" w:sz="4" w:space="0"/>
                    <w:bottom w:val="single" w:color="000000" w:sz="4" w:space="0"/>
                    <w:right w:val="single" w:color="000000" w:sz="4" w:space="0"/>
                  </w:tcBorders>
                  <w:shd w:val="clear" w:color="auto" w:fill="auto"/>
                  <w:vAlign w:val="center"/>
                </w:tcPr>
                <w:p w14:paraId="2E06C581">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7"/>
                      <w:sz w:val="20"/>
                      <w:szCs w:val="20"/>
                      <w:highlight w:val="none"/>
                    </w:rPr>
                    <w:t>排放标准</w:t>
                  </w:r>
                </w:p>
              </w:tc>
              <w:tc>
                <w:tcPr>
                  <w:tcW w:w="297" w:type="pct"/>
                  <w:vMerge w:val="restart"/>
                  <w:tcBorders>
                    <w:top w:val="single" w:color="000000" w:sz="12" w:space="0"/>
                    <w:left w:val="single" w:color="000000" w:sz="4" w:space="0"/>
                    <w:bottom w:val="single" w:color="000000" w:sz="4" w:space="0"/>
                    <w:right w:val="single" w:color="000000" w:sz="4" w:space="0"/>
                  </w:tcBorders>
                  <w:shd w:val="clear" w:color="auto" w:fill="auto"/>
                  <w:vAlign w:val="center"/>
                </w:tcPr>
                <w:p w14:paraId="1CF21AAF">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4"/>
                      <w:sz w:val="20"/>
                      <w:szCs w:val="20"/>
                      <w:highlight w:val="none"/>
                    </w:rPr>
                    <w:t>排放</w:t>
                  </w:r>
                  <w:r>
                    <w:rPr>
                      <w:color w:val="000000"/>
                      <w:spacing w:val="3"/>
                      <w:sz w:val="20"/>
                      <w:szCs w:val="20"/>
                      <w:highlight w:val="none"/>
                    </w:rPr>
                    <w:t>形式</w:t>
                  </w:r>
                </w:p>
              </w:tc>
              <w:tc>
                <w:tcPr>
                  <w:tcW w:w="1606" w:type="pct"/>
                  <w:gridSpan w:val="3"/>
                  <w:tcBorders>
                    <w:top w:val="single" w:color="000000" w:sz="12" w:space="0"/>
                    <w:left w:val="single" w:color="000000" w:sz="4" w:space="0"/>
                    <w:bottom w:val="single" w:color="000000" w:sz="4" w:space="0"/>
                    <w:right w:val="single" w:color="000000" w:sz="4" w:space="0"/>
                  </w:tcBorders>
                  <w:shd w:val="clear" w:color="auto" w:fill="auto"/>
                  <w:vAlign w:val="center"/>
                </w:tcPr>
                <w:p w14:paraId="750D92BC">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7"/>
                      <w:sz w:val="20"/>
                      <w:szCs w:val="20"/>
                      <w:highlight w:val="none"/>
                    </w:rPr>
                    <w:t>污染防治设施</w:t>
                  </w:r>
                </w:p>
              </w:tc>
            </w:tr>
            <w:tr w14:paraId="6D34583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426" w:type="pct"/>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14:paraId="662BD31C">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5CECD">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2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3E963">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57600">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494DE">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6"/>
                      <w:sz w:val="20"/>
                      <w:szCs w:val="20"/>
                      <w:highlight w:val="none"/>
                    </w:rPr>
                    <w:t>名称及</w:t>
                  </w:r>
                  <w:r>
                    <w:rPr>
                      <w:color w:val="000000"/>
                      <w:spacing w:val="3"/>
                      <w:sz w:val="20"/>
                      <w:szCs w:val="20"/>
                      <w:highlight w:val="none"/>
                    </w:rPr>
                    <w:t>工艺</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786C1">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5"/>
                      <w:sz w:val="20"/>
                      <w:szCs w:val="20"/>
                      <w:highlight w:val="none"/>
                    </w:rPr>
                    <w:t>收集效率</w:t>
                  </w:r>
                  <w:r>
                    <w:rPr>
                      <w:rFonts w:ascii="Times New Roman" w:hAnsi="Times New Roman" w:eastAsia="Times New Roman" w:cs="Times New Roman"/>
                      <w:color w:val="000000"/>
                      <w:spacing w:val="5"/>
                      <w:sz w:val="20"/>
                      <w:szCs w:val="20"/>
                      <w:highlight w:val="none"/>
                    </w:rPr>
                    <w:t>/</w:t>
                  </w:r>
                  <w:r>
                    <w:rPr>
                      <w:color w:val="000000"/>
                      <w:spacing w:val="6"/>
                      <w:sz w:val="20"/>
                      <w:szCs w:val="20"/>
                      <w:highlight w:val="none"/>
                    </w:rPr>
                    <w:t>处理效率</w:t>
                  </w:r>
                </w:p>
              </w:tc>
              <w:tc>
                <w:tcPr>
                  <w:tcW w:w="493" w:type="pct"/>
                  <w:tcBorders>
                    <w:top w:val="single" w:color="000000" w:sz="4" w:space="0"/>
                    <w:left w:val="single" w:color="000000" w:sz="4" w:space="0"/>
                    <w:bottom w:val="single" w:color="000000" w:sz="4" w:space="0"/>
                    <w:right w:val="single" w:color="000000" w:sz="12" w:space="0"/>
                  </w:tcBorders>
                  <w:shd w:val="clear" w:color="auto" w:fill="auto"/>
                  <w:vAlign w:val="center"/>
                </w:tcPr>
                <w:p w14:paraId="780AA0B8">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6"/>
                      <w:sz w:val="20"/>
                      <w:szCs w:val="20"/>
                      <w:highlight w:val="none"/>
                    </w:rPr>
                    <w:t>是否为可</w:t>
                  </w:r>
                  <w:r>
                    <w:rPr>
                      <w:color w:val="000000"/>
                      <w:spacing w:val="5"/>
                      <w:sz w:val="20"/>
                      <w:szCs w:val="20"/>
                      <w:highlight w:val="none"/>
                    </w:rPr>
                    <w:t>行技术</w:t>
                  </w:r>
                </w:p>
              </w:tc>
            </w:tr>
            <w:tr w14:paraId="4DF5230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426" w:type="pct"/>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14:paraId="0A4819C0">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4"/>
                      <w:sz w:val="20"/>
                      <w:szCs w:val="20"/>
                      <w:highlight w:val="none"/>
                    </w:rPr>
                    <w:t>锅炉</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4D0C3">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7"/>
                      <w:sz w:val="20"/>
                      <w:szCs w:val="20"/>
                      <w:highlight w:val="none"/>
                    </w:rPr>
                    <w:t>颗粒物</w:t>
                  </w:r>
                </w:p>
              </w:tc>
              <w:tc>
                <w:tcPr>
                  <w:tcW w:w="2304" w:type="pct"/>
                  <w:vMerge w:val="restart"/>
                  <w:tcBorders>
                    <w:top w:val="single" w:color="000000" w:sz="4" w:space="0"/>
                    <w:left w:val="single" w:color="000000" w:sz="4" w:space="0"/>
                    <w:right w:val="single" w:color="000000" w:sz="4" w:space="0"/>
                  </w:tcBorders>
                  <w:shd w:val="clear" w:color="auto" w:fill="auto"/>
                  <w:vAlign w:val="center"/>
                </w:tcPr>
                <w:p w14:paraId="7A1A9C85">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hint="default"/>
                      <w:color w:val="auto"/>
                      <w:highlight w:val="none"/>
                    </w:rPr>
                    <w:t>《锅炉大气污染物排放标准》（GB 13271-2014）表2新建锅炉大气污染物排放浓度限值</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FAAFE">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4"/>
                      <w:sz w:val="20"/>
                      <w:szCs w:val="20"/>
                      <w:highlight w:val="none"/>
                    </w:rPr>
                    <w:t>有组</w:t>
                  </w:r>
                  <w:r>
                    <w:rPr>
                      <w:color w:val="000000"/>
                      <w:sz w:val="20"/>
                      <w:szCs w:val="20"/>
                      <w:highlight w:val="none"/>
                    </w:rPr>
                    <w:t>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08C0B">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pacing w:val="2"/>
                      <w:position w:val="1"/>
                      <w:sz w:val="20"/>
                      <w:szCs w:val="20"/>
                      <w:highlight w:val="none"/>
                    </w:rPr>
                    <w:t>/</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0FC6">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pacing w:val="1"/>
                      <w:position w:val="2"/>
                      <w:sz w:val="20"/>
                      <w:szCs w:val="20"/>
                      <w:highlight w:val="none"/>
                    </w:rPr>
                    <w:t>100%/0%</w:t>
                  </w:r>
                </w:p>
              </w:tc>
              <w:tc>
                <w:tcPr>
                  <w:tcW w:w="493" w:type="pct"/>
                  <w:tcBorders>
                    <w:top w:val="single" w:color="000000" w:sz="4" w:space="0"/>
                    <w:left w:val="single" w:color="000000" w:sz="4" w:space="0"/>
                    <w:bottom w:val="single" w:color="000000" w:sz="4" w:space="0"/>
                    <w:right w:val="single" w:color="000000" w:sz="12" w:space="0"/>
                  </w:tcBorders>
                  <w:shd w:val="clear" w:color="auto" w:fill="auto"/>
                  <w:vAlign w:val="center"/>
                </w:tcPr>
                <w:p w14:paraId="4A4575A4">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z w:val="20"/>
                      <w:szCs w:val="20"/>
                      <w:highlight w:val="none"/>
                    </w:rPr>
                    <w:t>是</w:t>
                  </w:r>
                </w:p>
              </w:tc>
            </w:tr>
            <w:tr w14:paraId="0060EA3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26" w:type="pct"/>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14:paraId="6F56C05F">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9A03F">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6"/>
                      <w:sz w:val="20"/>
                      <w:szCs w:val="20"/>
                      <w:highlight w:val="none"/>
                    </w:rPr>
                    <w:t>二氧化硫</w:t>
                  </w:r>
                </w:p>
              </w:tc>
              <w:tc>
                <w:tcPr>
                  <w:tcW w:w="2304" w:type="pct"/>
                  <w:vMerge w:val="continue"/>
                  <w:tcBorders>
                    <w:left w:val="single" w:color="000000" w:sz="4" w:space="0"/>
                    <w:right w:val="single" w:color="000000" w:sz="4" w:space="0"/>
                  </w:tcBorders>
                  <w:shd w:val="clear" w:color="auto" w:fill="auto"/>
                  <w:vAlign w:val="center"/>
                </w:tcPr>
                <w:p w14:paraId="06EE929E">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FCFCA">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10CAE">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pacing w:val="2"/>
                      <w:position w:val="1"/>
                      <w:sz w:val="20"/>
                      <w:szCs w:val="20"/>
                      <w:highlight w:val="none"/>
                    </w:rPr>
                    <w:t>/</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A7A50">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pacing w:val="1"/>
                      <w:position w:val="2"/>
                      <w:sz w:val="20"/>
                      <w:szCs w:val="20"/>
                      <w:highlight w:val="none"/>
                    </w:rPr>
                    <w:t>100%/0%</w:t>
                  </w:r>
                </w:p>
              </w:tc>
              <w:tc>
                <w:tcPr>
                  <w:tcW w:w="493" w:type="pct"/>
                  <w:tcBorders>
                    <w:top w:val="single" w:color="000000" w:sz="4" w:space="0"/>
                    <w:left w:val="single" w:color="000000" w:sz="4" w:space="0"/>
                    <w:bottom w:val="single" w:color="000000" w:sz="4" w:space="0"/>
                    <w:right w:val="single" w:color="000000" w:sz="12" w:space="0"/>
                  </w:tcBorders>
                  <w:shd w:val="clear" w:color="auto" w:fill="auto"/>
                  <w:vAlign w:val="center"/>
                </w:tcPr>
                <w:p w14:paraId="78084DDD">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z w:val="20"/>
                      <w:szCs w:val="20"/>
                      <w:highlight w:val="none"/>
                    </w:rPr>
                    <w:t>是</w:t>
                  </w:r>
                </w:p>
              </w:tc>
            </w:tr>
            <w:tr w14:paraId="4B28669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426" w:type="pct"/>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14:paraId="5E4A78C0">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8E357">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7"/>
                      <w:sz w:val="20"/>
                      <w:szCs w:val="20"/>
                      <w:highlight w:val="none"/>
                    </w:rPr>
                    <w:t>氮氧化物</w:t>
                  </w:r>
                </w:p>
              </w:tc>
              <w:tc>
                <w:tcPr>
                  <w:tcW w:w="2304" w:type="pct"/>
                  <w:vMerge w:val="continue"/>
                  <w:tcBorders>
                    <w:left w:val="single" w:color="000000" w:sz="4" w:space="0"/>
                    <w:right w:val="single" w:color="000000" w:sz="4" w:space="0"/>
                  </w:tcBorders>
                  <w:shd w:val="clear" w:color="auto" w:fill="auto"/>
                  <w:vAlign w:val="center"/>
                </w:tcPr>
                <w:p w14:paraId="1B735DB4">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E72C5">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7C449">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7"/>
                      <w:sz w:val="20"/>
                      <w:szCs w:val="20"/>
                      <w:highlight w:val="none"/>
                    </w:rPr>
                    <w:t>低氮燃</w:t>
                  </w:r>
                  <w:r>
                    <w:rPr>
                      <w:color w:val="000000"/>
                      <w:spacing w:val="5"/>
                      <w:sz w:val="20"/>
                      <w:szCs w:val="20"/>
                      <w:highlight w:val="none"/>
                    </w:rPr>
                    <w:t>烧器</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546F1">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pacing w:val="2"/>
                      <w:position w:val="2"/>
                      <w:sz w:val="20"/>
                      <w:szCs w:val="20"/>
                      <w:highlight w:val="none"/>
                    </w:rPr>
                    <w:t>100%/63%</w:t>
                  </w:r>
                </w:p>
              </w:tc>
              <w:tc>
                <w:tcPr>
                  <w:tcW w:w="493" w:type="pct"/>
                  <w:tcBorders>
                    <w:top w:val="single" w:color="000000" w:sz="4" w:space="0"/>
                    <w:left w:val="single" w:color="000000" w:sz="4" w:space="0"/>
                    <w:bottom w:val="single" w:color="000000" w:sz="4" w:space="0"/>
                    <w:right w:val="single" w:color="000000" w:sz="12" w:space="0"/>
                  </w:tcBorders>
                  <w:shd w:val="clear" w:color="auto" w:fill="auto"/>
                  <w:vAlign w:val="center"/>
                </w:tcPr>
                <w:p w14:paraId="6858ADBA">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z w:val="20"/>
                      <w:szCs w:val="20"/>
                      <w:highlight w:val="none"/>
                    </w:rPr>
                    <w:t>是</w:t>
                  </w:r>
                </w:p>
              </w:tc>
            </w:tr>
            <w:tr w14:paraId="5D79880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426" w:type="pct"/>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14:paraId="6EFF4913">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C9A9C">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7"/>
                      <w:sz w:val="20"/>
                      <w:szCs w:val="20"/>
                      <w:highlight w:val="none"/>
                    </w:rPr>
                    <w:t>林格曼黑</w:t>
                  </w:r>
                  <w:r>
                    <w:rPr>
                      <w:color w:val="000000"/>
                      <w:spacing w:val="1"/>
                      <w:sz w:val="20"/>
                      <w:szCs w:val="20"/>
                      <w:highlight w:val="none"/>
                    </w:rPr>
                    <w:t>度</w:t>
                  </w:r>
                </w:p>
              </w:tc>
              <w:tc>
                <w:tcPr>
                  <w:tcW w:w="2304" w:type="pct"/>
                  <w:vMerge w:val="continue"/>
                  <w:tcBorders>
                    <w:left w:val="single" w:color="000000" w:sz="4" w:space="0"/>
                    <w:bottom w:val="single" w:color="000000" w:sz="4" w:space="0"/>
                    <w:right w:val="single" w:color="000000" w:sz="4" w:space="0"/>
                  </w:tcBorders>
                  <w:shd w:val="clear" w:color="auto" w:fill="auto"/>
                  <w:vAlign w:val="center"/>
                </w:tcPr>
                <w:p w14:paraId="0BE7D4B4">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2C767">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000000"/>
                      <w:sz w:val="21"/>
                      <w:highlight w:val="none"/>
                    </w:rPr>
                  </w:pP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525C9">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pacing w:val="2"/>
                      <w:position w:val="1"/>
                      <w:sz w:val="20"/>
                      <w:szCs w:val="20"/>
                      <w:highlight w:val="none"/>
                    </w:rPr>
                    <w:t>/</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A8B1F">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pacing w:val="1"/>
                      <w:position w:val="2"/>
                      <w:sz w:val="20"/>
                      <w:szCs w:val="20"/>
                      <w:highlight w:val="none"/>
                    </w:rPr>
                    <w:t>100%/0%</w:t>
                  </w:r>
                </w:p>
              </w:tc>
              <w:tc>
                <w:tcPr>
                  <w:tcW w:w="493" w:type="pct"/>
                  <w:tcBorders>
                    <w:top w:val="single" w:color="000000" w:sz="4" w:space="0"/>
                    <w:left w:val="single" w:color="000000" w:sz="4" w:space="0"/>
                    <w:bottom w:val="single" w:color="000000" w:sz="4" w:space="0"/>
                    <w:right w:val="single" w:color="000000" w:sz="12" w:space="0"/>
                  </w:tcBorders>
                  <w:shd w:val="clear" w:color="auto" w:fill="auto"/>
                  <w:vAlign w:val="center"/>
                </w:tcPr>
                <w:p w14:paraId="2E4C4AF1">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z w:val="20"/>
                      <w:szCs w:val="20"/>
                      <w:highlight w:val="none"/>
                    </w:rPr>
                    <w:t>是</w:t>
                  </w:r>
                </w:p>
              </w:tc>
            </w:tr>
            <w:tr w14:paraId="29C30FB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26" w:type="pct"/>
                  <w:tcBorders>
                    <w:top w:val="single" w:color="000000" w:sz="4" w:space="0"/>
                    <w:left w:val="single" w:color="000000" w:sz="12" w:space="0"/>
                    <w:bottom w:val="single" w:color="000000" w:sz="12" w:space="0"/>
                    <w:right w:val="single" w:color="000000" w:sz="4" w:space="0"/>
                  </w:tcBorders>
                  <w:shd w:val="clear" w:color="auto" w:fill="auto"/>
                  <w:vAlign w:val="center"/>
                </w:tcPr>
                <w:p w14:paraId="713414A0">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3"/>
                      <w:sz w:val="20"/>
                      <w:szCs w:val="20"/>
                      <w:highlight w:val="none"/>
                    </w:rPr>
                    <w:t>厂界</w:t>
                  </w:r>
                </w:p>
              </w:tc>
              <w:tc>
                <w:tcPr>
                  <w:tcW w:w="365"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518950B8">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7"/>
                      <w:sz w:val="20"/>
                      <w:szCs w:val="20"/>
                      <w:highlight w:val="none"/>
                    </w:rPr>
                    <w:t>臭气浓度</w:t>
                  </w:r>
                </w:p>
              </w:tc>
              <w:tc>
                <w:tcPr>
                  <w:tcW w:w="2304"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4EB32F59">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hint="eastAsia" w:eastAsia="宋体" w:cs="Times New Roman"/>
                      <w:color w:val="000000"/>
                      <w:sz w:val="20"/>
                      <w:szCs w:val="20"/>
                      <w:highlight w:val="none"/>
                      <w:lang w:eastAsia="zh-CN"/>
                    </w:rPr>
                    <w:t>《</w:t>
                  </w:r>
                  <w:r>
                    <w:rPr>
                      <w:rFonts w:hint="eastAsia" w:ascii="Times New Roman" w:hAnsi="Times New Roman" w:eastAsia="Times New Roman" w:cs="Times New Roman"/>
                      <w:color w:val="000000"/>
                      <w:sz w:val="20"/>
                      <w:szCs w:val="20"/>
                      <w:highlight w:val="none"/>
                    </w:rPr>
                    <w:t>恶臭污染物排放标准》（GB 14554-1993）</w:t>
                  </w:r>
                </w:p>
              </w:tc>
              <w:tc>
                <w:tcPr>
                  <w:tcW w:w="297"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7A22B99D">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000000"/>
                      <w:sz w:val="20"/>
                      <w:szCs w:val="20"/>
                      <w:highlight w:val="none"/>
                    </w:rPr>
                  </w:pPr>
                  <w:r>
                    <w:rPr>
                      <w:color w:val="000000"/>
                      <w:spacing w:val="3"/>
                      <w:sz w:val="20"/>
                      <w:szCs w:val="20"/>
                      <w:highlight w:val="none"/>
                    </w:rPr>
                    <w:t>无组</w:t>
                  </w:r>
                  <w:r>
                    <w:rPr>
                      <w:color w:val="000000"/>
                      <w:sz w:val="20"/>
                      <w:szCs w:val="20"/>
                      <w:highlight w:val="none"/>
                    </w:rPr>
                    <w:t>织</w:t>
                  </w:r>
                </w:p>
              </w:tc>
              <w:tc>
                <w:tcPr>
                  <w:tcW w:w="366"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55AA689E">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pacing w:val="2"/>
                      <w:position w:val="1"/>
                      <w:sz w:val="20"/>
                      <w:szCs w:val="20"/>
                      <w:highlight w:val="none"/>
                    </w:rPr>
                    <w:t>/</w:t>
                  </w:r>
                </w:p>
              </w:tc>
              <w:tc>
                <w:tcPr>
                  <w:tcW w:w="746"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5351AD6A">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pacing w:val="2"/>
                      <w:position w:val="1"/>
                      <w:sz w:val="20"/>
                      <w:szCs w:val="20"/>
                      <w:highlight w:val="none"/>
                    </w:rPr>
                    <w:t>/</w:t>
                  </w:r>
                </w:p>
              </w:tc>
              <w:tc>
                <w:tcPr>
                  <w:tcW w:w="493" w:type="pct"/>
                  <w:tcBorders>
                    <w:top w:val="single" w:color="000000" w:sz="4" w:space="0"/>
                    <w:left w:val="single" w:color="000000" w:sz="4" w:space="0"/>
                    <w:bottom w:val="single" w:color="000000" w:sz="12" w:space="0"/>
                    <w:right w:val="single" w:color="000000" w:sz="12" w:space="0"/>
                  </w:tcBorders>
                  <w:shd w:val="clear" w:color="auto" w:fill="auto"/>
                  <w:vAlign w:val="center"/>
                </w:tcPr>
                <w:p w14:paraId="4F143A49">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000000"/>
                      <w:sz w:val="20"/>
                      <w:szCs w:val="20"/>
                      <w:highlight w:val="none"/>
                    </w:rPr>
                  </w:pPr>
                  <w:r>
                    <w:rPr>
                      <w:rFonts w:ascii="Times New Roman" w:hAnsi="Times New Roman" w:eastAsia="Times New Roman" w:cs="Times New Roman"/>
                      <w:color w:val="000000"/>
                      <w:spacing w:val="2"/>
                      <w:position w:val="1"/>
                      <w:sz w:val="20"/>
                      <w:szCs w:val="20"/>
                      <w:highlight w:val="none"/>
                    </w:rPr>
                    <w:t>/</w:t>
                  </w:r>
                </w:p>
              </w:tc>
            </w:tr>
          </w:tbl>
          <w:p w14:paraId="2C908EE8">
            <w:pPr>
              <w:adjustRightInd w:val="0"/>
              <w:snapToGrid w:val="0"/>
              <w:spacing w:line="440" w:lineRule="exact"/>
              <w:ind w:firstLine="482" w:firstLineChars="200"/>
              <w:rPr>
                <w:rFonts w:hint="default"/>
                <w:b/>
                <w:bCs/>
                <w:color w:val="auto"/>
                <w:highlight w:val="none"/>
              </w:rPr>
            </w:pPr>
            <w:r>
              <w:rPr>
                <w:rFonts w:hint="default"/>
                <w:b/>
                <w:bCs/>
                <w:color w:val="auto"/>
                <w:highlight w:val="none"/>
              </w:rPr>
              <w:t>2.排污口设置情况</w:t>
            </w:r>
          </w:p>
          <w:p w14:paraId="78DF5B0D">
            <w:pPr>
              <w:adjustRightInd w:val="0"/>
              <w:snapToGrid w:val="0"/>
              <w:spacing w:line="440" w:lineRule="exact"/>
              <w:ind w:firstLine="474" w:firstLineChars="200"/>
              <w:jc w:val="center"/>
              <w:rPr>
                <w:b/>
                <w:bCs/>
                <w:color w:val="auto"/>
                <w:spacing w:val="-2"/>
                <w:highlight w:val="none"/>
              </w:rPr>
            </w:pPr>
            <w:r>
              <w:rPr>
                <w:b/>
                <w:bCs/>
                <w:color w:val="auto"/>
                <w:spacing w:val="-2"/>
                <w:highlight w:val="none"/>
              </w:rPr>
              <w:t>表</w:t>
            </w:r>
            <w:r>
              <w:rPr>
                <w:rFonts w:ascii="Times New Roman" w:hAnsi="Times New Roman" w:eastAsia="Times New Roman" w:cs="Times New Roman"/>
                <w:b/>
                <w:bCs/>
                <w:color w:val="auto"/>
                <w:spacing w:val="-2"/>
                <w:highlight w:val="none"/>
              </w:rPr>
              <w:t>4-4</w:t>
            </w:r>
            <w:r>
              <w:rPr>
                <w:b/>
                <w:bCs/>
                <w:color w:val="auto"/>
                <w:spacing w:val="-2"/>
                <w:highlight w:val="none"/>
              </w:rPr>
              <w:t>本项目排污口情况一览表</w:t>
            </w:r>
          </w:p>
          <w:tbl>
            <w:tblPr>
              <w:tblStyle w:val="118"/>
              <w:tblW w:w="0" w:type="auto"/>
              <w:tblInd w:w="-11"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820"/>
              <w:gridCol w:w="608"/>
              <w:gridCol w:w="1379"/>
              <w:gridCol w:w="1430"/>
              <w:gridCol w:w="2222"/>
              <w:gridCol w:w="759"/>
              <w:gridCol w:w="720"/>
              <w:gridCol w:w="516"/>
              <w:gridCol w:w="621"/>
            </w:tblGrid>
            <w:tr w14:paraId="1B8A958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PrEx>
              <w:trPr>
                <w:trHeight w:val="0" w:hRule="atLeast"/>
              </w:trPr>
              <w:tc>
                <w:tcPr>
                  <w:tcW w:w="0" w:type="auto"/>
                  <w:vMerge w:val="restart"/>
                  <w:tcBorders>
                    <w:bottom w:val="nil"/>
                  </w:tcBorders>
                  <w:vAlign w:val="center"/>
                </w:tcPr>
                <w:p w14:paraId="7B49A71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排污口</w:t>
                  </w:r>
                  <w:r>
                    <w:rPr>
                      <w:color w:val="auto"/>
                      <w:spacing w:val="3"/>
                      <w:sz w:val="20"/>
                      <w:szCs w:val="20"/>
                      <w:highlight w:val="none"/>
                    </w:rPr>
                    <w:t>编号</w:t>
                  </w:r>
                </w:p>
              </w:tc>
              <w:tc>
                <w:tcPr>
                  <w:tcW w:w="0" w:type="auto"/>
                  <w:vMerge w:val="restart"/>
                  <w:tcBorders>
                    <w:bottom w:val="nil"/>
                  </w:tcBorders>
                  <w:vAlign w:val="center"/>
                </w:tcPr>
                <w:p w14:paraId="55BB33B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3"/>
                      <w:sz w:val="20"/>
                      <w:szCs w:val="20"/>
                      <w:highlight w:val="none"/>
                    </w:rPr>
                    <w:t>名称</w:t>
                  </w:r>
                </w:p>
              </w:tc>
              <w:tc>
                <w:tcPr>
                  <w:tcW w:w="0" w:type="auto"/>
                  <w:gridSpan w:val="2"/>
                  <w:vAlign w:val="center"/>
                </w:tcPr>
                <w:p w14:paraId="73437519">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8"/>
                      <w:sz w:val="20"/>
                      <w:szCs w:val="20"/>
                      <w:highlight w:val="none"/>
                    </w:rPr>
                    <w:t>排气筒底部中心坐标</w:t>
                  </w:r>
                </w:p>
              </w:tc>
              <w:tc>
                <w:tcPr>
                  <w:tcW w:w="0" w:type="auto"/>
                  <w:vMerge w:val="restart"/>
                  <w:tcBorders>
                    <w:bottom w:val="nil"/>
                  </w:tcBorders>
                  <w:vAlign w:val="center"/>
                </w:tcPr>
                <w:p w14:paraId="0CC6CA86">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污染物名</w:t>
                  </w:r>
                  <w:r>
                    <w:rPr>
                      <w:color w:val="auto"/>
                      <w:spacing w:val="1"/>
                      <w:sz w:val="20"/>
                      <w:szCs w:val="20"/>
                      <w:highlight w:val="none"/>
                    </w:rPr>
                    <w:t>称</w:t>
                  </w:r>
                </w:p>
              </w:tc>
              <w:tc>
                <w:tcPr>
                  <w:tcW w:w="0" w:type="auto"/>
                  <w:gridSpan w:val="3"/>
                  <w:vAlign w:val="center"/>
                </w:tcPr>
                <w:p w14:paraId="0FED617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8"/>
                      <w:sz w:val="20"/>
                      <w:szCs w:val="20"/>
                      <w:highlight w:val="none"/>
                    </w:rPr>
                    <w:t>排气筒参数</w:t>
                  </w:r>
                </w:p>
              </w:tc>
              <w:tc>
                <w:tcPr>
                  <w:tcW w:w="0" w:type="auto"/>
                  <w:vMerge w:val="restart"/>
                  <w:tcBorders>
                    <w:bottom w:val="nil"/>
                  </w:tcBorders>
                  <w:vAlign w:val="center"/>
                </w:tcPr>
                <w:p w14:paraId="77AC7A51">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排污口</w:t>
                  </w:r>
                  <w:r>
                    <w:rPr>
                      <w:color w:val="auto"/>
                      <w:spacing w:val="4"/>
                      <w:sz w:val="20"/>
                      <w:szCs w:val="20"/>
                      <w:highlight w:val="none"/>
                    </w:rPr>
                    <w:t>类型</w:t>
                  </w:r>
                </w:p>
              </w:tc>
            </w:tr>
            <w:tr w14:paraId="535EAAC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Merge w:val="continue"/>
                  <w:tcBorders>
                    <w:top w:val="nil"/>
                  </w:tcBorders>
                  <w:vAlign w:val="center"/>
                </w:tcPr>
                <w:p w14:paraId="73A7EAAD">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21"/>
                      <w:highlight w:val="none"/>
                    </w:rPr>
                  </w:pPr>
                </w:p>
              </w:tc>
              <w:tc>
                <w:tcPr>
                  <w:tcW w:w="0" w:type="auto"/>
                  <w:vMerge w:val="continue"/>
                  <w:tcBorders>
                    <w:top w:val="nil"/>
                  </w:tcBorders>
                  <w:vAlign w:val="center"/>
                </w:tcPr>
                <w:p w14:paraId="1E1C6E02">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21"/>
                      <w:highlight w:val="none"/>
                    </w:rPr>
                  </w:pPr>
                </w:p>
              </w:tc>
              <w:tc>
                <w:tcPr>
                  <w:tcW w:w="0" w:type="auto"/>
                  <w:vAlign w:val="center"/>
                </w:tcPr>
                <w:p w14:paraId="4A2CAF40">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3"/>
                      <w:sz w:val="20"/>
                      <w:szCs w:val="20"/>
                      <w:highlight w:val="none"/>
                    </w:rPr>
                    <w:t>经度</w:t>
                  </w:r>
                </w:p>
              </w:tc>
              <w:tc>
                <w:tcPr>
                  <w:tcW w:w="0" w:type="auto"/>
                  <w:vAlign w:val="center"/>
                </w:tcPr>
                <w:p w14:paraId="0C572FFC">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4"/>
                      <w:sz w:val="20"/>
                      <w:szCs w:val="20"/>
                      <w:highlight w:val="none"/>
                    </w:rPr>
                    <w:t>纬度</w:t>
                  </w:r>
                </w:p>
              </w:tc>
              <w:tc>
                <w:tcPr>
                  <w:tcW w:w="0" w:type="auto"/>
                  <w:vMerge w:val="continue"/>
                  <w:tcBorders>
                    <w:top w:val="nil"/>
                  </w:tcBorders>
                  <w:vAlign w:val="center"/>
                </w:tcPr>
                <w:p w14:paraId="25354CBF">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21"/>
                      <w:highlight w:val="none"/>
                    </w:rPr>
                  </w:pPr>
                </w:p>
              </w:tc>
              <w:tc>
                <w:tcPr>
                  <w:tcW w:w="0" w:type="auto"/>
                  <w:vAlign w:val="center"/>
                </w:tcPr>
                <w:p w14:paraId="7D7F6055">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color w:val="auto"/>
                      <w:spacing w:val="2"/>
                      <w:sz w:val="20"/>
                      <w:szCs w:val="20"/>
                      <w:highlight w:val="none"/>
                    </w:rPr>
                    <w:t>高度</w:t>
                  </w:r>
                  <w:r>
                    <w:rPr>
                      <w:rFonts w:hint="default" w:eastAsia="宋体"/>
                      <w:color w:val="auto"/>
                      <w:spacing w:val="2"/>
                      <w:sz w:val="20"/>
                      <w:szCs w:val="20"/>
                      <w:highlight w:val="none"/>
                      <w:lang w:eastAsia="zh-CN"/>
                    </w:rPr>
                    <w:t>（</w:t>
                  </w:r>
                  <w:r>
                    <w:rPr>
                      <w:rFonts w:ascii="Times New Roman" w:hAnsi="Times New Roman" w:eastAsia="Times New Roman" w:cs="Times New Roman"/>
                      <w:color w:val="auto"/>
                      <w:spacing w:val="1"/>
                      <w:sz w:val="20"/>
                      <w:szCs w:val="20"/>
                      <w:highlight w:val="none"/>
                    </w:rPr>
                    <w:t>m</w:t>
                  </w:r>
                  <w:r>
                    <w:rPr>
                      <w:rFonts w:hint="default" w:eastAsia="宋体" w:cs="Times New Roman"/>
                      <w:color w:val="auto"/>
                      <w:spacing w:val="1"/>
                      <w:sz w:val="20"/>
                      <w:szCs w:val="20"/>
                      <w:highlight w:val="none"/>
                      <w:lang w:eastAsia="zh-CN"/>
                    </w:rPr>
                    <w:t>）</w:t>
                  </w:r>
                </w:p>
              </w:tc>
              <w:tc>
                <w:tcPr>
                  <w:tcW w:w="0" w:type="auto"/>
                  <w:vAlign w:val="center"/>
                </w:tcPr>
                <w:p w14:paraId="6B479C2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color w:val="auto"/>
                      <w:spacing w:val="-8"/>
                      <w:sz w:val="20"/>
                      <w:szCs w:val="20"/>
                      <w:highlight w:val="none"/>
                    </w:rPr>
                    <w:t>内径</w:t>
                  </w:r>
                  <w:r>
                    <w:rPr>
                      <w:rFonts w:hint="default" w:eastAsia="宋体"/>
                      <w:color w:val="auto"/>
                      <w:spacing w:val="-8"/>
                      <w:sz w:val="20"/>
                      <w:szCs w:val="20"/>
                      <w:highlight w:val="none"/>
                      <w:lang w:eastAsia="zh-CN"/>
                    </w:rPr>
                    <w:t>（</w:t>
                  </w:r>
                  <w:r>
                    <w:rPr>
                      <w:rFonts w:ascii="Times New Roman" w:hAnsi="Times New Roman" w:eastAsia="Times New Roman" w:cs="Times New Roman"/>
                      <w:color w:val="auto"/>
                      <w:spacing w:val="1"/>
                      <w:sz w:val="20"/>
                      <w:szCs w:val="20"/>
                      <w:highlight w:val="none"/>
                    </w:rPr>
                    <w:t>m</w:t>
                  </w:r>
                  <w:r>
                    <w:rPr>
                      <w:rFonts w:hint="default" w:eastAsia="宋体" w:cs="Times New Roman"/>
                      <w:color w:val="auto"/>
                      <w:spacing w:val="1"/>
                      <w:sz w:val="20"/>
                      <w:szCs w:val="20"/>
                      <w:highlight w:val="none"/>
                      <w:lang w:eastAsia="zh-CN"/>
                    </w:rPr>
                    <w:t>）</w:t>
                  </w:r>
                </w:p>
              </w:tc>
              <w:tc>
                <w:tcPr>
                  <w:tcW w:w="0" w:type="auto"/>
                  <w:vAlign w:val="center"/>
                </w:tcPr>
                <w:p w14:paraId="271461A0">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4"/>
                      <w:sz w:val="20"/>
                      <w:szCs w:val="20"/>
                      <w:highlight w:val="none"/>
                    </w:rPr>
                    <w:t>烟温</w:t>
                  </w:r>
                  <w:r>
                    <w:rPr>
                      <w:color w:val="auto"/>
                      <w:sz w:val="20"/>
                      <w:szCs w:val="20"/>
                      <w:highlight w:val="none"/>
                    </w:rPr>
                    <w:t>℃</w:t>
                  </w:r>
                </w:p>
              </w:tc>
              <w:tc>
                <w:tcPr>
                  <w:tcW w:w="0" w:type="auto"/>
                  <w:vMerge w:val="continue"/>
                  <w:tcBorders>
                    <w:top w:val="nil"/>
                  </w:tcBorders>
                  <w:vAlign w:val="center"/>
                </w:tcPr>
                <w:p w14:paraId="77E4F250">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21"/>
                      <w:highlight w:val="none"/>
                    </w:rPr>
                  </w:pPr>
                </w:p>
              </w:tc>
            </w:tr>
            <w:tr w14:paraId="5C57113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13E836F3">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default" w:ascii="Times New Roman" w:hAnsi="Times New Roman" w:eastAsia="宋体" w:cs="Times New Roman"/>
                      <w:color w:val="auto"/>
                      <w:sz w:val="20"/>
                      <w:szCs w:val="20"/>
                      <w:highlight w:val="none"/>
                      <w:lang w:eastAsia="zh-CN"/>
                    </w:rPr>
                  </w:pPr>
                  <w:r>
                    <w:rPr>
                      <w:rFonts w:hint="default" w:ascii="Times New Roman" w:hAnsi="Times New Roman" w:eastAsia="宋体" w:cs="Times New Roman"/>
                      <w:color w:val="auto"/>
                      <w:position w:val="2"/>
                      <w:sz w:val="20"/>
                      <w:szCs w:val="20"/>
                      <w:highlight w:val="none"/>
                      <w:lang w:eastAsia="zh-CN"/>
                    </w:rPr>
                    <w:t>DA001</w:t>
                  </w:r>
                </w:p>
              </w:tc>
              <w:tc>
                <w:tcPr>
                  <w:tcW w:w="0" w:type="auto"/>
                  <w:vAlign w:val="center"/>
                </w:tcPr>
                <w:p w14:paraId="329512C8">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锅炉排</w:t>
                  </w:r>
                  <w:r>
                    <w:rPr>
                      <w:color w:val="auto"/>
                      <w:spacing w:val="4"/>
                      <w:sz w:val="20"/>
                      <w:szCs w:val="20"/>
                      <w:highlight w:val="none"/>
                    </w:rPr>
                    <w:t>气筒</w:t>
                  </w:r>
                </w:p>
              </w:tc>
              <w:tc>
                <w:tcPr>
                  <w:tcW w:w="0" w:type="auto"/>
                  <w:vAlign w:val="center"/>
                </w:tcPr>
                <w:p w14:paraId="39D9A3F8">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hint="default" w:ascii="Times New Roman" w:hAnsi="Times New Roman" w:eastAsia="Times New Roman" w:cs="Times New Roman"/>
                      <w:color w:val="auto"/>
                      <w:position w:val="1"/>
                      <w:sz w:val="20"/>
                      <w:szCs w:val="20"/>
                      <w:highlight w:val="none"/>
                    </w:rPr>
                    <w:t>82°44'54.4019"</w:t>
                  </w:r>
                  <w:r>
                    <w:rPr>
                      <w:rFonts w:ascii="Times New Roman" w:hAnsi="Times New Roman" w:eastAsia="Times New Roman" w:cs="Times New Roman"/>
                      <w:color w:val="auto"/>
                      <w:spacing w:val="3"/>
                      <w:position w:val="1"/>
                      <w:sz w:val="20"/>
                      <w:szCs w:val="20"/>
                      <w:highlight w:val="none"/>
                    </w:rPr>
                    <w:t>E</w:t>
                  </w:r>
                </w:p>
              </w:tc>
              <w:tc>
                <w:tcPr>
                  <w:tcW w:w="0" w:type="auto"/>
                  <w:vAlign w:val="center"/>
                </w:tcPr>
                <w:p w14:paraId="1E668F68">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hint="default" w:ascii="Times New Roman" w:hAnsi="Times New Roman" w:eastAsia="Times New Roman" w:cs="Times New Roman"/>
                      <w:color w:val="auto"/>
                      <w:spacing w:val="2"/>
                      <w:position w:val="1"/>
                      <w:sz w:val="20"/>
                      <w:szCs w:val="20"/>
                      <w:highlight w:val="none"/>
                    </w:rPr>
                    <w:t>37°00'59.2557"</w:t>
                  </w:r>
                  <w:r>
                    <w:rPr>
                      <w:rFonts w:ascii="Times New Roman" w:hAnsi="Times New Roman" w:eastAsia="Times New Roman" w:cs="Times New Roman"/>
                      <w:color w:val="auto"/>
                      <w:spacing w:val="3"/>
                      <w:position w:val="1"/>
                      <w:sz w:val="20"/>
                      <w:szCs w:val="20"/>
                      <w:highlight w:val="none"/>
                    </w:rPr>
                    <w:t>N</w:t>
                  </w:r>
                </w:p>
              </w:tc>
              <w:tc>
                <w:tcPr>
                  <w:tcW w:w="0" w:type="auto"/>
                  <w:vAlign w:val="center"/>
                </w:tcPr>
                <w:p w14:paraId="638EF27F">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7"/>
                      <w:sz w:val="20"/>
                      <w:szCs w:val="20"/>
                      <w:highlight w:val="none"/>
                    </w:rPr>
                    <w:t>颗粒物、</w:t>
                  </w:r>
                  <w:r>
                    <w:rPr>
                      <w:color w:val="auto"/>
                      <w:spacing w:val="42"/>
                      <w:sz w:val="20"/>
                      <w:szCs w:val="20"/>
                      <w:highlight w:val="none"/>
                    </w:rPr>
                    <w:t>二氧化</w:t>
                  </w:r>
                  <w:r>
                    <w:rPr>
                      <w:color w:val="auto"/>
                      <w:spacing w:val="7"/>
                      <w:sz w:val="20"/>
                      <w:szCs w:val="20"/>
                      <w:highlight w:val="none"/>
                    </w:rPr>
                    <w:t>硫、氮氧化物、林格曼黑度</w:t>
                  </w:r>
                </w:p>
              </w:tc>
              <w:tc>
                <w:tcPr>
                  <w:tcW w:w="0" w:type="auto"/>
                  <w:vAlign w:val="center"/>
                </w:tcPr>
                <w:p w14:paraId="6F5CC479">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21"/>
                      <w:highlight w:val="none"/>
                    </w:rPr>
                  </w:pPr>
                </w:p>
                <w:p w14:paraId="4783917C">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position w:val="2"/>
                      <w:sz w:val="20"/>
                      <w:szCs w:val="20"/>
                      <w:highlight w:val="none"/>
                    </w:rPr>
                    <w:t>15</w:t>
                  </w:r>
                </w:p>
              </w:tc>
              <w:tc>
                <w:tcPr>
                  <w:tcW w:w="0" w:type="auto"/>
                  <w:vAlign w:val="center"/>
                </w:tcPr>
                <w:p w14:paraId="05BF6ACA">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21"/>
                      <w:highlight w:val="none"/>
                    </w:rPr>
                  </w:pPr>
                </w:p>
                <w:p w14:paraId="31A0FD41">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1"/>
                      <w:position w:val="2"/>
                      <w:sz w:val="20"/>
                      <w:szCs w:val="20"/>
                      <w:highlight w:val="none"/>
                    </w:rPr>
                    <w:t>0.2</w:t>
                  </w:r>
                </w:p>
              </w:tc>
              <w:tc>
                <w:tcPr>
                  <w:tcW w:w="0" w:type="auto"/>
                  <w:vAlign w:val="center"/>
                </w:tcPr>
                <w:p w14:paraId="24144018">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21"/>
                      <w:highlight w:val="none"/>
                    </w:rPr>
                  </w:pPr>
                </w:p>
                <w:p w14:paraId="558BDE95">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position w:val="2"/>
                      <w:sz w:val="20"/>
                      <w:szCs w:val="20"/>
                      <w:highlight w:val="none"/>
                    </w:rPr>
                    <w:t>50</w:t>
                  </w:r>
                </w:p>
              </w:tc>
              <w:tc>
                <w:tcPr>
                  <w:tcW w:w="0" w:type="auto"/>
                  <w:vAlign w:val="center"/>
                </w:tcPr>
                <w:p w14:paraId="068ED6AD">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5"/>
                      <w:sz w:val="20"/>
                      <w:szCs w:val="20"/>
                      <w:highlight w:val="none"/>
                    </w:rPr>
                    <w:t>一般排</w:t>
                  </w:r>
                  <w:r>
                    <w:rPr>
                      <w:color w:val="auto"/>
                      <w:spacing w:val="4"/>
                      <w:sz w:val="20"/>
                      <w:szCs w:val="20"/>
                      <w:highlight w:val="none"/>
                    </w:rPr>
                    <w:t>放口</w:t>
                  </w:r>
                </w:p>
              </w:tc>
            </w:tr>
          </w:tbl>
          <w:p w14:paraId="24F2A59C">
            <w:pPr>
              <w:adjustRightInd w:val="0"/>
              <w:snapToGrid w:val="0"/>
              <w:spacing w:line="440" w:lineRule="exact"/>
              <w:ind w:firstLine="482" w:firstLineChars="200"/>
              <w:rPr>
                <w:rFonts w:hint="default"/>
                <w:b/>
                <w:bCs/>
                <w:color w:val="auto"/>
                <w:highlight w:val="none"/>
              </w:rPr>
            </w:pPr>
            <w:r>
              <w:rPr>
                <w:rFonts w:hint="default"/>
                <w:b/>
                <w:bCs/>
                <w:color w:val="auto"/>
                <w:highlight w:val="none"/>
              </w:rPr>
              <w:t>3.非正常工况</w:t>
            </w:r>
          </w:p>
          <w:p w14:paraId="4F3C81D0">
            <w:pPr>
              <w:adjustRightInd w:val="0"/>
              <w:snapToGrid w:val="0"/>
              <w:spacing w:line="440" w:lineRule="exact"/>
              <w:ind w:firstLine="480" w:firstLineChars="200"/>
              <w:rPr>
                <w:rFonts w:hint="default"/>
                <w:color w:val="auto"/>
                <w:highlight w:val="none"/>
              </w:rPr>
            </w:pPr>
            <w:r>
              <w:rPr>
                <w:rFonts w:hint="default"/>
                <w:color w:val="auto"/>
                <w:highlight w:val="none"/>
              </w:rPr>
              <w:t>非正常情况主要包括设备开停车、检修状况以及废气处理设施发生故障导致污染物排放达不到应有的效率。根据</w:t>
            </w:r>
            <w:r>
              <w:rPr>
                <w:rFonts w:hint="default"/>
                <w:color w:val="auto"/>
                <w:highlight w:val="none"/>
                <w:lang w:eastAsia="zh-CN"/>
              </w:rPr>
              <w:t>项目</w:t>
            </w:r>
            <w:r>
              <w:rPr>
                <w:rFonts w:hint="default"/>
                <w:color w:val="auto"/>
                <w:highlight w:val="none"/>
              </w:rPr>
              <w:t>情况，结合同类装置的运行情况，确定以下非正常排放情况：</w:t>
            </w:r>
          </w:p>
          <w:p w14:paraId="76B77255">
            <w:pPr>
              <w:adjustRightInd w:val="0"/>
              <w:snapToGrid w:val="0"/>
              <w:spacing w:line="440" w:lineRule="exact"/>
              <w:ind w:firstLine="480" w:firstLineChars="200"/>
              <w:rPr>
                <w:rFonts w:hint="default"/>
                <w:color w:val="auto"/>
                <w:highlight w:val="none"/>
              </w:rPr>
            </w:pPr>
            <w:r>
              <w:rPr>
                <w:rFonts w:hint="default"/>
                <w:color w:val="auto"/>
                <w:highlight w:val="none"/>
              </w:rPr>
              <w:t>（1）开停车</w:t>
            </w:r>
          </w:p>
          <w:p w14:paraId="1FD09400">
            <w:pPr>
              <w:adjustRightInd w:val="0"/>
              <w:snapToGrid w:val="0"/>
              <w:spacing w:line="440" w:lineRule="exact"/>
              <w:ind w:firstLine="480" w:firstLineChars="200"/>
              <w:rPr>
                <w:rFonts w:hint="default"/>
                <w:color w:val="auto"/>
                <w:highlight w:val="none"/>
              </w:rPr>
            </w:pPr>
            <w:r>
              <w:rPr>
                <w:rFonts w:hint="default"/>
                <w:color w:val="auto"/>
                <w:highlight w:val="none"/>
              </w:rPr>
              <w:t>①正常开停车</w:t>
            </w:r>
          </w:p>
          <w:p w14:paraId="2B212D73">
            <w:pPr>
              <w:adjustRightInd w:val="0"/>
              <w:snapToGrid w:val="0"/>
              <w:spacing w:line="440" w:lineRule="exact"/>
              <w:ind w:firstLine="480" w:firstLineChars="200"/>
              <w:rPr>
                <w:rFonts w:hint="default"/>
                <w:color w:val="auto"/>
                <w:highlight w:val="none"/>
              </w:rPr>
            </w:pPr>
            <w:r>
              <w:rPr>
                <w:rFonts w:hint="default"/>
                <w:color w:val="auto"/>
                <w:highlight w:val="none"/>
              </w:rPr>
              <w:t>本项目生产设备简单、规模小，开停机过程无废气产生。</w:t>
            </w:r>
          </w:p>
          <w:p w14:paraId="57FD733A">
            <w:pPr>
              <w:adjustRightInd w:val="0"/>
              <w:snapToGrid w:val="0"/>
              <w:spacing w:line="440" w:lineRule="exact"/>
              <w:ind w:firstLine="480" w:firstLineChars="200"/>
              <w:rPr>
                <w:rFonts w:hint="default"/>
                <w:color w:val="auto"/>
                <w:highlight w:val="none"/>
              </w:rPr>
            </w:pPr>
            <w:r>
              <w:rPr>
                <w:rFonts w:hint="default"/>
                <w:color w:val="auto"/>
                <w:highlight w:val="none"/>
              </w:rPr>
              <w:t>②临时开停车</w:t>
            </w:r>
          </w:p>
          <w:p w14:paraId="545D91CE">
            <w:pPr>
              <w:adjustRightInd w:val="0"/>
              <w:snapToGrid w:val="0"/>
              <w:spacing w:line="440" w:lineRule="exact"/>
              <w:ind w:firstLine="480" w:firstLineChars="200"/>
              <w:rPr>
                <w:rFonts w:hint="default"/>
                <w:color w:val="auto"/>
                <w:highlight w:val="none"/>
              </w:rPr>
            </w:pPr>
            <w:r>
              <w:rPr>
                <w:rFonts w:hint="default"/>
                <w:color w:val="auto"/>
                <w:highlight w:val="none"/>
              </w:rPr>
              <w:t>生产过程中，停电或某一设备发生故障，可导致整套装置临时停工。在临时停工过程中，各设备等停止运行，待故障排除后，恢复正常生产。不会造成非正常排放。</w:t>
            </w:r>
          </w:p>
          <w:p w14:paraId="17B63322">
            <w:pPr>
              <w:adjustRightInd w:val="0"/>
              <w:snapToGrid w:val="0"/>
              <w:spacing w:line="440" w:lineRule="exact"/>
              <w:ind w:firstLine="480" w:firstLineChars="200"/>
              <w:rPr>
                <w:rFonts w:hint="default"/>
                <w:color w:val="auto"/>
                <w:highlight w:val="none"/>
              </w:rPr>
            </w:pPr>
            <w:r>
              <w:rPr>
                <w:rFonts w:hint="default"/>
                <w:color w:val="auto"/>
                <w:highlight w:val="none"/>
              </w:rPr>
              <w:t>（2）检修期间污染物排放</w:t>
            </w:r>
          </w:p>
          <w:p w14:paraId="55DF67DA">
            <w:pPr>
              <w:adjustRightInd w:val="0"/>
              <w:snapToGrid w:val="0"/>
              <w:spacing w:line="440" w:lineRule="exact"/>
              <w:ind w:firstLine="480" w:firstLineChars="200"/>
              <w:rPr>
                <w:rFonts w:hint="default"/>
                <w:color w:val="auto"/>
                <w:highlight w:val="none"/>
              </w:rPr>
            </w:pPr>
            <w:r>
              <w:rPr>
                <w:rFonts w:hint="default"/>
                <w:color w:val="auto"/>
                <w:highlight w:val="none"/>
              </w:rPr>
              <w:t>项目每年进行一次检修，检修时间为1-2天。按照生产计划停车。不会造成非正常排放。</w:t>
            </w:r>
          </w:p>
          <w:p w14:paraId="7A0426B6">
            <w:pPr>
              <w:adjustRightInd w:val="0"/>
              <w:snapToGrid w:val="0"/>
              <w:spacing w:line="440" w:lineRule="exact"/>
              <w:ind w:firstLine="480" w:firstLineChars="200"/>
              <w:rPr>
                <w:rFonts w:hint="default"/>
                <w:color w:val="auto"/>
                <w:highlight w:val="none"/>
              </w:rPr>
            </w:pPr>
            <w:r>
              <w:rPr>
                <w:rFonts w:hint="default"/>
                <w:color w:val="auto"/>
                <w:highlight w:val="none"/>
              </w:rPr>
              <w:t>（3）环保设施故障情况</w:t>
            </w:r>
          </w:p>
          <w:p w14:paraId="105B67EB">
            <w:pPr>
              <w:adjustRightInd w:val="0"/>
              <w:snapToGrid w:val="0"/>
              <w:spacing w:line="440" w:lineRule="exact"/>
              <w:ind w:firstLine="480" w:firstLineChars="200"/>
              <w:rPr>
                <w:rFonts w:hint="default"/>
                <w:color w:val="auto"/>
                <w:highlight w:val="none"/>
              </w:rPr>
            </w:pPr>
            <w:r>
              <w:rPr>
                <w:rFonts w:hint="default"/>
                <w:color w:val="auto"/>
                <w:highlight w:val="none"/>
              </w:rPr>
              <w:t>环保设施出现故障时，会使污染物处理效率下降或者根本得不到处理而排入环境中，主要污染因素是废气。本次非正常工况考虑废气收集系统正常、处理装置发生故障，废气处理设施</w:t>
            </w:r>
            <w:r>
              <w:rPr>
                <w:rFonts w:hint="default"/>
                <w:color w:val="auto"/>
                <w:highlight w:val="none"/>
                <w:lang w:eastAsia="zh-CN"/>
              </w:rPr>
              <w:t>处于</w:t>
            </w:r>
            <w:r>
              <w:rPr>
                <w:rFonts w:hint="default"/>
                <w:color w:val="auto"/>
                <w:highlight w:val="none"/>
              </w:rPr>
              <w:t>全部失效</w:t>
            </w:r>
            <w:r>
              <w:rPr>
                <w:rFonts w:hint="default"/>
                <w:color w:val="auto"/>
                <w:highlight w:val="none"/>
                <w:lang w:eastAsia="zh-CN"/>
              </w:rPr>
              <w:t>（</w:t>
            </w:r>
            <w:r>
              <w:rPr>
                <w:rFonts w:hint="default"/>
                <w:color w:val="auto"/>
                <w:highlight w:val="none"/>
              </w:rPr>
              <w:t>η=0%）的状态进行分析。废气非正常工况源强情况见下表。</w:t>
            </w:r>
          </w:p>
          <w:p w14:paraId="2C023F07">
            <w:pPr>
              <w:adjustRightInd w:val="0"/>
              <w:snapToGrid w:val="0"/>
              <w:spacing w:line="440" w:lineRule="exact"/>
              <w:ind w:left="0" w:leftChars="0" w:firstLine="0" w:firstLineChars="0"/>
              <w:jc w:val="center"/>
              <w:rPr>
                <w:rFonts w:hint="default"/>
                <w:color w:val="auto"/>
                <w:highlight w:val="none"/>
              </w:rPr>
            </w:pPr>
            <w:r>
              <w:rPr>
                <w:b/>
                <w:bCs/>
                <w:color w:val="auto"/>
                <w:spacing w:val="-2"/>
                <w:highlight w:val="none"/>
              </w:rPr>
              <w:t>表</w:t>
            </w:r>
            <w:r>
              <w:rPr>
                <w:rFonts w:ascii="Times New Roman" w:hAnsi="Times New Roman" w:eastAsia="Times New Roman" w:cs="Times New Roman"/>
                <w:b/>
                <w:bCs/>
                <w:color w:val="auto"/>
                <w:spacing w:val="-2"/>
                <w:highlight w:val="none"/>
              </w:rPr>
              <w:t>4-5</w:t>
            </w:r>
            <w:r>
              <w:rPr>
                <w:rFonts w:hint="default" w:eastAsia="宋体" w:cs="Times New Roman"/>
                <w:b/>
                <w:bCs/>
                <w:color w:val="auto"/>
                <w:spacing w:val="-2"/>
                <w:highlight w:val="none"/>
                <w:lang w:val="en-US" w:eastAsia="zh-CN"/>
              </w:rPr>
              <w:t xml:space="preserve">       </w:t>
            </w:r>
            <w:r>
              <w:rPr>
                <w:b/>
                <w:bCs/>
                <w:color w:val="auto"/>
                <w:spacing w:val="-2"/>
                <w:highlight w:val="none"/>
              </w:rPr>
              <w:t>非正常工况下废气污染物排放情况</w:t>
            </w:r>
          </w:p>
          <w:tbl>
            <w:tblPr>
              <w:tblStyle w:val="118"/>
              <w:tblW w:w="4997"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723"/>
              <w:gridCol w:w="929"/>
              <w:gridCol w:w="937"/>
              <w:gridCol w:w="1919"/>
              <w:gridCol w:w="1719"/>
              <w:gridCol w:w="888"/>
              <w:gridCol w:w="753"/>
              <w:gridCol w:w="1202"/>
            </w:tblGrid>
            <w:tr w14:paraId="4CE5D68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98" w:type="pct"/>
                  <w:vAlign w:val="center"/>
                </w:tcPr>
                <w:p w14:paraId="7E4968C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污染源</w:t>
                  </w:r>
                </w:p>
              </w:tc>
              <w:tc>
                <w:tcPr>
                  <w:tcW w:w="512" w:type="pct"/>
                  <w:vAlign w:val="center"/>
                </w:tcPr>
                <w:p w14:paraId="25A242DE">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5"/>
                      <w:sz w:val="20"/>
                      <w:szCs w:val="20"/>
                      <w:highlight w:val="none"/>
                    </w:rPr>
                    <w:t>非正常</w:t>
                  </w:r>
                </w:p>
                <w:p w14:paraId="7D8B8CBC">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排放原</w:t>
                  </w:r>
                  <w:r>
                    <w:rPr>
                      <w:color w:val="auto"/>
                      <w:sz w:val="20"/>
                      <w:szCs w:val="20"/>
                      <w:highlight w:val="none"/>
                    </w:rPr>
                    <w:t>因</w:t>
                  </w:r>
                </w:p>
              </w:tc>
              <w:tc>
                <w:tcPr>
                  <w:tcW w:w="516" w:type="pct"/>
                  <w:vAlign w:val="center"/>
                </w:tcPr>
                <w:p w14:paraId="06EF04A5">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污染物</w:t>
                  </w:r>
                </w:p>
              </w:tc>
              <w:tc>
                <w:tcPr>
                  <w:tcW w:w="1057" w:type="pct"/>
                  <w:vAlign w:val="center"/>
                </w:tcPr>
                <w:p w14:paraId="198AC639">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非正常排</w:t>
                  </w:r>
                </w:p>
                <w:p w14:paraId="5F2F7193">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5"/>
                      <w:sz w:val="20"/>
                      <w:szCs w:val="20"/>
                      <w:highlight w:val="none"/>
                    </w:rPr>
                    <w:t>放浓度</w:t>
                  </w:r>
                  <w:r>
                    <w:rPr>
                      <w:rFonts w:ascii="Times New Roman" w:hAnsi="Times New Roman" w:eastAsia="Times New Roman" w:cs="Times New Roman"/>
                      <w:color w:val="auto"/>
                      <w:spacing w:val="5"/>
                      <w:sz w:val="20"/>
                      <w:szCs w:val="20"/>
                      <w:highlight w:val="none"/>
                    </w:rPr>
                    <w:t>/</w:t>
                  </w:r>
                  <w:r>
                    <w:rPr>
                      <w:color w:val="auto"/>
                      <w:spacing w:val="1"/>
                      <w:sz w:val="20"/>
                      <w:szCs w:val="20"/>
                      <w:highlight w:val="none"/>
                    </w:rPr>
                    <w:t>（</w:t>
                  </w:r>
                  <w:r>
                    <w:rPr>
                      <w:rFonts w:ascii="Times New Roman" w:hAnsi="Times New Roman" w:eastAsia="Times New Roman" w:cs="Times New Roman"/>
                      <w:color w:val="auto"/>
                      <w:sz w:val="20"/>
                      <w:szCs w:val="20"/>
                      <w:highlight w:val="none"/>
                    </w:rPr>
                    <w:t>mg</w:t>
                  </w:r>
                  <w:r>
                    <w:rPr>
                      <w:rFonts w:ascii="Times New Roman" w:hAnsi="Times New Roman" w:eastAsia="Times New Roman" w:cs="Times New Roman"/>
                      <w:color w:val="auto"/>
                      <w:spacing w:val="1"/>
                      <w:sz w:val="20"/>
                      <w:szCs w:val="20"/>
                      <w:highlight w:val="none"/>
                    </w:rPr>
                    <w:t>/</w:t>
                  </w:r>
                  <w:r>
                    <w:rPr>
                      <w:rFonts w:hint="eastAsia" w:eastAsia="宋体" w:cs="Times New Roman"/>
                      <w:color w:val="auto"/>
                      <w:spacing w:val="1"/>
                      <w:sz w:val="20"/>
                      <w:szCs w:val="20"/>
                      <w:highlight w:val="none"/>
                      <w:lang w:eastAsia="zh-CN"/>
                    </w:rPr>
                    <w:t>m³</w:t>
                  </w:r>
                  <w:r>
                    <w:rPr>
                      <w:color w:val="auto"/>
                      <w:spacing w:val="1"/>
                      <w:position w:val="1"/>
                      <w:sz w:val="20"/>
                      <w:szCs w:val="20"/>
                      <w:highlight w:val="none"/>
                    </w:rPr>
                    <w:t>）</w:t>
                  </w:r>
                </w:p>
              </w:tc>
              <w:tc>
                <w:tcPr>
                  <w:tcW w:w="947" w:type="pct"/>
                  <w:vAlign w:val="center"/>
                </w:tcPr>
                <w:p w14:paraId="2D78F91D">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非正常排</w:t>
                  </w:r>
                </w:p>
                <w:p w14:paraId="6F47FBB5">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5"/>
                      <w:sz w:val="20"/>
                      <w:szCs w:val="20"/>
                      <w:highlight w:val="none"/>
                    </w:rPr>
                    <w:t>放速率</w:t>
                  </w:r>
                  <w:r>
                    <w:rPr>
                      <w:rFonts w:ascii="Times New Roman" w:hAnsi="Times New Roman" w:eastAsia="Times New Roman" w:cs="Times New Roman"/>
                      <w:color w:val="auto"/>
                      <w:spacing w:val="5"/>
                      <w:sz w:val="20"/>
                      <w:szCs w:val="20"/>
                      <w:highlight w:val="none"/>
                    </w:rPr>
                    <w:t>/</w:t>
                  </w:r>
                  <w:r>
                    <w:rPr>
                      <w:color w:val="auto"/>
                      <w:sz w:val="20"/>
                      <w:szCs w:val="20"/>
                      <w:highlight w:val="none"/>
                    </w:rPr>
                    <w:t>（</w:t>
                  </w:r>
                  <w:r>
                    <w:rPr>
                      <w:rFonts w:ascii="Times New Roman" w:hAnsi="Times New Roman" w:eastAsia="Times New Roman" w:cs="Times New Roman"/>
                      <w:color w:val="auto"/>
                      <w:sz w:val="20"/>
                      <w:szCs w:val="20"/>
                      <w:highlight w:val="none"/>
                    </w:rPr>
                    <w:t>kg/h</w:t>
                  </w:r>
                  <w:r>
                    <w:rPr>
                      <w:color w:val="auto"/>
                      <w:sz w:val="20"/>
                      <w:szCs w:val="20"/>
                      <w:highlight w:val="none"/>
                    </w:rPr>
                    <w:t>）</w:t>
                  </w:r>
                </w:p>
              </w:tc>
              <w:tc>
                <w:tcPr>
                  <w:tcW w:w="489" w:type="pct"/>
                  <w:vAlign w:val="center"/>
                </w:tcPr>
                <w:p w14:paraId="6188AE31">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单次持</w:t>
                  </w:r>
                </w:p>
                <w:p w14:paraId="54E925B5">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color w:val="auto"/>
                      <w:spacing w:val="6"/>
                      <w:sz w:val="20"/>
                      <w:szCs w:val="20"/>
                      <w:highlight w:val="none"/>
                    </w:rPr>
                    <w:t>续时间</w:t>
                  </w:r>
                  <w:r>
                    <w:rPr>
                      <w:rFonts w:ascii="Times New Roman" w:hAnsi="Times New Roman" w:eastAsia="Times New Roman" w:cs="Times New Roman"/>
                      <w:color w:val="auto"/>
                      <w:spacing w:val="3"/>
                      <w:sz w:val="20"/>
                      <w:szCs w:val="20"/>
                      <w:highlight w:val="none"/>
                    </w:rPr>
                    <w:t>/h</w:t>
                  </w:r>
                </w:p>
              </w:tc>
              <w:tc>
                <w:tcPr>
                  <w:tcW w:w="415" w:type="pct"/>
                  <w:vAlign w:val="center"/>
                </w:tcPr>
                <w:p w14:paraId="45A120FC">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年发生</w:t>
                  </w:r>
                </w:p>
                <w:p w14:paraId="439D2735">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4"/>
                      <w:sz w:val="20"/>
                      <w:szCs w:val="20"/>
                      <w:highlight w:val="none"/>
                    </w:rPr>
                    <w:t>频次</w:t>
                  </w:r>
                  <w:r>
                    <w:rPr>
                      <w:rFonts w:ascii="Times New Roman" w:hAnsi="Times New Roman" w:eastAsia="Times New Roman" w:cs="Times New Roman"/>
                      <w:color w:val="auto"/>
                      <w:spacing w:val="4"/>
                      <w:sz w:val="20"/>
                      <w:szCs w:val="20"/>
                      <w:highlight w:val="none"/>
                    </w:rPr>
                    <w:t>/</w:t>
                  </w:r>
                  <w:r>
                    <w:rPr>
                      <w:color w:val="auto"/>
                      <w:sz w:val="20"/>
                      <w:szCs w:val="20"/>
                      <w:highlight w:val="none"/>
                    </w:rPr>
                    <w:t>次</w:t>
                  </w:r>
                </w:p>
              </w:tc>
              <w:tc>
                <w:tcPr>
                  <w:tcW w:w="662" w:type="pct"/>
                  <w:vAlign w:val="center"/>
                </w:tcPr>
                <w:p w14:paraId="35EFC9CF">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7"/>
                      <w:sz w:val="20"/>
                      <w:szCs w:val="20"/>
                      <w:highlight w:val="none"/>
                    </w:rPr>
                    <w:t>应对措施</w:t>
                  </w:r>
                </w:p>
              </w:tc>
            </w:tr>
            <w:tr w14:paraId="4B0AB1D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98" w:type="pct"/>
                  <w:vAlign w:val="center"/>
                </w:tcPr>
                <w:p w14:paraId="3ADEF73E">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default" w:ascii="Times New Roman" w:hAnsi="Times New Roman" w:eastAsia="宋体" w:cs="Times New Roman"/>
                      <w:color w:val="auto"/>
                      <w:sz w:val="20"/>
                      <w:szCs w:val="20"/>
                      <w:highlight w:val="none"/>
                      <w:lang w:eastAsia="zh-CN"/>
                    </w:rPr>
                  </w:pPr>
                  <w:r>
                    <w:rPr>
                      <w:rFonts w:hint="default" w:ascii="Times New Roman" w:hAnsi="Times New Roman" w:eastAsia="宋体" w:cs="Times New Roman"/>
                      <w:color w:val="auto"/>
                      <w:position w:val="2"/>
                      <w:sz w:val="20"/>
                      <w:szCs w:val="20"/>
                      <w:highlight w:val="none"/>
                      <w:lang w:eastAsia="zh-CN"/>
                    </w:rPr>
                    <w:t>DA001</w:t>
                  </w:r>
                </w:p>
              </w:tc>
              <w:tc>
                <w:tcPr>
                  <w:tcW w:w="512" w:type="pct"/>
                  <w:vAlign w:val="center"/>
                </w:tcPr>
                <w:p w14:paraId="3941BB28">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5"/>
                      <w:position w:val="4"/>
                      <w:sz w:val="20"/>
                      <w:szCs w:val="20"/>
                      <w:highlight w:val="none"/>
                    </w:rPr>
                    <w:t>η=0%</w:t>
                  </w:r>
                </w:p>
              </w:tc>
              <w:tc>
                <w:tcPr>
                  <w:tcW w:w="516" w:type="pct"/>
                  <w:vAlign w:val="center"/>
                </w:tcPr>
                <w:p w14:paraId="723932F8">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7"/>
                      <w:sz w:val="20"/>
                      <w:szCs w:val="20"/>
                      <w:highlight w:val="none"/>
                    </w:rPr>
                    <w:t>氮氧化</w:t>
                  </w:r>
                  <w:r>
                    <w:rPr>
                      <w:color w:val="auto"/>
                      <w:sz w:val="20"/>
                      <w:szCs w:val="20"/>
                      <w:highlight w:val="none"/>
                    </w:rPr>
                    <w:t>物</w:t>
                  </w:r>
                </w:p>
              </w:tc>
              <w:tc>
                <w:tcPr>
                  <w:tcW w:w="1057" w:type="pct"/>
                  <w:vAlign w:val="center"/>
                </w:tcPr>
                <w:p w14:paraId="1BAE7606">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default" w:ascii="Times New Roman" w:hAnsi="Times New Roman" w:eastAsia="宋体" w:cs="Times New Roman"/>
                      <w:color w:val="auto"/>
                      <w:sz w:val="20"/>
                      <w:szCs w:val="20"/>
                      <w:highlight w:val="none"/>
                      <w:lang w:val="en-US" w:eastAsia="zh-CN"/>
                    </w:rPr>
                  </w:pPr>
                  <w:r>
                    <w:rPr>
                      <w:rFonts w:ascii="Times New Roman" w:hAnsi="Times New Roman" w:eastAsia="Times New Roman" w:cs="Times New Roman"/>
                      <w:color w:val="auto"/>
                      <w:spacing w:val="-1"/>
                      <w:position w:val="2"/>
                      <w:sz w:val="20"/>
                      <w:szCs w:val="20"/>
                      <w:highlight w:val="none"/>
                    </w:rPr>
                    <w:t>13</w:t>
                  </w:r>
                  <w:r>
                    <w:rPr>
                      <w:rFonts w:hint="default" w:ascii="Times New Roman" w:hAnsi="Times New Roman" w:eastAsia="宋体" w:cs="Times New Roman"/>
                      <w:color w:val="auto"/>
                      <w:spacing w:val="-1"/>
                      <w:position w:val="2"/>
                      <w:sz w:val="20"/>
                      <w:szCs w:val="20"/>
                      <w:highlight w:val="none"/>
                      <w:lang w:val="en-US" w:eastAsia="zh-CN"/>
                    </w:rPr>
                    <w:t>8.38</w:t>
                  </w:r>
                </w:p>
              </w:tc>
              <w:tc>
                <w:tcPr>
                  <w:tcW w:w="947" w:type="pct"/>
                  <w:vAlign w:val="center"/>
                </w:tcPr>
                <w:p w14:paraId="61BC4D06">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default" w:ascii="Times New Roman" w:hAnsi="Times New Roman" w:eastAsia="宋体" w:cs="Times New Roman"/>
                      <w:color w:val="auto"/>
                      <w:sz w:val="20"/>
                      <w:szCs w:val="20"/>
                      <w:highlight w:val="none"/>
                      <w:lang w:val="en-US" w:eastAsia="zh-CN"/>
                    </w:rPr>
                  </w:pPr>
                  <w:r>
                    <w:rPr>
                      <w:rFonts w:ascii="Times New Roman" w:hAnsi="Times New Roman" w:eastAsia="Times New Roman" w:cs="Times New Roman"/>
                      <w:color w:val="auto"/>
                      <w:spacing w:val="2"/>
                      <w:position w:val="2"/>
                      <w:sz w:val="20"/>
                      <w:szCs w:val="20"/>
                      <w:highlight w:val="none"/>
                    </w:rPr>
                    <w:t>0.</w:t>
                  </w:r>
                  <w:r>
                    <w:rPr>
                      <w:rFonts w:hint="default" w:ascii="Times New Roman" w:hAnsi="Times New Roman" w:eastAsia="宋体" w:cs="Times New Roman"/>
                      <w:color w:val="auto"/>
                      <w:spacing w:val="2"/>
                      <w:position w:val="2"/>
                      <w:sz w:val="20"/>
                      <w:szCs w:val="20"/>
                      <w:highlight w:val="none"/>
                      <w:lang w:val="en-US" w:eastAsia="zh-CN"/>
                    </w:rPr>
                    <w:t>075</w:t>
                  </w:r>
                </w:p>
              </w:tc>
              <w:tc>
                <w:tcPr>
                  <w:tcW w:w="489" w:type="pct"/>
                  <w:vAlign w:val="center"/>
                </w:tcPr>
                <w:p w14:paraId="1A01E837">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position w:val="1"/>
                      <w:sz w:val="20"/>
                      <w:szCs w:val="20"/>
                      <w:highlight w:val="none"/>
                    </w:rPr>
                    <w:t>1</w:t>
                  </w:r>
                </w:p>
              </w:tc>
              <w:tc>
                <w:tcPr>
                  <w:tcW w:w="415" w:type="pct"/>
                  <w:vAlign w:val="center"/>
                </w:tcPr>
                <w:p w14:paraId="058C41E8">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position w:val="1"/>
                      <w:sz w:val="20"/>
                      <w:szCs w:val="20"/>
                      <w:highlight w:val="none"/>
                    </w:rPr>
                    <w:t>1</w:t>
                  </w:r>
                </w:p>
              </w:tc>
              <w:tc>
                <w:tcPr>
                  <w:tcW w:w="662" w:type="pct"/>
                  <w:vAlign w:val="center"/>
                </w:tcPr>
                <w:p w14:paraId="0842533F">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5"/>
                      <w:sz w:val="20"/>
                      <w:szCs w:val="20"/>
                      <w:highlight w:val="none"/>
                    </w:rPr>
                    <w:t>立即停止，</w:t>
                  </w:r>
                </w:p>
                <w:p w14:paraId="41FC5F7C">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7"/>
                      <w:sz w:val="20"/>
                      <w:szCs w:val="20"/>
                      <w:highlight w:val="none"/>
                    </w:rPr>
                    <w:t>关闭排放阀</w:t>
                  </w:r>
                </w:p>
              </w:tc>
            </w:tr>
          </w:tbl>
          <w:p w14:paraId="1991CDFE">
            <w:pPr>
              <w:adjustRightInd w:val="0"/>
              <w:snapToGrid w:val="0"/>
              <w:spacing w:line="440" w:lineRule="exact"/>
              <w:ind w:firstLine="480" w:firstLineChars="200"/>
              <w:rPr>
                <w:rFonts w:hint="default"/>
                <w:color w:val="auto"/>
                <w:spacing w:val="-2"/>
                <w:highlight w:val="none"/>
              </w:rPr>
            </w:pPr>
            <w:r>
              <w:rPr>
                <w:color w:val="auto"/>
                <w:highlight w:val="none"/>
              </w:rPr>
              <w:t>由上表可知，当非正常排放工况去除率为</w:t>
            </w:r>
            <w:r>
              <w:rPr>
                <w:rFonts w:ascii="Times New Roman" w:hAnsi="Times New Roman" w:eastAsia="Times New Roman" w:cs="Times New Roman"/>
                <w:color w:val="auto"/>
                <w:highlight w:val="none"/>
              </w:rPr>
              <w:t>0</w:t>
            </w:r>
            <w:r>
              <w:rPr>
                <w:color w:val="auto"/>
                <w:highlight w:val="none"/>
              </w:rPr>
              <w:t>时，氮氧</w:t>
            </w:r>
            <w:r>
              <w:rPr>
                <w:color w:val="auto"/>
                <w:spacing w:val="-1"/>
                <w:highlight w:val="none"/>
              </w:rPr>
              <w:t>化物排放出现超标，对周边环境的影响明显加大。建设单位应加强对废气处理设备的管理，一旦发现异</w:t>
            </w:r>
            <w:r>
              <w:rPr>
                <w:color w:val="auto"/>
                <w:spacing w:val="-2"/>
                <w:highlight w:val="none"/>
              </w:rPr>
              <w:t>常，应立即查明事故工段，派专业维修人员进行迅速维修，保障设备正常运行，</w:t>
            </w:r>
            <w:r>
              <w:rPr>
                <w:rFonts w:hint="default"/>
                <w:color w:val="auto"/>
                <w:spacing w:val="-2"/>
                <w:highlight w:val="none"/>
              </w:rPr>
              <w:t>可减少非正常工况下废气对环境的影响。</w:t>
            </w:r>
          </w:p>
          <w:p w14:paraId="1A38ED6D">
            <w:pPr>
              <w:adjustRightInd w:val="0"/>
              <w:snapToGrid w:val="0"/>
              <w:spacing w:line="440" w:lineRule="exact"/>
              <w:ind w:firstLine="474" w:firstLineChars="200"/>
              <w:rPr>
                <w:rFonts w:hint="default"/>
                <w:b/>
                <w:bCs/>
                <w:color w:val="auto"/>
                <w:spacing w:val="-2"/>
                <w:highlight w:val="none"/>
              </w:rPr>
            </w:pPr>
            <w:r>
              <w:rPr>
                <w:rFonts w:hint="default"/>
                <w:b/>
                <w:bCs/>
                <w:color w:val="auto"/>
                <w:spacing w:val="-2"/>
                <w:highlight w:val="none"/>
              </w:rPr>
              <w:t>4.环保措施可行性分析</w:t>
            </w:r>
          </w:p>
          <w:p w14:paraId="66BC95FA">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本项目对运行过程中存在的大气污染环节采取了防治措施：天然气锅炉采用国内先进的低氮燃烧技术，废气通过1</w:t>
            </w:r>
            <w:r>
              <w:rPr>
                <w:rFonts w:hint="eastAsia"/>
                <w:color w:val="auto"/>
                <w:spacing w:val="-2"/>
                <w:highlight w:val="none"/>
                <w:lang w:val="en-US" w:eastAsia="zh-CN"/>
              </w:rPr>
              <w:t>2</w:t>
            </w:r>
            <w:r>
              <w:rPr>
                <w:rFonts w:hint="default"/>
                <w:color w:val="auto"/>
                <w:spacing w:val="-2"/>
                <w:highlight w:val="none"/>
              </w:rPr>
              <w:t>m高排气筒</w:t>
            </w:r>
            <w:r>
              <w:rPr>
                <w:rFonts w:hint="default"/>
                <w:color w:val="auto"/>
                <w:spacing w:val="-2"/>
                <w:highlight w:val="none"/>
                <w:lang w:eastAsia="zh-CN"/>
              </w:rPr>
              <w:t>DA001</w:t>
            </w:r>
            <w:r>
              <w:rPr>
                <w:rFonts w:hint="default"/>
                <w:color w:val="auto"/>
                <w:spacing w:val="-2"/>
                <w:highlight w:val="none"/>
              </w:rPr>
              <w:t>排放，废气经处理后排放满足《锅炉大气污染物排放标准》（GB 13271-2014）表2新建锅炉大气污染物排放浓度限值要求。</w:t>
            </w:r>
          </w:p>
          <w:p w14:paraId="08890E5C">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根据《排污许可证申请与核发技术规范锅炉》（HJ953-2018）中“表7锅炉烟气污染防治可行技术”，燃气锅炉颗粒物、二氧化硫可不采取处理措施，氮氧化物可行措施为低氮燃烧技术、低氮燃烧+SCR脱硝技术，本项目燃气锅炉安装低氮燃烧器，属于可行技术。</w:t>
            </w:r>
          </w:p>
          <w:p w14:paraId="229B8E36">
            <w:pPr>
              <w:adjustRightInd w:val="0"/>
              <w:snapToGrid w:val="0"/>
              <w:spacing w:line="440" w:lineRule="exact"/>
              <w:ind w:firstLine="474" w:firstLineChars="200"/>
              <w:rPr>
                <w:rFonts w:hint="default"/>
                <w:b/>
                <w:bCs/>
                <w:color w:val="auto"/>
                <w:spacing w:val="-2"/>
                <w:highlight w:val="none"/>
              </w:rPr>
            </w:pPr>
            <w:r>
              <w:rPr>
                <w:rFonts w:hint="default"/>
                <w:b/>
                <w:bCs/>
                <w:color w:val="auto"/>
                <w:spacing w:val="-2"/>
                <w:highlight w:val="none"/>
              </w:rPr>
              <w:t>5.周边环境影响</w:t>
            </w:r>
          </w:p>
          <w:p w14:paraId="0F8ECDF3">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天然气锅炉采用国内先进的低氮燃烧技术，废气通过1</w:t>
            </w:r>
            <w:r>
              <w:rPr>
                <w:rFonts w:hint="eastAsia"/>
                <w:color w:val="auto"/>
                <w:spacing w:val="-2"/>
                <w:highlight w:val="none"/>
                <w:lang w:val="en-US" w:eastAsia="zh-CN"/>
              </w:rPr>
              <w:t>2</w:t>
            </w:r>
            <w:r>
              <w:rPr>
                <w:rFonts w:hint="default"/>
                <w:color w:val="auto"/>
                <w:spacing w:val="-2"/>
                <w:highlight w:val="none"/>
              </w:rPr>
              <w:t>m高排气筒</w:t>
            </w:r>
            <w:r>
              <w:rPr>
                <w:rFonts w:hint="default"/>
                <w:color w:val="auto"/>
                <w:spacing w:val="-2"/>
                <w:highlight w:val="none"/>
                <w:lang w:eastAsia="zh-CN"/>
              </w:rPr>
              <w:t>DA001</w:t>
            </w:r>
            <w:r>
              <w:rPr>
                <w:rFonts w:hint="default"/>
                <w:color w:val="auto"/>
                <w:spacing w:val="-2"/>
                <w:highlight w:val="none"/>
              </w:rPr>
              <w:t>排放。生产过</w:t>
            </w:r>
            <w:r>
              <w:rPr>
                <w:rFonts w:hint="default"/>
                <w:color w:val="auto"/>
                <w:spacing w:val="-2"/>
                <w:highlight w:val="none"/>
                <w:lang w:eastAsia="zh-CN"/>
              </w:rPr>
              <w:t>程中</w:t>
            </w:r>
            <w:r>
              <w:rPr>
                <w:rFonts w:hint="default"/>
                <w:color w:val="auto"/>
                <w:spacing w:val="-2"/>
                <w:highlight w:val="none"/>
              </w:rPr>
              <w:t>产生的果渣通过果渣</w:t>
            </w:r>
            <w:r>
              <w:rPr>
                <w:rFonts w:hint="eastAsia"/>
                <w:color w:val="auto"/>
                <w:spacing w:val="-2"/>
                <w:highlight w:val="none"/>
                <w:lang w:val="en-US" w:eastAsia="zh-CN"/>
              </w:rPr>
              <w:t>树洞螺旋</w:t>
            </w:r>
            <w:r>
              <w:rPr>
                <w:rFonts w:hint="default"/>
                <w:color w:val="auto"/>
                <w:spacing w:val="-2"/>
                <w:highlight w:val="none"/>
              </w:rPr>
              <w:t>进入</w:t>
            </w:r>
            <w:r>
              <w:rPr>
                <w:rFonts w:hint="eastAsia"/>
                <w:color w:val="auto"/>
                <w:spacing w:val="-2"/>
                <w:highlight w:val="none"/>
                <w:lang w:val="en-US" w:eastAsia="zh-CN"/>
              </w:rPr>
              <w:t>果渣仓</w:t>
            </w:r>
            <w:r>
              <w:rPr>
                <w:rFonts w:hint="default"/>
                <w:color w:val="auto"/>
                <w:spacing w:val="-2"/>
                <w:highlight w:val="none"/>
              </w:rPr>
              <w:t>暂存，</w:t>
            </w:r>
            <w:r>
              <w:rPr>
                <w:rFonts w:hint="eastAsia"/>
                <w:highlight w:val="none"/>
                <w:lang w:val="en-US" w:eastAsia="zh-CN"/>
              </w:rPr>
              <w:t>定期</w:t>
            </w:r>
            <w:r>
              <w:rPr>
                <w:rFonts w:hint="default"/>
                <w:color w:val="auto"/>
                <w:spacing w:val="-2"/>
                <w:highlight w:val="none"/>
              </w:rPr>
              <w:t>清运。企业通过加强日常管理，建立环境保护设施管理台账，定期检查，发现问题及时检修，保证废气处理设施稳定运行、达标排放，对周围环境的影响较小。</w:t>
            </w:r>
          </w:p>
          <w:p w14:paraId="0B7B7E77">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综上所述，本项目产生的废气采取上述措施处理后，均可实现稳定达标排放</w:t>
            </w:r>
            <w:r>
              <w:rPr>
                <w:rFonts w:hint="default"/>
                <w:color w:val="auto"/>
                <w:spacing w:val="-2"/>
                <w:highlight w:val="none"/>
                <w:lang w:eastAsia="zh-CN"/>
              </w:rPr>
              <w:t>。</w:t>
            </w:r>
            <w:r>
              <w:rPr>
                <w:rFonts w:hint="default"/>
                <w:color w:val="auto"/>
                <w:spacing w:val="-2"/>
                <w:highlight w:val="none"/>
              </w:rPr>
              <w:t>项目建设不会改变所在区域环境质量现状，大气环境影响可接受。</w:t>
            </w:r>
          </w:p>
          <w:p w14:paraId="151778D9">
            <w:pPr>
              <w:adjustRightInd w:val="0"/>
              <w:snapToGrid w:val="0"/>
              <w:spacing w:line="440" w:lineRule="exact"/>
              <w:ind w:firstLine="474" w:firstLineChars="200"/>
              <w:rPr>
                <w:rFonts w:hint="default"/>
                <w:b/>
                <w:bCs/>
                <w:color w:val="auto"/>
                <w:spacing w:val="-2"/>
                <w:highlight w:val="none"/>
              </w:rPr>
            </w:pPr>
            <w:r>
              <w:rPr>
                <w:rFonts w:hint="default"/>
                <w:b/>
                <w:bCs/>
                <w:color w:val="auto"/>
                <w:spacing w:val="-2"/>
                <w:highlight w:val="none"/>
              </w:rPr>
              <w:t>6.大气监测计划</w:t>
            </w:r>
          </w:p>
          <w:p w14:paraId="49B26F6D">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根据《排污单位自行监测技术指南总则》（HJ819-2017）、《排污单位自行监测技术指南酒、饮料制造》（HJ1085-2020）、《排污许可证申请与核发技术规范酒、饮料制造工业》（HJ1028-2019）、《排污单位自行监测技术指南火力发电及锅炉》（HJ820-2017）、《排污许可证申请与核发技术规范锅炉》（HJ953-2018）等文件中的相关要求，企业制定自行监测计划，并定期委托有资质的监测单位进行例行监测。项目废气监测内容见下表。</w:t>
            </w:r>
          </w:p>
          <w:p w14:paraId="7BC0F0EE">
            <w:pPr>
              <w:adjustRightInd w:val="0"/>
              <w:snapToGrid w:val="0"/>
              <w:spacing w:line="440" w:lineRule="exact"/>
              <w:ind w:firstLine="474" w:firstLineChars="200"/>
              <w:jc w:val="center"/>
              <w:rPr>
                <w:rFonts w:hint="default"/>
                <w:color w:val="auto"/>
                <w:spacing w:val="-2"/>
                <w:highlight w:val="none"/>
              </w:rPr>
            </w:pPr>
            <w:r>
              <w:rPr>
                <w:b/>
                <w:bCs/>
                <w:color w:val="auto"/>
                <w:spacing w:val="-2"/>
                <w:highlight w:val="none"/>
              </w:rPr>
              <w:t>表</w:t>
            </w:r>
            <w:r>
              <w:rPr>
                <w:rFonts w:ascii="Times New Roman" w:hAnsi="Times New Roman" w:eastAsia="Times New Roman" w:cs="Times New Roman"/>
                <w:b/>
                <w:bCs/>
                <w:color w:val="auto"/>
                <w:spacing w:val="-2"/>
                <w:highlight w:val="none"/>
              </w:rPr>
              <w:t>4-6</w:t>
            </w:r>
            <w:r>
              <w:rPr>
                <w:rFonts w:hint="default" w:eastAsia="宋体" w:cs="Times New Roman"/>
                <w:b/>
                <w:bCs/>
                <w:color w:val="auto"/>
                <w:spacing w:val="-2"/>
                <w:highlight w:val="none"/>
                <w:lang w:val="en-US" w:eastAsia="zh-CN"/>
              </w:rPr>
              <w:t xml:space="preserve">      </w:t>
            </w:r>
            <w:r>
              <w:rPr>
                <w:b/>
                <w:bCs/>
                <w:color w:val="auto"/>
                <w:spacing w:val="-2"/>
                <w:highlight w:val="none"/>
              </w:rPr>
              <w:t>大气污染源监测计划表</w:t>
            </w:r>
          </w:p>
          <w:tbl>
            <w:tblPr>
              <w:tblStyle w:val="118"/>
              <w:tblW w:w="9065" w:type="dxa"/>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358"/>
              <w:gridCol w:w="1947"/>
              <w:gridCol w:w="3301"/>
              <w:gridCol w:w="2459"/>
            </w:tblGrid>
            <w:tr w14:paraId="6D672D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5" w:hRule="atLeast"/>
              </w:trPr>
              <w:tc>
                <w:tcPr>
                  <w:tcW w:w="1358" w:type="dxa"/>
                  <w:vAlign w:val="center"/>
                </w:tcPr>
                <w:p w14:paraId="40E65520">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6"/>
                      <w:sz w:val="20"/>
                      <w:szCs w:val="20"/>
                      <w:highlight w:val="none"/>
                    </w:rPr>
                    <w:t>污染因素</w:t>
                  </w:r>
                </w:p>
              </w:tc>
              <w:tc>
                <w:tcPr>
                  <w:tcW w:w="1947" w:type="dxa"/>
                  <w:vAlign w:val="center"/>
                </w:tcPr>
                <w:p w14:paraId="1DED7CE9">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7"/>
                      <w:sz w:val="20"/>
                      <w:szCs w:val="20"/>
                      <w:highlight w:val="none"/>
                    </w:rPr>
                    <w:t>监测点位</w:t>
                  </w:r>
                </w:p>
              </w:tc>
              <w:tc>
                <w:tcPr>
                  <w:tcW w:w="3301" w:type="dxa"/>
                  <w:vAlign w:val="center"/>
                </w:tcPr>
                <w:p w14:paraId="285E908F">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7"/>
                      <w:sz w:val="20"/>
                      <w:szCs w:val="20"/>
                      <w:highlight w:val="none"/>
                    </w:rPr>
                    <w:t>监测因子</w:t>
                  </w:r>
                </w:p>
              </w:tc>
              <w:tc>
                <w:tcPr>
                  <w:tcW w:w="2459" w:type="dxa"/>
                  <w:vAlign w:val="center"/>
                </w:tcPr>
                <w:p w14:paraId="12249FAF">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7"/>
                      <w:sz w:val="20"/>
                      <w:szCs w:val="20"/>
                      <w:highlight w:val="none"/>
                    </w:rPr>
                    <w:t>监测频次</w:t>
                  </w:r>
                </w:p>
              </w:tc>
            </w:tr>
            <w:tr w14:paraId="2D0C9D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5" w:hRule="atLeast"/>
              </w:trPr>
              <w:tc>
                <w:tcPr>
                  <w:tcW w:w="1358" w:type="dxa"/>
                  <w:vMerge w:val="restart"/>
                  <w:vAlign w:val="center"/>
                </w:tcPr>
                <w:p w14:paraId="55C70965">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r>
                    <w:rPr>
                      <w:color w:val="auto"/>
                      <w:spacing w:val="5"/>
                      <w:sz w:val="20"/>
                      <w:szCs w:val="20"/>
                      <w:highlight w:val="none"/>
                    </w:rPr>
                    <w:t>废气</w:t>
                  </w:r>
                </w:p>
              </w:tc>
              <w:tc>
                <w:tcPr>
                  <w:tcW w:w="1947" w:type="dxa"/>
                  <w:vMerge w:val="restart"/>
                  <w:vAlign w:val="center"/>
                </w:tcPr>
                <w:p w14:paraId="19576615">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hint="default" w:ascii="Times New Roman" w:hAnsi="Times New Roman" w:eastAsia="宋体" w:cs="Times New Roman"/>
                      <w:color w:val="auto"/>
                      <w:sz w:val="20"/>
                      <w:szCs w:val="20"/>
                      <w:highlight w:val="none"/>
                      <w:lang w:eastAsia="zh-CN"/>
                    </w:rPr>
                  </w:pPr>
                  <w:r>
                    <w:rPr>
                      <w:rFonts w:hint="default" w:ascii="Times New Roman" w:hAnsi="Times New Roman" w:eastAsia="宋体" w:cs="Times New Roman"/>
                      <w:color w:val="auto"/>
                      <w:position w:val="2"/>
                      <w:sz w:val="20"/>
                      <w:szCs w:val="20"/>
                      <w:highlight w:val="none"/>
                      <w:lang w:eastAsia="zh-CN"/>
                    </w:rPr>
                    <w:t>DA001</w:t>
                  </w:r>
                </w:p>
              </w:tc>
              <w:tc>
                <w:tcPr>
                  <w:tcW w:w="3301" w:type="dxa"/>
                  <w:vAlign w:val="center"/>
                </w:tcPr>
                <w:p w14:paraId="067BF584">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7"/>
                      <w:sz w:val="20"/>
                      <w:szCs w:val="20"/>
                      <w:highlight w:val="none"/>
                    </w:rPr>
                    <w:t>氮氧化物</w:t>
                  </w:r>
                </w:p>
              </w:tc>
              <w:tc>
                <w:tcPr>
                  <w:tcW w:w="2459" w:type="dxa"/>
                  <w:vAlign w:val="center"/>
                </w:tcPr>
                <w:p w14:paraId="702AD804">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8"/>
                      <w:sz w:val="20"/>
                      <w:szCs w:val="20"/>
                      <w:highlight w:val="none"/>
                    </w:rPr>
                    <w:t>每月监测一次</w:t>
                  </w:r>
                </w:p>
              </w:tc>
            </w:tr>
            <w:tr w14:paraId="1E878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1358" w:type="dxa"/>
                  <w:vMerge w:val="continue"/>
                  <w:vAlign w:val="center"/>
                </w:tcPr>
                <w:p w14:paraId="243D2C29">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p>
              </w:tc>
              <w:tc>
                <w:tcPr>
                  <w:tcW w:w="1947" w:type="dxa"/>
                  <w:vMerge w:val="continue"/>
                  <w:vAlign w:val="center"/>
                </w:tcPr>
                <w:p w14:paraId="3B393602">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p>
              </w:tc>
              <w:tc>
                <w:tcPr>
                  <w:tcW w:w="3301" w:type="dxa"/>
                  <w:vAlign w:val="center"/>
                </w:tcPr>
                <w:p w14:paraId="0CF9F0B7">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7"/>
                      <w:sz w:val="20"/>
                      <w:szCs w:val="20"/>
                      <w:highlight w:val="none"/>
                    </w:rPr>
                    <w:t>颗粒物、二氧化硫、林格曼黑度</w:t>
                  </w:r>
                </w:p>
              </w:tc>
              <w:tc>
                <w:tcPr>
                  <w:tcW w:w="2459" w:type="dxa"/>
                  <w:vAlign w:val="center"/>
                </w:tcPr>
                <w:p w14:paraId="61DD0360">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8"/>
                      <w:sz w:val="20"/>
                      <w:szCs w:val="20"/>
                      <w:highlight w:val="none"/>
                    </w:rPr>
                    <w:t>每年监测一次</w:t>
                  </w:r>
                </w:p>
              </w:tc>
            </w:tr>
            <w:tr w14:paraId="3C24BC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1358" w:type="dxa"/>
                  <w:vMerge w:val="continue"/>
                  <w:vAlign w:val="center"/>
                </w:tcPr>
                <w:p w14:paraId="1FB6C246">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p>
              </w:tc>
              <w:tc>
                <w:tcPr>
                  <w:tcW w:w="1947" w:type="dxa"/>
                  <w:vAlign w:val="center"/>
                </w:tcPr>
                <w:p w14:paraId="5B71C2B2">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2"/>
                      <w:sz w:val="20"/>
                      <w:szCs w:val="20"/>
                      <w:highlight w:val="none"/>
                    </w:rPr>
                    <w:t>厂界无组织：上风</w:t>
                  </w:r>
                </w:p>
                <w:p w14:paraId="78E8875A">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z w:val="20"/>
                      <w:szCs w:val="20"/>
                      <w:highlight w:val="none"/>
                    </w:rPr>
                  </w:pPr>
                  <w:r>
                    <w:rPr>
                      <w:color w:val="auto"/>
                      <w:spacing w:val="1"/>
                      <w:position w:val="1"/>
                      <w:sz w:val="20"/>
                      <w:szCs w:val="20"/>
                      <w:highlight w:val="none"/>
                    </w:rPr>
                    <w:t>向</w:t>
                  </w:r>
                  <w:r>
                    <w:rPr>
                      <w:rFonts w:ascii="Times New Roman" w:hAnsi="Times New Roman" w:eastAsia="Times New Roman" w:cs="Times New Roman"/>
                      <w:color w:val="auto"/>
                      <w:spacing w:val="1"/>
                      <w:position w:val="1"/>
                      <w:sz w:val="20"/>
                      <w:szCs w:val="20"/>
                      <w:highlight w:val="none"/>
                    </w:rPr>
                    <w:t>1</w:t>
                  </w:r>
                  <w:r>
                    <w:rPr>
                      <w:color w:val="auto"/>
                      <w:spacing w:val="1"/>
                      <w:position w:val="1"/>
                      <w:sz w:val="20"/>
                      <w:szCs w:val="20"/>
                      <w:highlight w:val="none"/>
                    </w:rPr>
                    <w:t>个，下风向</w:t>
                  </w:r>
                  <w:r>
                    <w:rPr>
                      <w:rFonts w:ascii="Times New Roman" w:hAnsi="Times New Roman" w:eastAsia="Times New Roman" w:cs="Times New Roman"/>
                      <w:color w:val="auto"/>
                      <w:spacing w:val="1"/>
                      <w:position w:val="1"/>
                      <w:sz w:val="20"/>
                      <w:szCs w:val="20"/>
                      <w:highlight w:val="none"/>
                    </w:rPr>
                    <w:t>3</w:t>
                  </w:r>
                </w:p>
                <w:p w14:paraId="1A96DB89">
                  <w:pPr>
                    <w:pStyle w:val="119"/>
                    <w:keepNext w:val="0"/>
                    <w:keepLines w:val="0"/>
                    <w:pageBreakBefore w:val="0"/>
                    <w:widowControl w:val="0"/>
                    <w:kinsoku/>
                    <w:wordWrap/>
                    <w:overflowPunct/>
                    <w:topLinePunct w:val="0"/>
                    <w:autoSpaceDE/>
                    <w:autoSpaceDN/>
                    <w:bidi w:val="0"/>
                    <w:adjustRightInd/>
                    <w:snapToGrid/>
                    <w:spacing w:line="200" w:lineRule="exact"/>
                    <w:ind w:left="0" w:leftChars="0"/>
                    <w:jc w:val="center"/>
                    <w:textAlignment w:val="auto"/>
                    <w:rPr>
                      <w:rFonts w:ascii="Times New Roman"/>
                      <w:color w:val="auto"/>
                      <w:sz w:val="21"/>
                      <w:highlight w:val="none"/>
                    </w:rPr>
                  </w:pPr>
                  <w:r>
                    <w:rPr>
                      <w:color w:val="auto"/>
                      <w:sz w:val="20"/>
                      <w:szCs w:val="20"/>
                      <w:highlight w:val="none"/>
                    </w:rPr>
                    <w:t>个</w:t>
                  </w:r>
                </w:p>
              </w:tc>
              <w:tc>
                <w:tcPr>
                  <w:tcW w:w="3301" w:type="dxa"/>
                  <w:vAlign w:val="center"/>
                </w:tcPr>
                <w:p w14:paraId="535A3434">
                  <w:pPr>
                    <w:pStyle w:val="119"/>
                    <w:keepNext w:val="0"/>
                    <w:keepLines w:val="0"/>
                    <w:pageBreakBefore w:val="0"/>
                    <w:widowControl w:val="0"/>
                    <w:kinsoku/>
                    <w:wordWrap/>
                    <w:overflowPunct/>
                    <w:topLinePunct w:val="0"/>
                    <w:autoSpaceDE/>
                    <w:autoSpaceDN/>
                    <w:bidi w:val="0"/>
                    <w:adjustRightInd/>
                    <w:snapToGrid/>
                    <w:spacing w:line="200" w:lineRule="exact"/>
                    <w:ind w:left="0" w:leftChars="0"/>
                    <w:jc w:val="center"/>
                    <w:textAlignment w:val="auto"/>
                    <w:rPr>
                      <w:color w:val="auto"/>
                      <w:spacing w:val="7"/>
                      <w:sz w:val="20"/>
                      <w:szCs w:val="20"/>
                      <w:highlight w:val="none"/>
                    </w:rPr>
                  </w:pPr>
                  <w:r>
                    <w:rPr>
                      <w:color w:val="auto"/>
                      <w:spacing w:val="9"/>
                      <w:sz w:val="20"/>
                      <w:szCs w:val="20"/>
                      <w:highlight w:val="none"/>
                    </w:rPr>
                    <w:t>臭气浓度</w:t>
                  </w:r>
                </w:p>
              </w:tc>
              <w:tc>
                <w:tcPr>
                  <w:tcW w:w="2459" w:type="dxa"/>
                  <w:vAlign w:val="center"/>
                </w:tcPr>
                <w:p w14:paraId="5EF79809">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p>
                <w:p w14:paraId="54BC6A6A">
                  <w:pPr>
                    <w:pStyle w:val="119"/>
                    <w:keepNext w:val="0"/>
                    <w:keepLines w:val="0"/>
                    <w:pageBreakBefore w:val="0"/>
                    <w:widowControl w:val="0"/>
                    <w:kinsoku/>
                    <w:wordWrap/>
                    <w:overflowPunct/>
                    <w:topLinePunct w:val="0"/>
                    <w:autoSpaceDE/>
                    <w:autoSpaceDN/>
                    <w:bidi w:val="0"/>
                    <w:adjustRightInd/>
                    <w:snapToGrid/>
                    <w:spacing w:line="200" w:lineRule="exact"/>
                    <w:ind w:left="0" w:leftChars="0"/>
                    <w:jc w:val="center"/>
                    <w:textAlignment w:val="auto"/>
                    <w:rPr>
                      <w:color w:val="auto"/>
                      <w:spacing w:val="8"/>
                      <w:sz w:val="20"/>
                      <w:szCs w:val="20"/>
                      <w:highlight w:val="none"/>
                    </w:rPr>
                  </w:pPr>
                  <w:r>
                    <w:rPr>
                      <w:color w:val="auto"/>
                      <w:spacing w:val="8"/>
                      <w:sz w:val="20"/>
                      <w:szCs w:val="20"/>
                      <w:highlight w:val="none"/>
                    </w:rPr>
                    <w:t>每半年监测一次</w:t>
                  </w:r>
                </w:p>
              </w:tc>
            </w:tr>
          </w:tbl>
          <w:p w14:paraId="22341947">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以上污染源监测项目中如本企业监测有困难，可委托当地有资质的环境监测机构进行监测。原始监测记录保存期限不少于三年。环境保护部门在进行工程“三同时”验收时，对环境保护措施的实行情况进行审核，并定期对运营期的环境保护措施的落实与实施情况进行检查。</w:t>
            </w:r>
          </w:p>
          <w:p w14:paraId="4D142BD1">
            <w:pPr>
              <w:adjustRightInd w:val="0"/>
              <w:snapToGrid w:val="0"/>
              <w:spacing w:line="440" w:lineRule="exact"/>
              <w:rPr>
                <w:rFonts w:hint="default"/>
                <w:b/>
                <w:bCs/>
                <w:color w:val="auto"/>
                <w:highlight w:val="none"/>
              </w:rPr>
            </w:pPr>
            <w:r>
              <w:rPr>
                <w:rFonts w:hint="default"/>
                <w:b/>
                <w:bCs/>
                <w:color w:val="auto"/>
                <w:highlight w:val="none"/>
              </w:rPr>
              <w:t>二、废水</w:t>
            </w:r>
          </w:p>
          <w:p w14:paraId="4C0CC550">
            <w:pPr>
              <w:adjustRightInd w:val="0"/>
              <w:snapToGrid w:val="0"/>
              <w:spacing w:line="440" w:lineRule="exact"/>
              <w:rPr>
                <w:rFonts w:hint="default"/>
                <w:b/>
                <w:bCs/>
                <w:color w:val="auto"/>
                <w:spacing w:val="-2"/>
                <w:highlight w:val="none"/>
              </w:rPr>
            </w:pPr>
            <w:r>
              <w:rPr>
                <w:rFonts w:hint="default"/>
                <w:b/>
                <w:bCs/>
                <w:color w:val="auto"/>
                <w:spacing w:val="-2"/>
                <w:highlight w:val="none"/>
              </w:rPr>
              <w:t>1.废水产生情况</w:t>
            </w:r>
          </w:p>
          <w:p w14:paraId="01F97034">
            <w:pPr>
              <w:adjustRightInd w:val="0"/>
              <w:snapToGrid w:val="0"/>
              <w:spacing w:line="440" w:lineRule="exact"/>
              <w:ind w:firstLine="472" w:firstLineChars="200"/>
              <w:rPr>
                <w:rFonts w:hint="default" w:eastAsia="宋体"/>
                <w:color w:val="auto"/>
                <w:spacing w:val="-2"/>
                <w:highlight w:val="none"/>
                <w:lang w:val="en-US" w:eastAsia="zh-CN"/>
              </w:rPr>
            </w:pPr>
            <w:r>
              <w:rPr>
                <w:rFonts w:hint="default"/>
                <w:color w:val="auto"/>
                <w:spacing w:val="-2"/>
                <w:highlight w:val="none"/>
              </w:rPr>
              <w:t>根据前述给排水和水平衡分析，项目外排废水主要分为生活污水和生产废水，本项目生活污水排放总量为2.</w:t>
            </w:r>
            <w:r>
              <w:rPr>
                <w:rFonts w:hint="default"/>
                <w:color w:val="auto"/>
                <w:spacing w:val="-2"/>
                <w:highlight w:val="none"/>
                <w:lang w:val="en-US" w:eastAsia="zh-CN"/>
              </w:rPr>
              <w:t>04</w:t>
            </w:r>
            <w:r>
              <w:rPr>
                <w:rFonts w:hint="eastAsia"/>
                <w:color w:val="auto"/>
                <w:spacing w:val="-2"/>
                <w:highlight w:val="none"/>
                <w:lang w:eastAsia="zh-CN"/>
              </w:rPr>
              <w:t>m³</w:t>
            </w:r>
            <w:r>
              <w:rPr>
                <w:rFonts w:hint="default"/>
                <w:color w:val="auto"/>
                <w:spacing w:val="-2"/>
                <w:highlight w:val="none"/>
              </w:rPr>
              <w:t>/d（</w:t>
            </w:r>
            <w:r>
              <w:rPr>
                <w:rFonts w:hint="default"/>
                <w:color w:val="auto"/>
                <w:spacing w:val="-2"/>
                <w:highlight w:val="none"/>
                <w:lang w:val="en-US" w:eastAsia="zh-CN"/>
              </w:rPr>
              <w:t>122.4</w:t>
            </w:r>
            <w:r>
              <w:rPr>
                <w:rFonts w:hint="eastAsia"/>
                <w:color w:val="auto"/>
                <w:spacing w:val="-2"/>
                <w:highlight w:val="none"/>
                <w:lang w:eastAsia="zh-CN"/>
              </w:rPr>
              <w:t>m³</w:t>
            </w:r>
            <w:r>
              <w:rPr>
                <w:rFonts w:hint="default"/>
                <w:color w:val="auto"/>
                <w:spacing w:val="-2"/>
                <w:highlight w:val="none"/>
              </w:rPr>
              <w:t>/a），生产废水排放量为</w:t>
            </w:r>
            <w:r>
              <w:rPr>
                <w:rFonts w:hint="default"/>
                <w:color w:val="auto"/>
                <w:spacing w:val="-2"/>
                <w:highlight w:val="none"/>
                <w:lang w:val="en-US" w:eastAsia="zh-CN"/>
              </w:rPr>
              <w:t>13.2578</w:t>
            </w:r>
            <w:r>
              <w:rPr>
                <w:rFonts w:hint="eastAsia"/>
                <w:color w:val="auto"/>
                <w:spacing w:val="-2"/>
                <w:highlight w:val="none"/>
                <w:lang w:eastAsia="zh-CN"/>
              </w:rPr>
              <w:t>m³</w:t>
            </w:r>
            <w:r>
              <w:rPr>
                <w:rFonts w:hint="default"/>
                <w:color w:val="auto"/>
                <w:spacing w:val="-2"/>
                <w:highlight w:val="none"/>
              </w:rPr>
              <w:t>/a（</w:t>
            </w:r>
            <w:r>
              <w:rPr>
                <w:rFonts w:hint="default"/>
                <w:color w:val="auto"/>
                <w:spacing w:val="-2"/>
                <w:highlight w:val="none"/>
                <w:lang w:val="en-US" w:eastAsia="zh-CN"/>
              </w:rPr>
              <w:t>795.468</w:t>
            </w:r>
            <w:r>
              <w:rPr>
                <w:rFonts w:hint="eastAsia"/>
                <w:color w:val="auto"/>
                <w:spacing w:val="-2"/>
                <w:highlight w:val="none"/>
                <w:lang w:eastAsia="zh-CN"/>
              </w:rPr>
              <w:t>m³</w:t>
            </w:r>
            <w:r>
              <w:rPr>
                <w:rFonts w:hint="default"/>
                <w:color w:val="auto"/>
                <w:spacing w:val="-2"/>
                <w:highlight w:val="none"/>
              </w:rPr>
              <w:t>/a）。项目废水，经项目区东南角的沉砂池沉淀后，送往西南方向的番茄酱厂污水处理站处理满足《污水综合排放标准》（GB8978-1996）及修改单三级标准及园区废水处理厂进水水质要求后，通过园区污水收集管网，送往农副产品加工基地污水处理厂，处理水质达到《城市污水再生利用 农田灌溉用水水质》（GB20922-2007）后，用于水果园浇灌</w:t>
            </w:r>
            <w:r>
              <w:rPr>
                <w:rFonts w:hint="default"/>
                <w:color w:val="auto"/>
                <w:spacing w:val="-2"/>
                <w:highlight w:val="none"/>
                <w:lang w:val="en-US" w:eastAsia="zh-CN"/>
              </w:rPr>
              <w:t>。</w:t>
            </w:r>
          </w:p>
          <w:p w14:paraId="7935AA59">
            <w:pPr>
              <w:adjustRightInd w:val="0"/>
              <w:snapToGrid w:val="0"/>
              <w:spacing w:line="440" w:lineRule="exact"/>
              <w:ind w:firstLine="484" w:firstLineChars="200"/>
              <w:rPr>
                <w:rFonts w:hint="default"/>
                <w:color w:val="auto"/>
                <w:spacing w:val="-2"/>
                <w:highlight w:val="none"/>
              </w:rPr>
            </w:pPr>
            <w:r>
              <w:rPr>
                <w:color w:val="auto"/>
                <w:spacing w:val="1"/>
                <w:highlight w:val="none"/>
              </w:rPr>
              <w:t>项目生活污水中主要污染物为</w:t>
            </w:r>
            <w:r>
              <w:rPr>
                <w:rFonts w:ascii="Times New Roman" w:hAnsi="Times New Roman" w:eastAsia="Times New Roman" w:cs="Times New Roman"/>
                <w:color w:val="auto"/>
                <w:highlight w:val="none"/>
              </w:rPr>
              <w:t>COD</w:t>
            </w:r>
            <w:r>
              <w:rPr>
                <w:rFonts w:ascii="Times New Roman" w:hAnsi="Times New Roman" w:eastAsia="Times New Roman" w:cs="Times New Roman"/>
                <w:color w:val="auto"/>
                <w:position w:val="-1"/>
                <w:sz w:val="15"/>
                <w:szCs w:val="15"/>
                <w:highlight w:val="none"/>
              </w:rPr>
              <w:t>Cr</w:t>
            </w:r>
            <w:r>
              <w:rPr>
                <w:color w:val="auto"/>
                <w:spacing w:val="1"/>
                <w:highlight w:val="none"/>
              </w:rPr>
              <w:t>、</w:t>
            </w:r>
            <w:r>
              <w:rPr>
                <w:rFonts w:ascii="Times New Roman" w:hAnsi="Times New Roman" w:eastAsia="Times New Roman" w:cs="Times New Roman"/>
                <w:color w:val="auto"/>
                <w:highlight w:val="none"/>
              </w:rPr>
              <w:t>BOD</w:t>
            </w:r>
            <w:r>
              <w:rPr>
                <w:rFonts w:ascii="Times New Roman" w:hAnsi="Times New Roman" w:eastAsia="Times New Roman" w:cs="Times New Roman"/>
                <w:color w:val="auto"/>
                <w:spacing w:val="1"/>
                <w:position w:val="-1"/>
                <w:sz w:val="15"/>
                <w:szCs w:val="15"/>
                <w:highlight w:val="none"/>
              </w:rPr>
              <w:t>5</w:t>
            </w:r>
            <w:r>
              <w:rPr>
                <w:color w:val="auto"/>
                <w:spacing w:val="1"/>
                <w:highlight w:val="none"/>
              </w:rPr>
              <w:t>、</w:t>
            </w:r>
            <w:r>
              <w:rPr>
                <w:rFonts w:ascii="Times New Roman" w:hAnsi="Times New Roman" w:eastAsia="Times New Roman" w:cs="Times New Roman"/>
                <w:color w:val="auto"/>
                <w:highlight w:val="none"/>
              </w:rPr>
              <w:t>SS</w:t>
            </w:r>
            <w:r>
              <w:rPr>
                <w:color w:val="auto"/>
                <w:spacing w:val="1"/>
                <w:highlight w:val="none"/>
              </w:rPr>
              <w:t>、</w:t>
            </w:r>
            <w:r>
              <w:rPr>
                <w:rFonts w:ascii="Times New Roman" w:hAnsi="Times New Roman" w:eastAsia="Times New Roman" w:cs="Times New Roman"/>
                <w:color w:val="auto"/>
                <w:highlight w:val="none"/>
              </w:rPr>
              <w:t>NH</w:t>
            </w:r>
            <w:r>
              <w:rPr>
                <w:rFonts w:ascii="Times New Roman" w:hAnsi="Times New Roman" w:eastAsia="Times New Roman" w:cs="Times New Roman"/>
                <w:color w:val="auto"/>
                <w:spacing w:val="1"/>
                <w:position w:val="-1"/>
                <w:sz w:val="15"/>
                <w:szCs w:val="15"/>
                <w:highlight w:val="none"/>
              </w:rPr>
              <w:t>3</w:t>
            </w:r>
            <w:r>
              <w:rPr>
                <w:rFonts w:ascii="Times New Roman" w:hAnsi="Times New Roman" w:eastAsia="Times New Roman" w:cs="Times New Roman"/>
                <w:color w:val="auto"/>
                <w:spacing w:val="1"/>
                <w:highlight w:val="none"/>
              </w:rPr>
              <w:t>-N</w:t>
            </w:r>
            <w:r>
              <w:rPr>
                <w:color w:val="auto"/>
                <w:spacing w:val="1"/>
                <w:highlight w:val="none"/>
              </w:rPr>
              <w:t>，考</w:t>
            </w:r>
            <w:r>
              <w:rPr>
                <w:color w:val="auto"/>
                <w:highlight w:val="none"/>
              </w:rPr>
              <w:t>虑到本项目</w:t>
            </w:r>
            <w:r>
              <w:rPr>
                <w:color w:val="auto"/>
                <w:spacing w:val="1"/>
                <w:highlight w:val="none"/>
              </w:rPr>
              <w:t>员工生活污水主要来自日常洗手、上厕所等，生活污</w:t>
            </w:r>
            <w:r>
              <w:rPr>
                <w:color w:val="auto"/>
                <w:highlight w:val="none"/>
              </w:rPr>
              <w:t>水中污染物浓度较一般居民</w:t>
            </w:r>
            <w:r>
              <w:rPr>
                <w:color w:val="auto"/>
                <w:spacing w:val="1"/>
                <w:highlight w:val="none"/>
              </w:rPr>
              <w:t>生活污水浓度低，</w:t>
            </w:r>
            <w:r>
              <w:rPr>
                <w:rFonts w:hint="default"/>
                <w:color w:val="auto"/>
                <w:spacing w:val="-2"/>
                <w:highlight w:val="none"/>
              </w:rPr>
              <w:t>废水主要污染物及产生浓度为pH6~9、COD350mg/L、BOD</w:t>
            </w:r>
            <w:r>
              <w:rPr>
                <w:rFonts w:hint="default"/>
                <w:color w:val="auto"/>
                <w:spacing w:val="-2"/>
                <w:highlight w:val="none"/>
                <w:vertAlign w:val="subscript"/>
              </w:rPr>
              <w:t>5</w:t>
            </w:r>
            <w:r>
              <w:rPr>
                <w:rFonts w:hint="default"/>
                <w:color w:val="auto"/>
                <w:spacing w:val="-2"/>
                <w:highlight w:val="none"/>
              </w:rPr>
              <w:t>250mg/L、氨氮30mg/L、SS300mg/L、总氮45mg/L、总磷3mg/L。</w:t>
            </w:r>
          </w:p>
          <w:p w14:paraId="038FBA0C">
            <w:pPr>
              <w:adjustRightInd w:val="0"/>
              <w:snapToGrid w:val="0"/>
              <w:spacing w:line="440" w:lineRule="exact"/>
              <w:ind w:firstLine="474" w:firstLineChars="200"/>
              <w:jc w:val="center"/>
              <w:rPr>
                <w:rFonts w:hint="default"/>
                <w:b/>
                <w:bCs/>
                <w:color w:val="auto"/>
                <w:spacing w:val="-2"/>
                <w:highlight w:val="none"/>
                <w:lang w:eastAsia="zh-CN"/>
              </w:rPr>
            </w:pPr>
            <w:r>
              <w:rPr>
                <w:b/>
                <w:bCs/>
                <w:color w:val="auto"/>
                <w:spacing w:val="-2"/>
                <w:highlight w:val="none"/>
              </w:rPr>
              <w:t>表4</w:t>
            </w:r>
            <w:r>
              <w:rPr>
                <w:rFonts w:hint="default"/>
                <w:b/>
                <w:bCs/>
                <w:color w:val="auto"/>
                <w:spacing w:val="-2"/>
                <w:highlight w:val="none"/>
                <w:lang w:val="en-US" w:eastAsia="zh-CN"/>
              </w:rPr>
              <w:t xml:space="preserve">-7       </w:t>
            </w:r>
            <w:r>
              <w:rPr>
                <w:b/>
                <w:bCs/>
                <w:color w:val="auto"/>
                <w:spacing w:val="-2"/>
                <w:highlight w:val="none"/>
              </w:rPr>
              <w:t>生活污水污染源产生及排放情况一览表</w:t>
            </w:r>
          </w:p>
          <w:tbl>
            <w:tblPr>
              <w:tblStyle w:val="118"/>
              <w:tblW w:w="9075" w:type="dxa"/>
              <w:tblInd w:w="-41"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936"/>
              <w:gridCol w:w="1334"/>
              <w:gridCol w:w="520"/>
              <w:gridCol w:w="1173"/>
              <w:gridCol w:w="1233"/>
              <w:gridCol w:w="1407"/>
              <w:gridCol w:w="1227"/>
              <w:gridCol w:w="1245"/>
            </w:tblGrid>
            <w:tr w14:paraId="04A7FB5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Align w:val="center"/>
                </w:tcPr>
                <w:p w14:paraId="2A741A36">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5"/>
                      <w:sz w:val="18"/>
                      <w:szCs w:val="18"/>
                      <w:highlight w:val="none"/>
                    </w:rPr>
                    <w:t>废水</w:t>
                  </w:r>
                  <w:r>
                    <w:rPr>
                      <w:color w:val="auto"/>
                      <w:sz w:val="18"/>
                      <w:szCs w:val="18"/>
                      <w:highlight w:val="none"/>
                    </w:rPr>
                    <w:t>量</w:t>
                  </w:r>
                </w:p>
              </w:tc>
              <w:tc>
                <w:tcPr>
                  <w:tcW w:w="2857" w:type="dxa"/>
                  <w:gridSpan w:val="3"/>
                  <w:vAlign w:val="center"/>
                </w:tcPr>
                <w:p w14:paraId="71B964FA">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6"/>
                      <w:sz w:val="18"/>
                      <w:szCs w:val="18"/>
                      <w:highlight w:val="none"/>
                    </w:rPr>
                    <w:t>污染因子</w:t>
                  </w:r>
                </w:p>
              </w:tc>
              <w:tc>
                <w:tcPr>
                  <w:tcW w:w="1163" w:type="dxa"/>
                  <w:vAlign w:val="center"/>
                </w:tcPr>
                <w:p w14:paraId="4C3DEAFA">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3"/>
                      <w:sz w:val="18"/>
                      <w:szCs w:val="18"/>
                      <w:highlight w:val="none"/>
                    </w:rPr>
                    <w:t>COD</w:t>
                  </w:r>
                  <w:r>
                    <w:rPr>
                      <w:rFonts w:ascii="Times New Roman" w:hAnsi="Times New Roman" w:eastAsia="Times New Roman" w:cs="Times New Roman"/>
                      <w:color w:val="auto"/>
                      <w:spacing w:val="3"/>
                      <w:position w:val="-1"/>
                      <w:sz w:val="18"/>
                      <w:szCs w:val="18"/>
                      <w:highlight w:val="none"/>
                    </w:rPr>
                    <w:t>Cr</w:t>
                  </w:r>
                </w:p>
              </w:tc>
              <w:tc>
                <w:tcPr>
                  <w:tcW w:w="1328" w:type="dxa"/>
                  <w:vAlign w:val="center"/>
                </w:tcPr>
                <w:p w14:paraId="4B707993">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5"/>
                      <w:sz w:val="18"/>
                      <w:szCs w:val="18"/>
                      <w:highlight w:val="none"/>
                    </w:rPr>
                    <w:t>BOD</w:t>
                  </w:r>
                  <w:r>
                    <w:rPr>
                      <w:rFonts w:ascii="Times New Roman" w:hAnsi="Times New Roman" w:eastAsia="Times New Roman" w:cs="Times New Roman"/>
                      <w:color w:val="auto"/>
                      <w:spacing w:val="5"/>
                      <w:position w:val="-1"/>
                      <w:sz w:val="18"/>
                      <w:szCs w:val="18"/>
                      <w:highlight w:val="none"/>
                    </w:rPr>
                    <w:t>5</w:t>
                  </w:r>
                </w:p>
              </w:tc>
              <w:tc>
                <w:tcPr>
                  <w:tcW w:w="1158" w:type="dxa"/>
                  <w:vAlign w:val="center"/>
                </w:tcPr>
                <w:p w14:paraId="0641B2CA">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3"/>
                      <w:sz w:val="18"/>
                      <w:szCs w:val="18"/>
                      <w:highlight w:val="none"/>
                    </w:rPr>
                    <w:t>SS</w:t>
                  </w:r>
                </w:p>
              </w:tc>
              <w:tc>
                <w:tcPr>
                  <w:tcW w:w="1174" w:type="dxa"/>
                  <w:vAlign w:val="center"/>
                </w:tcPr>
                <w:p w14:paraId="2A7A4E46">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NH</w:t>
                  </w:r>
                  <w:r>
                    <w:rPr>
                      <w:rFonts w:ascii="Times New Roman" w:hAnsi="Times New Roman" w:eastAsia="Times New Roman" w:cs="Times New Roman"/>
                      <w:color w:val="auto"/>
                      <w:spacing w:val="9"/>
                      <w:position w:val="-1"/>
                      <w:sz w:val="18"/>
                      <w:szCs w:val="18"/>
                      <w:highlight w:val="none"/>
                    </w:rPr>
                    <w:t>3</w:t>
                  </w:r>
                  <w:r>
                    <w:rPr>
                      <w:rFonts w:ascii="Times New Roman" w:hAnsi="Times New Roman" w:eastAsia="Times New Roman" w:cs="Times New Roman"/>
                      <w:color w:val="auto"/>
                      <w:spacing w:val="9"/>
                      <w:sz w:val="18"/>
                      <w:szCs w:val="18"/>
                      <w:highlight w:val="none"/>
                    </w:rPr>
                    <w:t>-N</w:t>
                  </w:r>
                </w:p>
              </w:tc>
            </w:tr>
            <w:tr w14:paraId="1960EAD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Merge w:val="restart"/>
                  <w:tcBorders>
                    <w:bottom w:val="nil"/>
                  </w:tcBorders>
                  <w:vAlign w:val="center"/>
                </w:tcPr>
                <w:p w14:paraId="2645379F">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hAnsi="Times New Roman" w:eastAsia="Times New Roman" w:cs="Times New Roman"/>
                      <w:color w:val="auto"/>
                      <w:sz w:val="18"/>
                      <w:szCs w:val="18"/>
                      <w:highlight w:val="none"/>
                    </w:rPr>
                  </w:pPr>
                  <w:r>
                    <w:rPr>
                      <w:color w:val="auto"/>
                      <w:spacing w:val="3"/>
                      <w:sz w:val="18"/>
                      <w:szCs w:val="18"/>
                      <w:highlight w:val="none"/>
                    </w:rPr>
                    <w:t>生活</w:t>
                  </w:r>
                  <w:r>
                    <w:rPr>
                      <w:color w:val="auto"/>
                      <w:spacing w:val="17"/>
                      <w:sz w:val="18"/>
                      <w:szCs w:val="18"/>
                      <w:highlight w:val="none"/>
                    </w:rPr>
                    <w:t>污水</w:t>
                  </w:r>
                  <w:r>
                    <w:rPr>
                      <w:rFonts w:hint="default" w:eastAsia="宋体"/>
                      <w:color w:val="auto"/>
                      <w:spacing w:val="17"/>
                      <w:sz w:val="18"/>
                      <w:szCs w:val="18"/>
                      <w:highlight w:val="none"/>
                      <w:lang w:val="en-US" w:eastAsia="zh-CN"/>
                    </w:rPr>
                    <w:t>122.4</w:t>
                  </w:r>
                  <w:r>
                    <w:rPr>
                      <w:rFonts w:hint="eastAsia" w:eastAsia="宋体" w:cs="Times New Roman"/>
                      <w:color w:val="auto"/>
                      <w:spacing w:val="3"/>
                      <w:sz w:val="18"/>
                      <w:szCs w:val="18"/>
                      <w:highlight w:val="none"/>
                      <w:lang w:eastAsia="zh-CN"/>
                    </w:rPr>
                    <w:t>m³</w:t>
                  </w:r>
                  <w:r>
                    <w:rPr>
                      <w:rFonts w:ascii="Times New Roman" w:hAnsi="Times New Roman" w:eastAsia="Times New Roman" w:cs="Times New Roman"/>
                      <w:color w:val="auto"/>
                      <w:spacing w:val="3"/>
                      <w:sz w:val="18"/>
                      <w:szCs w:val="18"/>
                      <w:highlight w:val="none"/>
                    </w:rPr>
                    <w:t>/a</w:t>
                  </w:r>
                </w:p>
              </w:tc>
              <w:tc>
                <w:tcPr>
                  <w:tcW w:w="2857" w:type="dxa"/>
                  <w:gridSpan w:val="3"/>
                  <w:vAlign w:val="center"/>
                </w:tcPr>
                <w:p w14:paraId="705B73CD">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7"/>
                      <w:sz w:val="18"/>
                      <w:szCs w:val="18"/>
                      <w:highlight w:val="none"/>
                    </w:rPr>
                    <w:t>产生浓度（</w:t>
                  </w:r>
                  <w:r>
                    <w:rPr>
                      <w:rFonts w:ascii="Times New Roman" w:hAnsi="Times New Roman" w:eastAsia="Times New Roman" w:cs="Times New Roman"/>
                      <w:color w:val="auto"/>
                      <w:sz w:val="18"/>
                      <w:szCs w:val="18"/>
                      <w:highlight w:val="none"/>
                    </w:rPr>
                    <w:t>mg</w:t>
                  </w:r>
                  <w:r>
                    <w:rPr>
                      <w:rFonts w:ascii="Times New Roman" w:hAnsi="Times New Roman" w:eastAsia="Times New Roman" w:cs="Times New Roman"/>
                      <w:color w:val="auto"/>
                      <w:spacing w:val="7"/>
                      <w:sz w:val="18"/>
                      <w:szCs w:val="18"/>
                      <w:highlight w:val="none"/>
                    </w:rPr>
                    <w:t>/L</w:t>
                  </w:r>
                  <w:r>
                    <w:rPr>
                      <w:color w:val="auto"/>
                      <w:spacing w:val="7"/>
                      <w:sz w:val="18"/>
                      <w:szCs w:val="18"/>
                      <w:highlight w:val="none"/>
                    </w:rPr>
                    <w:t>）</w:t>
                  </w:r>
                </w:p>
              </w:tc>
              <w:tc>
                <w:tcPr>
                  <w:tcW w:w="1163" w:type="dxa"/>
                  <w:vAlign w:val="center"/>
                </w:tcPr>
                <w:p w14:paraId="6598B6C9">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350</w:t>
                  </w:r>
                </w:p>
              </w:tc>
              <w:tc>
                <w:tcPr>
                  <w:tcW w:w="1328" w:type="dxa"/>
                  <w:vAlign w:val="center"/>
                </w:tcPr>
                <w:p w14:paraId="13221E43">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250</w:t>
                  </w:r>
                </w:p>
              </w:tc>
              <w:tc>
                <w:tcPr>
                  <w:tcW w:w="1158" w:type="dxa"/>
                  <w:vAlign w:val="center"/>
                </w:tcPr>
                <w:p w14:paraId="3FC42694">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300</w:t>
                  </w:r>
                </w:p>
              </w:tc>
              <w:tc>
                <w:tcPr>
                  <w:tcW w:w="1174" w:type="dxa"/>
                  <w:vAlign w:val="center"/>
                </w:tcPr>
                <w:p w14:paraId="693647D4">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pacing w:val="2"/>
                      <w:sz w:val="18"/>
                      <w:szCs w:val="18"/>
                      <w:highlight w:val="none"/>
                      <w:lang w:val="en-US" w:eastAsia="zh-CN"/>
                    </w:rPr>
                    <w:t>30</w:t>
                  </w:r>
                </w:p>
              </w:tc>
            </w:tr>
            <w:tr w14:paraId="48870E1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Merge w:val="continue"/>
                  <w:tcBorders>
                    <w:top w:val="nil"/>
                    <w:bottom w:val="nil"/>
                  </w:tcBorders>
                  <w:vAlign w:val="center"/>
                </w:tcPr>
                <w:p w14:paraId="2F38FA99">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color w:val="auto"/>
                      <w:sz w:val="18"/>
                      <w:szCs w:val="18"/>
                      <w:highlight w:val="none"/>
                    </w:rPr>
                  </w:pPr>
                </w:p>
              </w:tc>
              <w:tc>
                <w:tcPr>
                  <w:tcW w:w="2857" w:type="dxa"/>
                  <w:gridSpan w:val="3"/>
                  <w:vAlign w:val="center"/>
                </w:tcPr>
                <w:p w14:paraId="42FABAA1">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4"/>
                      <w:sz w:val="18"/>
                      <w:szCs w:val="18"/>
                      <w:highlight w:val="none"/>
                    </w:rPr>
                    <w:t>产生量（</w:t>
                  </w:r>
                  <w:r>
                    <w:rPr>
                      <w:rFonts w:ascii="Times New Roman" w:hAnsi="Times New Roman" w:eastAsia="Times New Roman" w:cs="Times New Roman"/>
                      <w:color w:val="auto"/>
                      <w:spacing w:val="4"/>
                      <w:sz w:val="18"/>
                      <w:szCs w:val="18"/>
                      <w:highlight w:val="none"/>
                    </w:rPr>
                    <w:t>t/a</w:t>
                  </w:r>
                  <w:r>
                    <w:rPr>
                      <w:color w:val="auto"/>
                      <w:spacing w:val="4"/>
                      <w:sz w:val="18"/>
                      <w:szCs w:val="18"/>
                      <w:highlight w:val="none"/>
                    </w:rPr>
                    <w:t>）</w:t>
                  </w:r>
                </w:p>
              </w:tc>
              <w:tc>
                <w:tcPr>
                  <w:tcW w:w="1163" w:type="dxa"/>
                  <w:vAlign w:val="center"/>
                </w:tcPr>
                <w:p w14:paraId="49F07433">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pacing w:val="2"/>
                      <w:sz w:val="18"/>
                      <w:szCs w:val="18"/>
                      <w:highlight w:val="none"/>
                      <w:lang w:val="en-US" w:eastAsia="zh-CN"/>
                    </w:rPr>
                    <w:t>0.04284</w:t>
                  </w:r>
                </w:p>
              </w:tc>
              <w:tc>
                <w:tcPr>
                  <w:tcW w:w="1328" w:type="dxa"/>
                  <w:vAlign w:val="center"/>
                </w:tcPr>
                <w:p w14:paraId="0F3A3CFF">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pacing w:val="-3"/>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0.0306</w:t>
                  </w:r>
                </w:p>
              </w:tc>
              <w:tc>
                <w:tcPr>
                  <w:tcW w:w="1158" w:type="dxa"/>
                  <w:vAlign w:val="center"/>
                </w:tcPr>
                <w:p w14:paraId="648CCCB9">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pacing w:val="-3"/>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0.03672</w:t>
                  </w:r>
                </w:p>
              </w:tc>
              <w:tc>
                <w:tcPr>
                  <w:tcW w:w="1174" w:type="dxa"/>
                  <w:vAlign w:val="center"/>
                </w:tcPr>
                <w:p w14:paraId="1F95B204">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pacing w:val="-3"/>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0.003672</w:t>
                  </w:r>
                </w:p>
              </w:tc>
            </w:tr>
            <w:tr w14:paraId="55C7F11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Merge w:val="continue"/>
                  <w:tcBorders>
                    <w:top w:val="nil"/>
                    <w:bottom w:val="nil"/>
                  </w:tcBorders>
                  <w:vAlign w:val="center"/>
                </w:tcPr>
                <w:p w14:paraId="2120C8AD">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color w:val="auto"/>
                      <w:sz w:val="18"/>
                      <w:szCs w:val="18"/>
                      <w:highlight w:val="none"/>
                    </w:rPr>
                  </w:pPr>
                </w:p>
              </w:tc>
              <w:tc>
                <w:tcPr>
                  <w:tcW w:w="1259" w:type="dxa"/>
                  <w:vMerge w:val="restart"/>
                  <w:tcBorders>
                    <w:bottom w:val="nil"/>
                  </w:tcBorders>
                  <w:vAlign w:val="center"/>
                </w:tcPr>
                <w:p w14:paraId="63E056D8">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6"/>
                      <w:sz w:val="18"/>
                      <w:szCs w:val="18"/>
                      <w:highlight w:val="none"/>
                    </w:rPr>
                    <w:t>厂内处理</w:t>
                  </w:r>
                  <w:r>
                    <w:rPr>
                      <w:color w:val="auto"/>
                      <w:spacing w:val="4"/>
                      <w:sz w:val="18"/>
                      <w:szCs w:val="18"/>
                      <w:highlight w:val="none"/>
                    </w:rPr>
                    <w:t>措施</w:t>
                  </w:r>
                </w:p>
              </w:tc>
              <w:tc>
                <w:tcPr>
                  <w:tcW w:w="1598" w:type="dxa"/>
                  <w:gridSpan w:val="2"/>
                  <w:vAlign w:val="center"/>
                </w:tcPr>
                <w:p w14:paraId="726D9C57">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2"/>
                      <w:sz w:val="18"/>
                      <w:szCs w:val="18"/>
                      <w:highlight w:val="none"/>
                    </w:rPr>
                    <w:t>处理</w:t>
                  </w:r>
                </w:p>
              </w:tc>
              <w:tc>
                <w:tcPr>
                  <w:tcW w:w="4823" w:type="dxa"/>
                  <w:gridSpan w:val="4"/>
                  <w:vAlign w:val="center"/>
                </w:tcPr>
                <w:p w14:paraId="790C9F79">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7"/>
                      <w:sz w:val="18"/>
                      <w:szCs w:val="18"/>
                      <w:highlight w:val="none"/>
                    </w:rPr>
                    <w:t>化粪池处理</w:t>
                  </w:r>
                </w:p>
              </w:tc>
            </w:tr>
            <w:tr w14:paraId="47211C7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Merge w:val="continue"/>
                  <w:tcBorders>
                    <w:top w:val="nil"/>
                    <w:bottom w:val="nil"/>
                  </w:tcBorders>
                  <w:vAlign w:val="center"/>
                </w:tcPr>
                <w:p w14:paraId="570CACB9">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color w:val="auto"/>
                      <w:sz w:val="18"/>
                      <w:szCs w:val="18"/>
                      <w:highlight w:val="none"/>
                    </w:rPr>
                  </w:pPr>
                </w:p>
              </w:tc>
              <w:tc>
                <w:tcPr>
                  <w:tcW w:w="1259" w:type="dxa"/>
                  <w:vMerge w:val="continue"/>
                  <w:tcBorders>
                    <w:top w:val="nil"/>
                    <w:bottom w:val="nil"/>
                  </w:tcBorders>
                  <w:vAlign w:val="center"/>
                </w:tcPr>
                <w:p w14:paraId="7095D4F4">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color w:val="auto"/>
                      <w:sz w:val="18"/>
                      <w:szCs w:val="18"/>
                      <w:highlight w:val="none"/>
                    </w:rPr>
                  </w:pPr>
                </w:p>
              </w:tc>
              <w:tc>
                <w:tcPr>
                  <w:tcW w:w="1598" w:type="dxa"/>
                  <w:gridSpan w:val="2"/>
                  <w:vAlign w:val="center"/>
                </w:tcPr>
                <w:p w14:paraId="12EB65B5">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2"/>
                      <w:sz w:val="18"/>
                      <w:szCs w:val="18"/>
                      <w:highlight w:val="none"/>
                    </w:rPr>
                    <w:t>效果</w:t>
                  </w:r>
                </w:p>
              </w:tc>
              <w:tc>
                <w:tcPr>
                  <w:tcW w:w="1163" w:type="dxa"/>
                  <w:vAlign w:val="center"/>
                </w:tcPr>
                <w:p w14:paraId="0AD1DCC8">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2"/>
                      <w:sz w:val="18"/>
                      <w:szCs w:val="18"/>
                      <w:highlight w:val="none"/>
                    </w:rPr>
                    <w:t>15%</w:t>
                  </w:r>
                </w:p>
              </w:tc>
              <w:tc>
                <w:tcPr>
                  <w:tcW w:w="1328" w:type="dxa"/>
                  <w:vAlign w:val="center"/>
                </w:tcPr>
                <w:p w14:paraId="62EDB9FF">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2"/>
                      <w:sz w:val="18"/>
                      <w:szCs w:val="18"/>
                      <w:highlight w:val="none"/>
                    </w:rPr>
                    <w:t>9%</w:t>
                  </w:r>
                </w:p>
              </w:tc>
              <w:tc>
                <w:tcPr>
                  <w:tcW w:w="1158" w:type="dxa"/>
                  <w:vAlign w:val="center"/>
                </w:tcPr>
                <w:p w14:paraId="2B4EC9A0">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3"/>
                      <w:sz w:val="18"/>
                      <w:szCs w:val="18"/>
                      <w:highlight w:val="none"/>
                    </w:rPr>
                    <w:t>30%</w:t>
                  </w:r>
                </w:p>
              </w:tc>
              <w:tc>
                <w:tcPr>
                  <w:tcW w:w="1174" w:type="dxa"/>
                  <w:vAlign w:val="center"/>
                </w:tcPr>
                <w:p w14:paraId="0C46BB0D">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2"/>
                      <w:sz w:val="18"/>
                      <w:szCs w:val="18"/>
                      <w:highlight w:val="none"/>
                    </w:rPr>
                    <w:t>3%</w:t>
                  </w:r>
                </w:p>
              </w:tc>
            </w:tr>
            <w:tr w14:paraId="31FD439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Merge w:val="continue"/>
                  <w:tcBorders>
                    <w:top w:val="nil"/>
                    <w:bottom w:val="nil"/>
                  </w:tcBorders>
                  <w:vAlign w:val="center"/>
                </w:tcPr>
                <w:p w14:paraId="601DD167">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color w:val="auto"/>
                      <w:sz w:val="18"/>
                      <w:szCs w:val="18"/>
                      <w:highlight w:val="none"/>
                    </w:rPr>
                  </w:pPr>
                </w:p>
              </w:tc>
              <w:tc>
                <w:tcPr>
                  <w:tcW w:w="1259" w:type="dxa"/>
                  <w:vMerge w:val="continue"/>
                  <w:tcBorders>
                    <w:top w:val="nil"/>
                  </w:tcBorders>
                  <w:vAlign w:val="center"/>
                </w:tcPr>
                <w:p w14:paraId="787BC6B4">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color w:val="auto"/>
                      <w:sz w:val="18"/>
                      <w:szCs w:val="18"/>
                      <w:highlight w:val="none"/>
                    </w:rPr>
                  </w:pPr>
                </w:p>
              </w:tc>
              <w:tc>
                <w:tcPr>
                  <w:tcW w:w="1598" w:type="dxa"/>
                  <w:gridSpan w:val="2"/>
                  <w:vAlign w:val="center"/>
                </w:tcPr>
                <w:p w14:paraId="5BE92159">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7"/>
                      <w:sz w:val="18"/>
                      <w:szCs w:val="18"/>
                      <w:highlight w:val="none"/>
                    </w:rPr>
                    <w:t>排水去向</w:t>
                  </w:r>
                </w:p>
              </w:tc>
              <w:tc>
                <w:tcPr>
                  <w:tcW w:w="4823" w:type="dxa"/>
                  <w:gridSpan w:val="4"/>
                  <w:vAlign w:val="center"/>
                </w:tcPr>
                <w:p w14:paraId="5629E372">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eastAsia="宋体"/>
                      <w:color w:val="auto"/>
                      <w:sz w:val="18"/>
                      <w:szCs w:val="18"/>
                      <w:highlight w:val="none"/>
                      <w:lang w:val="en-US" w:eastAsia="zh-CN"/>
                    </w:rPr>
                  </w:pPr>
                  <w:r>
                    <w:rPr>
                      <w:color w:val="auto"/>
                      <w:spacing w:val="9"/>
                      <w:sz w:val="18"/>
                      <w:szCs w:val="18"/>
                      <w:highlight w:val="none"/>
                    </w:rPr>
                    <w:t>污水管网排至</w:t>
                  </w:r>
                  <w:r>
                    <w:rPr>
                      <w:rFonts w:hint="eastAsia" w:eastAsia="宋体"/>
                      <w:color w:val="auto"/>
                      <w:spacing w:val="9"/>
                      <w:sz w:val="18"/>
                      <w:szCs w:val="18"/>
                      <w:highlight w:val="none"/>
                      <w:lang w:val="en-US" w:eastAsia="zh-CN"/>
                    </w:rPr>
                    <w:t>园区生活污水处理站</w:t>
                  </w:r>
                </w:p>
              </w:tc>
            </w:tr>
            <w:tr w14:paraId="25C5ED9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Merge w:val="continue"/>
                  <w:tcBorders>
                    <w:top w:val="nil"/>
                    <w:bottom w:val="nil"/>
                  </w:tcBorders>
                  <w:vAlign w:val="center"/>
                </w:tcPr>
                <w:p w14:paraId="5882BEC6">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color w:val="auto"/>
                      <w:sz w:val="18"/>
                      <w:szCs w:val="18"/>
                      <w:highlight w:val="none"/>
                    </w:rPr>
                  </w:pPr>
                </w:p>
              </w:tc>
              <w:tc>
                <w:tcPr>
                  <w:tcW w:w="2857" w:type="dxa"/>
                  <w:gridSpan w:val="3"/>
                  <w:vAlign w:val="center"/>
                </w:tcPr>
                <w:p w14:paraId="20B786C4">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7"/>
                      <w:sz w:val="18"/>
                      <w:szCs w:val="18"/>
                      <w:highlight w:val="none"/>
                    </w:rPr>
                    <w:t>排放浓度（</w:t>
                  </w:r>
                  <w:r>
                    <w:rPr>
                      <w:rFonts w:ascii="Times New Roman" w:hAnsi="Times New Roman" w:eastAsia="Times New Roman" w:cs="Times New Roman"/>
                      <w:color w:val="auto"/>
                      <w:sz w:val="18"/>
                      <w:szCs w:val="18"/>
                      <w:highlight w:val="none"/>
                    </w:rPr>
                    <w:t>mg</w:t>
                  </w:r>
                  <w:r>
                    <w:rPr>
                      <w:rFonts w:ascii="Times New Roman" w:hAnsi="Times New Roman" w:eastAsia="Times New Roman" w:cs="Times New Roman"/>
                      <w:color w:val="auto"/>
                      <w:spacing w:val="7"/>
                      <w:sz w:val="18"/>
                      <w:szCs w:val="18"/>
                      <w:highlight w:val="none"/>
                    </w:rPr>
                    <w:t>/L</w:t>
                  </w:r>
                  <w:r>
                    <w:rPr>
                      <w:color w:val="auto"/>
                      <w:spacing w:val="7"/>
                      <w:sz w:val="18"/>
                      <w:szCs w:val="18"/>
                      <w:highlight w:val="none"/>
                    </w:rPr>
                    <w:t>）</w:t>
                  </w:r>
                </w:p>
              </w:tc>
              <w:tc>
                <w:tcPr>
                  <w:tcW w:w="1163" w:type="dxa"/>
                  <w:vAlign w:val="center"/>
                </w:tcPr>
                <w:p w14:paraId="35FD3D96">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297.5</w:t>
                  </w:r>
                </w:p>
              </w:tc>
              <w:tc>
                <w:tcPr>
                  <w:tcW w:w="1328" w:type="dxa"/>
                  <w:vAlign w:val="center"/>
                </w:tcPr>
                <w:p w14:paraId="489AAA84">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227.5</w:t>
                  </w:r>
                </w:p>
              </w:tc>
              <w:tc>
                <w:tcPr>
                  <w:tcW w:w="1158" w:type="dxa"/>
                  <w:vAlign w:val="center"/>
                </w:tcPr>
                <w:p w14:paraId="16BB8AA8">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pacing w:val="-1"/>
                      <w:sz w:val="18"/>
                      <w:szCs w:val="18"/>
                      <w:highlight w:val="none"/>
                      <w:lang w:val="en-US" w:eastAsia="zh-CN"/>
                    </w:rPr>
                    <w:t>210</w:t>
                  </w:r>
                </w:p>
              </w:tc>
              <w:tc>
                <w:tcPr>
                  <w:tcW w:w="1174" w:type="dxa"/>
                  <w:vAlign w:val="center"/>
                </w:tcPr>
                <w:p w14:paraId="1A64EE5D">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29.1</w:t>
                  </w:r>
                </w:p>
              </w:tc>
            </w:tr>
            <w:tr w14:paraId="46AFFD9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Merge w:val="continue"/>
                  <w:tcBorders>
                    <w:top w:val="nil"/>
                    <w:bottom w:val="nil"/>
                  </w:tcBorders>
                  <w:vAlign w:val="center"/>
                </w:tcPr>
                <w:p w14:paraId="4B4E9205">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color w:val="auto"/>
                      <w:sz w:val="18"/>
                      <w:szCs w:val="18"/>
                      <w:highlight w:val="none"/>
                    </w:rPr>
                  </w:pPr>
                </w:p>
              </w:tc>
              <w:tc>
                <w:tcPr>
                  <w:tcW w:w="2857" w:type="dxa"/>
                  <w:gridSpan w:val="3"/>
                  <w:vAlign w:val="center"/>
                </w:tcPr>
                <w:p w14:paraId="2864C1E9">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4"/>
                      <w:sz w:val="18"/>
                      <w:szCs w:val="18"/>
                      <w:highlight w:val="none"/>
                    </w:rPr>
                    <w:t>排放量（</w:t>
                  </w:r>
                  <w:r>
                    <w:rPr>
                      <w:rFonts w:ascii="Times New Roman" w:hAnsi="Times New Roman" w:eastAsia="Times New Roman" w:cs="Times New Roman"/>
                      <w:color w:val="auto"/>
                      <w:spacing w:val="4"/>
                      <w:sz w:val="18"/>
                      <w:szCs w:val="18"/>
                      <w:highlight w:val="none"/>
                    </w:rPr>
                    <w:t>t/a</w:t>
                  </w:r>
                  <w:r>
                    <w:rPr>
                      <w:color w:val="auto"/>
                      <w:spacing w:val="4"/>
                      <w:sz w:val="18"/>
                      <w:szCs w:val="18"/>
                      <w:highlight w:val="none"/>
                    </w:rPr>
                    <w:t>）</w:t>
                  </w:r>
                </w:p>
              </w:tc>
              <w:tc>
                <w:tcPr>
                  <w:tcW w:w="1163" w:type="dxa"/>
                  <w:vAlign w:val="center"/>
                </w:tcPr>
                <w:p w14:paraId="7DB15761">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pacing w:val="3"/>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0.036414</w:t>
                  </w:r>
                </w:p>
              </w:tc>
              <w:tc>
                <w:tcPr>
                  <w:tcW w:w="1328" w:type="dxa"/>
                  <w:vAlign w:val="center"/>
                </w:tcPr>
                <w:p w14:paraId="7C1D95BF">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pacing w:val="3"/>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0.027846</w:t>
                  </w:r>
                </w:p>
              </w:tc>
              <w:tc>
                <w:tcPr>
                  <w:tcW w:w="1158" w:type="dxa"/>
                  <w:vAlign w:val="center"/>
                </w:tcPr>
                <w:p w14:paraId="0150B74F">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pacing w:val="3"/>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0.025704</w:t>
                  </w:r>
                </w:p>
              </w:tc>
              <w:tc>
                <w:tcPr>
                  <w:tcW w:w="1174" w:type="dxa"/>
                  <w:vAlign w:val="center"/>
                </w:tcPr>
                <w:p w14:paraId="60CECE83">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pacing w:val="3"/>
                      <w:sz w:val="18"/>
                      <w:szCs w:val="18"/>
                      <w:highlight w:val="none"/>
                      <w:lang w:val="en-US" w:eastAsia="zh-CN"/>
                    </w:rPr>
                  </w:pPr>
                  <w:r>
                    <w:rPr>
                      <w:rFonts w:hint="default" w:ascii="Times New Roman" w:hAnsi="Times New Roman" w:eastAsia="宋体" w:cs="Times New Roman"/>
                      <w:color w:val="auto"/>
                      <w:spacing w:val="3"/>
                      <w:sz w:val="18"/>
                      <w:szCs w:val="18"/>
                      <w:highlight w:val="none"/>
                      <w:lang w:val="en-US" w:eastAsia="zh-CN"/>
                    </w:rPr>
                    <w:t>0.00356184</w:t>
                  </w:r>
                </w:p>
              </w:tc>
            </w:tr>
            <w:tr w14:paraId="1ED0C6B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Merge w:val="continue"/>
                  <w:tcBorders>
                    <w:top w:val="nil"/>
                    <w:bottom w:val="nil"/>
                  </w:tcBorders>
                  <w:vAlign w:val="center"/>
                </w:tcPr>
                <w:p w14:paraId="56E6371D">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color w:val="auto"/>
                      <w:sz w:val="18"/>
                      <w:szCs w:val="18"/>
                      <w:highlight w:val="none"/>
                    </w:rPr>
                  </w:pPr>
                </w:p>
              </w:tc>
              <w:tc>
                <w:tcPr>
                  <w:tcW w:w="2857" w:type="dxa"/>
                  <w:gridSpan w:val="3"/>
                  <w:vAlign w:val="center"/>
                </w:tcPr>
                <w:p w14:paraId="0A44AE0A">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pacing w:val="6"/>
                      <w:sz w:val="18"/>
                      <w:szCs w:val="18"/>
                      <w:highlight w:val="none"/>
                    </w:rPr>
                  </w:pPr>
                  <w:r>
                    <w:rPr>
                      <w:rFonts w:hint="default" w:eastAsia="Times New Roman"/>
                      <w:color w:val="auto"/>
                      <w:spacing w:val="6"/>
                      <w:sz w:val="18"/>
                      <w:szCs w:val="18"/>
                      <w:highlight w:val="none"/>
                      <w:lang w:val="en-US" w:eastAsia="zh-CN"/>
                    </w:rPr>
                    <w:t>园区</w:t>
                  </w:r>
                  <w:r>
                    <w:rPr>
                      <w:color w:val="auto"/>
                      <w:spacing w:val="6"/>
                      <w:sz w:val="18"/>
                      <w:szCs w:val="18"/>
                      <w:highlight w:val="none"/>
                    </w:rPr>
                    <w:t>处理厂接管要求（</w:t>
                  </w:r>
                  <w:r>
                    <w:rPr>
                      <w:rFonts w:ascii="Times New Roman" w:hAnsi="Times New Roman" w:eastAsia="Times New Roman" w:cs="Times New Roman"/>
                      <w:color w:val="auto"/>
                      <w:spacing w:val="6"/>
                      <w:sz w:val="18"/>
                      <w:szCs w:val="18"/>
                      <w:highlight w:val="none"/>
                    </w:rPr>
                    <w:t>mg/L</w:t>
                  </w:r>
                  <w:r>
                    <w:rPr>
                      <w:color w:val="auto"/>
                      <w:spacing w:val="6"/>
                      <w:sz w:val="18"/>
                      <w:szCs w:val="18"/>
                      <w:highlight w:val="none"/>
                    </w:rPr>
                    <w:t>）</w:t>
                  </w:r>
                </w:p>
              </w:tc>
              <w:tc>
                <w:tcPr>
                  <w:tcW w:w="1163" w:type="dxa"/>
                  <w:vAlign w:val="center"/>
                </w:tcPr>
                <w:p w14:paraId="4172EFBF">
                  <w:pPr>
                    <w:pStyle w:val="119"/>
                    <w:spacing w:before="211" w:line="200" w:lineRule="exact"/>
                    <w:ind w:left="0" w:leftChars="0"/>
                    <w:jc w:val="center"/>
                    <w:rPr>
                      <w:rFonts w:ascii="Times New Roman" w:hAnsi="Times New Roman" w:eastAsia="Times New Roman" w:cs="Times New Roman"/>
                      <w:color w:val="auto"/>
                      <w:spacing w:val="6"/>
                      <w:sz w:val="18"/>
                      <w:szCs w:val="18"/>
                      <w:highlight w:val="none"/>
                    </w:rPr>
                  </w:pPr>
                  <w:r>
                    <w:rPr>
                      <w:rFonts w:hint="default" w:ascii="Times New Roman" w:hAnsi="Times New Roman" w:eastAsia="Times New Roman" w:cs="Times New Roman"/>
                      <w:color w:val="auto"/>
                      <w:spacing w:val="6"/>
                      <w:sz w:val="18"/>
                      <w:szCs w:val="18"/>
                      <w:highlight w:val="none"/>
                      <w:lang w:val="en-US" w:eastAsia="zh-CN"/>
                    </w:rPr>
                    <w:t>500</w:t>
                  </w:r>
                </w:p>
              </w:tc>
              <w:tc>
                <w:tcPr>
                  <w:tcW w:w="1328" w:type="dxa"/>
                  <w:vAlign w:val="center"/>
                </w:tcPr>
                <w:p w14:paraId="3FB52301">
                  <w:pPr>
                    <w:pStyle w:val="119"/>
                    <w:spacing w:before="211" w:line="200" w:lineRule="exact"/>
                    <w:ind w:left="0" w:leftChars="0"/>
                    <w:jc w:val="center"/>
                    <w:rPr>
                      <w:rFonts w:ascii="Times New Roman" w:hAnsi="Times New Roman" w:eastAsia="Times New Roman" w:cs="Times New Roman"/>
                      <w:color w:val="auto"/>
                      <w:spacing w:val="6"/>
                      <w:sz w:val="18"/>
                      <w:szCs w:val="18"/>
                      <w:highlight w:val="none"/>
                    </w:rPr>
                  </w:pPr>
                  <w:r>
                    <w:rPr>
                      <w:rFonts w:hint="default" w:ascii="Times New Roman" w:hAnsi="Times New Roman" w:eastAsia="Times New Roman" w:cs="Times New Roman"/>
                      <w:color w:val="auto"/>
                      <w:spacing w:val="6"/>
                      <w:sz w:val="18"/>
                      <w:szCs w:val="18"/>
                      <w:highlight w:val="none"/>
                      <w:lang w:val="en-US" w:eastAsia="zh-CN"/>
                    </w:rPr>
                    <w:t>300</w:t>
                  </w:r>
                </w:p>
              </w:tc>
              <w:tc>
                <w:tcPr>
                  <w:tcW w:w="1158" w:type="dxa"/>
                  <w:vAlign w:val="center"/>
                </w:tcPr>
                <w:p w14:paraId="361647B2">
                  <w:pPr>
                    <w:pStyle w:val="119"/>
                    <w:spacing w:before="211" w:line="200" w:lineRule="exact"/>
                    <w:ind w:left="0" w:leftChars="0"/>
                    <w:jc w:val="center"/>
                    <w:rPr>
                      <w:rFonts w:ascii="Times New Roman" w:hAnsi="Times New Roman" w:eastAsia="Times New Roman" w:cs="Times New Roman"/>
                      <w:color w:val="auto"/>
                      <w:spacing w:val="6"/>
                      <w:sz w:val="18"/>
                      <w:szCs w:val="18"/>
                      <w:highlight w:val="none"/>
                    </w:rPr>
                  </w:pPr>
                  <w:r>
                    <w:rPr>
                      <w:rFonts w:hint="default" w:ascii="Times New Roman" w:hAnsi="Times New Roman" w:eastAsia="Times New Roman" w:cs="Times New Roman"/>
                      <w:color w:val="auto"/>
                      <w:spacing w:val="6"/>
                      <w:sz w:val="18"/>
                      <w:szCs w:val="18"/>
                      <w:highlight w:val="none"/>
                      <w:lang w:val="en-US" w:eastAsia="zh-CN"/>
                    </w:rPr>
                    <w:t>400</w:t>
                  </w:r>
                </w:p>
              </w:tc>
              <w:tc>
                <w:tcPr>
                  <w:tcW w:w="1174" w:type="dxa"/>
                  <w:vAlign w:val="center"/>
                </w:tcPr>
                <w:p w14:paraId="7FEF498F">
                  <w:pPr>
                    <w:pStyle w:val="119"/>
                    <w:spacing w:before="211" w:line="200" w:lineRule="exact"/>
                    <w:ind w:left="0" w:leftChars="0"/>
                    <w:jc w:val="center"/>
                    <w:rPr>
                      <w:rFonts w:ascii="Times New Roman" w:hAnsi="Times New Roman" w:eastAsia="Times New Roman" w:cs="Times New Roman"/>
                      <w:color w:val="auto"/>
                      <w:spacing w:val="6"/>
                      <w:sz w:val="18"/>
                      <w:szCs w:val="18"/>
                      <w:highlight w:val="none"/>
                    </w:rPr>
                  </w:pPr>
                  <w:r>
                    <w:rPr>
                      <w:rFonts w:hint="default" w:ascii="Times New Roman" w:hAnsi="Times New Roman" w:eastAsia="Times New Roman" w:cs="Times New Roman"/>
                      <w:color w:val="auto"/>
                      <w:spacing w:val="6"/>
                      <w:sz w:val="18"/>
                      <w:szCs w:val="18"/>
                      <w:highlight w:val="none"/>
                      <w:lang w:val="en-US" w:eastAsia="zh-CN"/>
                    </w:rPr>
                    <w:t>45</w:t>
                  </w:r>
                </w:p>
              </w:tc>
            </w:tr>
            <w:tr w14:paraId="3112758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Merge w:val="continue"/>
                  <w:tcBorders>
                    <w:top w:val="nil"/>
                    <w:bottom w:val="nil"/>
                  </w:tcBorders>
                  <w:vAlign w:val="center"/>
                </w:tcPr>
                <w:p w14:paraId="4F9356AD">
                  <w:pPr>
                    <w:keepNext w:val="0"/>
                    <w:keepLines w:val="0"/>
                    <w:pageBreakBefore w:val="0"/>
                    <w:kinsoku/>
                    <w:wordWrap/>
                    <w:overflowPunct/>
                    <w:topLinePunct w:val="0"/>
                    <w:autoSpaceDE/>
                    <w:autoSpaceDN/>
                    <w:bidi w:val="0"/>
                    <w:adjustRightInd/>
                    <w:snapToGrid/>
                    <w:spacing w:line="200" w:lineRule="exact"/>
                    <w:ind w:left="0" w:right="0" w:firstLine="0"/>
                    <w:jc w:val="center"/>
                    <w:rPr>
                      <w:rFonts w:ascii="Times New Roman"/>
                      <w:color w:val="auto"/>
                      <w:sz w:val="18"/>
                      <w:szCs w:val="18"/>
                      <w:highlight w:val="none"/>
                    </w:rPr>
                  </w:pPr>
                </w:p>
              </w:tc>
              <w:tc>
                <w:tcPr>
                  <w:tcW w:w="2857" w:type="dxa"/>
                  <w:gridSpan w:val="3"/>
                  <w:vAlign w:val="center"/>
                </w:tcPr>
                <w:p w14:paraId="29BF80C8">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8"/>
                      <w:sz w:val="18"/>
                      <w:szCs w:val="18"/>
                      <w:highlight w:val="none"/>
                    </w:rPr>
                    <w:t>是否能达到排放要求</w:t>
                  </w:r>
                </w:p>
              </w:tc>
              <w:tc>
                <w:tcPr>
                  <w:tcW w:w="1163" w:type="dxa"/>
                  <w:vAlign w:val="center"/>
                </w:tcPr>
                <w:p w14:paraId="0C973F0E">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z w:val="18"/>
                      <w:szCs w:val="18"/>
                      <w:highlight w:val="none"/>
                    </w:rPr>
                    <w:t>是</w:t>
                  </w:r>
                </w:p>
              </w:tc>
              <w:tc>
                <w:tcPr>
                  <w:tcW w:w="1328" w:type="dxa"/>
                  <w:vAlign w:val="center"/>
                </w:tcPr>
                <w:p w14:paraId="4D2DE1D9">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z w:val="18"/>
                      <w:szCs w:val="18"/>
                      <w:highlight w:val="none"/>
                    </w:rPr>
                    <w:t>是</w:t>
                  </w:r>
                </w:p>
              </w:tc>
              <w:tc>
                <w:tcPr>
                  <w:tcW w:w="1158" w:type="dxa"/>
                  <w:vAlign w:val="center"/>
                </w:tcPr>
                <w:p w14:paraId="11BF976A">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z w:val="18"/>
                      <w:szCs w:val="18"/>
                      <w:highlight w:val="none"/>
                    </w:rPr>
                    <w:t>是</w:t>
                  </w:r>
                </w:p>
              </w:tc>
              <w:tc>
                <w:tcPr>
                  <w:tcW w:w="1174" w:type="dxa"/>
                  <w:vAlign w:val="center"/>
                </w:tcPr>
                <w:p w14:paraId="08684552">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z w:val="18"/>
                      <w:szCs w:val="18"/>
                      <w:highlight w:val="none"/>
                    </w:rPr>
                    <w:t>是</w:t>
                  </w:r>
                </w:p>
              </w:tc>
            </w:tr>
            <w:tr w14:paraId="5B2317C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Merge w:val="continue"/>
                  <w:tcBorders>
                    <w:top w:val="nil"/>
                    <w:bottom w:val="nil"/>
                  </w:tcBorders>
                  <w:vAlign w:val="center"/>
                </w:tcPr>
                <w:p w14:paraId="4E9AD04D">
                  <w:pPr>
                    <w:pStyle w:val="119"/>
                    <w:keepNext w:val="0"/>
                    <w:keepLines w:val="0"/>
                    <w:pageBreakBefore w:val="0"/>
                    <w:kinsoku/>
                    <w:wordWrap/>
                    <w:overflowPunct/>
                    <w:topLinePunct w:val="0"/>
                    <w:autoSpaceDE/>
                    <w:autoSpaceDN/>
                    <w:bidi w:val="0"/>
                    <w:adjustRightInd/>
                    <w:snapToGrid/>
                    <w:ind w:left="0" w:right="0"/>
                    <w:jc w:val="center"/>
                    <w:rPr>
                      <w:rFonts w:ascii="Times New Roman" w:hAnsi="Times New Roman" w:cs="Times New Roman"/>
                      <w:color w:val="auto"/>
                      <w:sz w:val="18"/>
                      <w:szCs w:val="18"/>
                      <w:highlight w:val="none"/>
                    </w:rPr>
                  </w:pPr>
                </w:p>
              </w:tc>
              <w:tc>
                <w:tcPr>
                  <w:tcW w:w="1750" w:type="dxa"/>
                  <w:gridSpan w:val="2"/>
                  <w:vMerge w:val="restart"/>
                  <w:tcBorders>
                    <w:bottom w:val="nil"/>
                  </w:tcBorders>
                  <w:vAlign w:val="center"/>
                </w:tcPr>
                <w:p w14:paraId="7567FD21">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0"/>
                      <w:sz w:val="18"/>
                      <w:szCs w:val="18"/>
                      <w:highlight w:val="none"/>
                    </w:rPr>
                    <w:t>经</w:t>
                  </w:r>
                  <w:r>
                    <w:rPr>
                      <w:rFonts w:hint="default" w:eastAsia="Times New Roman"/>
                      <w:color w:val="auto"/>
                      <w:spacing w:val="0"/>
                      <w:sz w:val="18"/>
                      <w:szCs w:val="18"/>
                      <w:highlight w:val="none"/>
                      <w:lang w:val="en-US" w:eastAsia="zh-CN"/>
                    </w:rPr>
                    <w:t>园区</w:t>
                  </w:r>
                  <w:r>
                    <w:rPr>
                      <w:color w:val="auto"/>
                      <w:spacing w:val="0"/>
                      <w:sz w:val="18"/>
                      <w:szCs w:val="18"/>
                      <w:highlight w:val="none"/>
                    </w:rPr>
                    <w:t>污水处理厂处理后排放执行《城镇污水处理厂污染物排放标准》（</w:t>
                  </w:r>
                  <w:r>
                    <w:rPr>
                      <w:rFonts w:ascii="Times New Roman" w:hAnsi="Times New Roman" w:eastAsia="Times New Roman" w:cs="Times New Roman"/>
                      <w:color w:val="auto"/>
                      <w:sz w:val="18"/>
                      <w:szCs w:val="18"/>
                      <w:highlight w:val="none"/>
                    </w:rPr>
                    <w:t>GB</w:t>
                  </w:r>
                  <w:r>
                    <w:rPr>
                      <w:rFonts w:ascii="Times New Roman" w:hAnsi="Times New Roman" w:eastAsia="Times New Roman" w:cs="Times New Roman"/>
                      <w:color w:val="auto"/>
                      <w:spacing w:val="0"/>
                      <w:sz w:val="18"/>
                      <w:szCs w:val="18"/>
                      <w:highlight w:val="none"/>
                    </w:rPr>
                    <w:t>18918-2002</w:t>
                  </w:r>
                  <w:r>
                    <w:rPr>
                      <w:color w:val="auto"/>
                      <w:spacing w:val="0"/>
                      <w:sz w:val="18"/>
                      <w:szCs w:val="18"/>
                      <w:highlight w:val="none"/>
                    </w:rPr>
                    <w:t>）一级</w:t>
                  </w:r>
                  <w:r>
                    <w:rPr>
                      <w:rFonts w:ascii="Times New Roman" w:hAnsi="Times New Roman" w:eastAsia="Times New Roman" w:cs="Times New Roman"/>
                      <w:color w:val="auto"/>
                      <w:spacing w:val="0"/>
                      <w:sz w:val="18"/>
                      <w:szCs w:val="18"/>
                      <w:highlight w:val="none"/>
                    </w:rPr>
                    <w:t>A</w:t>
                  </w:r>
                  <w:r>
                    <w:rPr>
                      <w:color w:val="auto"/>
                      <w:spacing w:val="0"/>
                      <w:sz w:val="18"/>
                      <w:szCs w:val="18"/>
                      <w:highlight w:val="none"/>
                    </w:rPr>
                    <w:t>标准</w:t>
                  </w:r>
                </w:p>
              </w:tc>
              <w:tc>
                <w:tcPr>
                  <w:tcW w:w="1107" w:type="dxa"/>
                  <w:vAlign w:val="center"/>
                </w:tcPr>
                <w:p w14:paraId="4E7BD210">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0"/>
                      <w:sz w:val="18"/>
                      <w:szCs w:val="18"/>
                      <w:highlight w:val="none"/>
                    </w:rPr>
                    <w:t>排放浓度</w:t>
                  </w:r>
                  <w:r>
                    <w:rPr>
                      <w:color w:val="auto"/>
                      <w:sz w:val="18"/>
                      <w:szCs w:val="18"/>
                      <w:highlight w:val="none"/>
                    </w:rPr>
                    <w:t>（</w:t>
                  </w:r>
                  <w:r>
                    <w:rPr>
                      <w:rFonts w:ascii="Times New Roman" w:hAnsi="Times New Roman" w:eastAsia="Times New Roman" w:cs="Times New Roman"/>
                      <w:color w:val="auto"/>
                      <w:sz w:val="18"/>
                      <w:szCs w:val="18"/>
                      <w:highlight w:val="none"/>
                    </w:rPr>
                    <w:t>mg/L</w:t>
                  </w:r>
                  <w:r>
                    <w:rPr>
                      <w:color w:val="auto"/>
                      <w:sz w:val="18"/>
                      <w:szCs w:val="18"/>
                      <w:highlight w:val="none"/>
                    </w:rPr>
                    <w:t>）</w:t>
                  </w:r>
                </w:p>
              </w:tc>
              <w:tc>
                <w:tcPr>
                  <w:tcW w:w="1163" w:type="dxa"/>
                  <w:vAlign w:val="center"/>
                </w:tcPr>
                <w:p w14:paraId="3C65429D">
                  <w:pPr>
                    <w:pStyle w:val="119"/>
                    <w:keepNext w:val="0"/>
                    <w:keepLines w:val="0"/>
                    <w:pageBreakBefore w:val="0"/>
                    <w:kinsoku/>
                    <w:wordWrap/>
                    <w:overflowPunct/>
                    <w:topLinePunct w:val="0"/>
                    <w:autoSpaceDE/>
                    <w:autoSpaceDN/>
                    <w:bidi w:val="0"/>
                    <w:adjustRightInd/>
                    <w:snapToGrid/>
                    <w:ind w:left="0" w:righ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50</w:t>
                  </w:r>
                </w:p>
              </w:tc>
              <w:tc>
                <w:tcPr>
                  <w:tcW w:w="1328" w:type="dxa"/>
                  <w:vAlign w:val="center"/>
                </w:tcPr>
                <w:p w14:paraId="48DE5143">
                  <w:pPr>
                    <w:pStyle w:val="119"/>
                    <w:keepNext w:val="0"/>
                    <w:keepLines w:val="0"/>
                    <w:pageBreakBefore w:val="0"/>
                    <w:kinsoku/>
                    <w:wordWrap/>
                    <w:overflowPunct/>
                    <w:topLinePunct w:val="0"/>
                    <w:autoSpaceDE/>
                    <w:autoSpaceDN/>
                    <w:bidi w:val="0"/>
                    <w:adjustRightInd/>
                    <w:snapToGrid/>
                    <w:ind w:left="0" w:righ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sz w:val="18"/>
                      <w:szCs w:val="18"/>
                      <w:highlight w:val="none"/>
                    </w:rPr>
                    <w:t>10</w:t>
                  </w:r>
                </w:p>
              </w:tc>
              <w:tc>
                <w:tcPr>
                  <w:tcW w:w="1158" w:type="dxa"/>
                  <w:vAlign w:val="center"/>
                </w:tcPr>
                <w:p w14:paraId="6287F927">
                  <w:pPr>
                    <w:pStyle w:val="119"/>
                    <w:keepNext w:val="0"/>
                    <w:keepLines w:val="0"/>
                    <w:pageBreakBefore w:val="0"/>
                    <w:kinsoku/>
                    <w:wordWrap/>
                    <w:overflowPunct/>
                    <w:topLinePunct w:val="0"/>
                    <w:autoSpaceDE/>
                    <w:autoSpaceDN/>
                    <w:bidi w:val="0"/>
                    <w:adjustRightInd/>
                    <w:snapToGrid/>
                    <w:ind w:left="0" w:righ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sz w:val="18"/>
                      <w:szCs w:val="18"/>
                      <w:highlight w:val="none"/>
                    </w:rPr>
                    <w:t>10</w:t>
                  </w:r>
                </w:p>
              </w:tc>
              <w:tc>
                <w:tcPr>
                  <w:tcW w:w="1174" w:type="dxa"/>
                  <w:vAlign w:val="center"/>
                </w:tcPr>
                <w:p w14:paraId="11C37F6E">
                  <w:pPr>
                    <w:pStyle w:val="119"/>
                    <w:keepNext w:val="0"/>
                    <w:keepLines w:val="0"/>
                    <w:pageBreakBefore w:val="0"/>
                    <w:kinsoku/>
                    <w:wordWrap/>
                    <w:overflowPunct/>
                    <w:topLinePunct w:val="0"/>
                    <w:autoSpaceDE/>
                    <w:autoSpaceDN/>
                    <w:bidi w:val="0"/>
                    <w:adjustRightInd/>
                    <w:snapToGrid/>
                    <w:ind w:left="0" w:righ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5</w:t>
                  </w:r>
                </w:p>
              </w:tc>
            </w:tr>
            <w:tr w14:paraId="4AECCFC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2" w:type="dxa"/>
                  <w:vMerge w:val="continue"/>
                  <w:tcBorders>
                    <w:top w:val="nil"/>
                  </w:tcBorders>
                  <w:vAlign w:val="center"/>
                </w:tcPr>
                <w:p w14:paraId="13A7B9EB">
                  <w:pPr>
                    <w:pStyle w:val="119"/>
                    <w:keepNext w:val="0"/>
                    <w:keepLines w:val="0"/>
                    <w:pageBreakBefore w:val="0"/>
                    <w:kinsoku/>
                    <w:wordWrap/>
                    <w:overflowPunct/>
                    <w:topLinePunct w:val="0"/>
                    <w:autoSpaceDE/>
                    <w:autoSpaceDN/>
                    <w:bidi w:val="0"/>
                    <w:adjustRightInd/>
                    <w:snapToGrid/>
                    <w:ind w:left="0" w:right="0"/>
                    <w:jc w:val="center"/>
                    <w:rPr>
                      <w:rFonts w:ascii="Times New Roman" w:hAnsi="Times New Roman" w:cs="Times New Roman"/>
                      <w:color w:val="auto"/>
                      <w:sz w:val="18"/>
                      <w:szCs w:val="18"/>
                      <w:highlight w:val="none"/>
                    </w:rPr>
                  </w:pPr>
                </w:p>
              </w:tc>
              <w:tc>
                <w:tcPr>
                  <w:tcW w:w="1750" w:type="dxa"/>
                  <w:gridSpan w:val="2"/>
                  <w:vMerge w:val="continue"/>
                  <w:tcBorders>
                    <w:top w:val="nil"/>
                  </w:tcBorders>
                  <w:vAlign w:val="center"/>
                </w:tcPr>
                <w:p w14:paraId="6D7F2949">
                  <w:pPr>
                    <w:pStyle w:val="119"/>
                    <w:keepNext w:val="0"/>
                    <w:keepLines w:val="0"/>
                    <w:pageBreakBefore w:val="0"/>
                    <w:kinsoku/>
                    <w:wordWrap/>
                    <w:overflowPunct/>
                    <w:topLinePunct w:val="0"/>
                    <w:autoSpaceDE/>
                    <w:autoSpaceDN/>
                    <w:bidi w:val="0"/>
                    <w:adjustRightInd/>
                    <w:snapToGrid/>
                    <w:ind w:left="0" w:right="0"/>
                    <w:jc w:val="center"/>
                    <w:rPr>
                      <w:rFonts w:ascii="Times New Roman" w:hAnsi="Times New Roman" w:cs="Times New Roman"/>
                      <w:color w:val="auto"/>
                      <w:sz w:val="18"/>
                      <w:szCs w:val="18"/>
                      <w:highlight w:val="none"/>
                    </w:rPr>
                  </w:pPr>
                </w:p>
              </w:tc>
              <w:tc>
                <w:tcPr>
                  <w:tcW w:w="1107" w:type="dxa"/>
                  <w:vAlign w:val="center"/>
                </w:tcPr>
                <w:p w14:paraId="7762DB7D">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color w:val="auto"/>
                      <w:sz w:val="18"/>
                      <w:szCs w:val="18"/>
                      <w:highlight w:val="none"/>
                    </w:rPr>
                  </w:pPr>
                  <w:r>
                    <w:rPr>
                      <w:color w:val="auto"/>
                      <w:spacing w:val="0"/>
                      <w:sz w:val="18"/>
                      <w:szCs w:val="18"/>
                      <w:highlight w:val="none"/>
                    </w:rPr>
                    <w:t>排放量（</w:t>
                  </w:r>
                  <w:r>
                    <w:rPr>
                      <w:rFonts w:ascii="Times New Roman" w:hAnsi="Times New Roman" w:eastAsia="Times New Roman" w:cs="Times New Roman"/>
                      <w:color w:val="auto"/>
                      <w:spacing w:val="0"/>
                      <w:sz w:val="18"/>
                      <w:szCs w:val="18"/>
                      <w:highlight w:val="none"/>
                    </w:rPr>
                    <w:t>t/a</w:t>
                  </w:r>
                  <w:r>
                    <w:rPr>
                      <w:color w:val="auto"/>
                      <w:spacing w:val="0"/>
                      <w:sz w:val="18"/>
                      <w:szCs w:val="18"/>
                      <w:highlight w:val="none"/>
                    </w:rPr>
                    <w:t>）</w:t>
                  </w:r>
                </w:p>
              </w:tc>
              <w:tc>
                <w:tcPr>
                  <w:tcW w:w="1163" w:type="dxa"/>
                  <w:vAlign w:val="center"/>
                </w:tcPr>
                <w:p w14:paraId="441F3A2C">
                  <w:pPr>
                    <w:pStyle w:val="119"/>
                    <w:keepNext w:val="0"/>
                    <w:keepLines w:val="0"/>
                    <w:pageBreakBefore w:val="0"/>
                    <w:widowControl/>
                    <w:suppressLineNumbers w:val="0"/>
                    <w:kinsoku/>
                    <w:wordWrap/>
                    <w:overflowPunct/>
                    <w:topLinePunct w:val="0"/>
                    <w:autoSpaceDE/>
                    <w:autoSpaceDN/>
                    <w:bidi w:val="0"/>
                    <w:adjustRightInd/>
                    <w:snapToGrid/>
                    <w:ind w:left="0" w:right="0"/>
                    <w:jc w:val="center"/>
                    <w:textAlignment w:val="center"/>
                    <w:rPr>
                      <w:rFonts w:ascii="Times New Roman" w:hAnsi="Times New Roman" w:eastAsia="Times New Roman" w:cs="Times New Roman"/>
                      <w:color w:val="auto"/>
                      <w:sz w:val="18"/>
                      <w:szCs w:val="18"/>
                      <w:highlight w:val="none"/>
                    </w:rPr>
                  </w:pPr>
                  <w:r>
                    <w:rPr>
                      <w:rFonts w:hint="default" w:ascii="Times New Roman" w:hAnsi="Times New Roman" w:eastAsia="Times New Roman" w:cs="Times New Roman"/>
                      <w:i w:val="0"/>
                      <w:iCs w:val="0"/>
                      <w:color w:val="auto"/>
                      <w:kern w:val="2"/>
                      <w:sz w:val="18"/>
                      <w:szCs w:val="18"/>
                      <w:highlight w:val="none"/>
                      <w:u w:val="none"/>
                      <w:lang w:val="en-US" w:eastAsia="zh-CN" w:bidi="ar"/>
                    </w:rPr>
                    <w:t>0.00612</w:t>
                  </w:r>
                </w:p>
              </w:tc>
              <w:tc>
                <w:tcPr>
                  <w:tcW w:w="1328" w:type="dxa"/>
                  <w:vAlign w:val="center"/>
                </w:tcPr>
                <w:p w14:paraId="5608A6EC">
                  <w:pPr>
                    <w:pStyle w:val="119"/>
                    <w:keepNext w:val="0"/>
                    <w:keepLines w:val="0"/>
                    <w:pageBreakBefore w:val="0"/>
                    <w:widowControl/>
                    <w:suppressLineNumbers w:val="0"/>
                    <w:kinsoku/>
                    <w:wordWrap/>
                    <w:overflowPunct/>
                    <w:topLinePunct w:val="0"/>
                    <w:autoSpaceDE/>
                    <w:autoSpaceDN/>
                    <w:bidi w:val="0"/>
                    <w:adjustRightInd/>
                    <w:snapToGrid/>
                    <w:ind w:left="0" w:right="0"/>
                    <w:jc w:val="center"/>
                    <w:textAlignment w:val="center"/>
                    <w:rPr>
                      <w:rFonts w:ascii="Times New Roman" w:hAnsi="Times New Roman" w:eastAsia="Times New Roman" w:cs="Times New Roman"/>
                      <w:color w:val="auto"/>
                      <w:sz w:val="18"/>
                      <w:szCs w:val="18"/>
                      <w:highlight w:val="none"/>
                    </w:rPr>
                  </w:pPr>
                  <w:r>
                    <w:rPr>
                      <w:rFonts w:hint="default" w:ascii="Times New Roman" w:hAnsi="Times New Roman" w:eastAsia="Times New Roman" w:cs="Times New Roman"/>
                      <w:i w:val="0"/>
                      <w:iCs w:val="0"/>
                      <w:color w:val="auto"/>
                      <w:kern w:val="2"/>
                      <w:sz w:val="18"/>
                      <w:szCs w:val="18"/>
                      <w:highlight w:val="none"/>
                      <w:u w:val="none"/>
                      <w:lang w:val="en-US" w:eastAsia="zh-CN" w:bidi="ar"/>
                    </w:rPr>
                    <w:t>0.001224</w:t>
                  </w:r>
                </w:p>
              </w:tc>
              <w:tc>
                <w:tcPr>
                  <w:tcW w:w="1158" w:type="dxa"/>
                  <w:vAlign w:val="center"/>
                </w:tcPr>
                <w:p w14:paraId="0A704EEB">
                  <w:pPr>
                    <w:pStyle w:val="119"/>
                    <w:keepNext w:val="0"/>
                    <w:keepLines w:val="0"/>
                    <w:pageBreakBefore w:val="0"/>
                    <w:widowControl/>
                    <w:suppressLineNumbers w:val="0"/>
                    <w:kinsoku/>
                    <w:wordWrap/>
                    <w:overflowPunct/>
                    <w:topLinePunct w:val="0"/>
                    <w:autoSpaceDE/>
                    <w:autoSpaceDN/>
                    <w:bidi w:val="0"/>
                    <w:adjustRightInd/>
                    <w:snapToGrid/>
                    <w:ind w:left="0" w:right="0"/>
                    <w:jc w:val="center"/>
                    <w:textAlignment w:val="center"/>
                    <w:rPr>
                      <w:rFonts w:ascii="Times New Roman" w:hAnsi="Times New Roman" w:eastAsia="Times New Roman" w:cs="Times New Roman"/>
                      <w:color w:val="auto"/>
                      <w:sz w:val="18"/>
                      <w:szCs w:val="18"/>
                      <w:highlight w:val="none"/>
                    </w:rPr>
                  </w:pPr>
                  <w:r>
                    <w:rPr>
                      <w:rFonts w:hint="default" w:ascii="Times New Roman" w:hAnsi="Times New Roman" w:eastAsia="Times New Roman" w:cs="Times New Roman"/>
                      <w:i w:val="0"/>
                      <w:iCs w:val="0"/>
                      <w:color w:val="auto"/>
                      <w:kern w:val="2"/>
                      <w:sz w:val="18"/>
                      <w:szCs w:val="18"/>
                      <w:highlight w:val="none"/>
                      <w:u w:val="none"/>
                      <w:lang w:val="en-US" w:eastAsia="zh-CN" w:bidi="ar"/>
                    </w:rPr>
                    <w:t>0.001224</w:t>
                  </w:r>
                </w:p>
              </w:tc>
              <w:tc>
                <w:tcPr>
                  <w:tcW w:w="1174" w:type="dxa"/>
                  <w:vAlign w:val="center"/>
                </w:tcPr>
                <w:p w14:paraId="2F99A75A">
                  <w:pPr>
                    <w:pStyle w:val="119"/>
                    <w:keepNext w:val="0"/>
                    <w:keepLines w:val="0"/>
                    <w:pageBreakBefore w:val="0"/>
                    <w:widowControl/>
                    <w:suppressLineNumbers w:val="0"/>
                    <w:kinsoku/>
                    <w:wordWrap/>
                    <w:overflowPunct/>
                    <w:topLinePunct w:val="0"/>
                    <w:autoSpaceDE/>
                    <w:autoSpaceDN/>
                    <w:bidi w:val="0"/>
                    <w:adjustRightInd/>
                    <w:snapToGrid/>
                    <w:ind w:left="0" w:right="0"/>
                    <w:jc w:val="center"/>
                    <w:textAlignment w:val="center"/>
                    <w:rPr>
                      <w:rFonts w:ascii="Times New Roman" w:hAnsi="Times New Roman" w:eastAsia="Times New Roman" w:cs="Times New Roman"/>
                      <w:color w:val="auto"/>
                      <w:sz w:val="18"/>
                      <w:szCs w:val="18"/>
                      <w:highlight w:val="none"/>
                    </w:rPr>
                  </w:pPr>
                  <w:r>
                    <w:rPr>
                      <w:rFonts w:hint="default" w:ascii="Times New Roman" w:hAnsi="Times New Roman" w:eastAsia="Times New Roman" w:cs="Times New Roman"/>
                      <w:i w:val="0"/>
                      <w:iCs w:val="0"/>
                      <w:color w:val="auto"/>
                      <w:kern w:val="2"/>
                      <w:sz w:val="18"/>
                      <w:szCs w:val="18"/>
                      <w:highlight w:val="none"/>
                      <w:u w:val="none"/>
                      <w:lang w:val="en-US" w:eastAsia="zh-CN" w:bidi="ar"/>
                    </w:rPr>
                    <w:t>0.000612</w:t>
                  </w:r>
                </w:p>
              </w:tc>
            </w:tr>
          </w:tbl>
          <w:p w14:paraId="0871B299">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根据《饮料制造废水治理工程技术规范》（HJ2048-2015）中关于果汁和蔬菜汁的废水浓度描述COD1700~3700mg/L，BOD</w:t>
            </w:r>
            <w:r>
              <w:rPr>
                <w:rFonts w:hint="default" w:ascii="Times New Roman" w:hAnsi="Times New Roman" w:cs="Times New Roman"/>
                <w:color w:val="auto"/>
                <w:spacing w:val="-2"/>
                <w:highlight w:val="none"/>
                <w:vertAlign w:val="baseline"/>
              </w:rPr>
              <w:t>₅</w:t>
            </w:r>
            <w:r>
              <w:rPr>
                <w:rFonts w:hint="default"/>
                <w:color w:val="auto"/>
                <w:spacing w:val="-2"/>
                <w:highlight w:val="none"/>
              </w:rPr>
              <w:t>1200~2900mg/L，NH</w:t>
            </w:r>
            <w:r>
              <w:rPr>
                <w:rFonts w:hint="default" w:ascii="Times New Roman" w:hAnsi="Times New Roman" w:cs="Times New Roman"/>
                <w:color w:val="auto"/>
                <w:spacing w:val="-2"/>
                <w:highlight w:val="none"/>
              </w:rPr>
              <w:t>₃</w:t>
            </w:r>
            <w:r>
              <w:rPr>
                <w:rFonts w:hint="default"/>
                <w:color w:val="auto"/>
                <w:spacing w:val="-2"/>
                <w:highlight w:val="none"/>
              </w:rPr>
              <w:t>-N5~25mg/L。污染物浓度分别为COD：2500mg/L，BOD</w:t>
            </w:r>
            <w:r>
              <w:rPr>
                <w:rFonts w:hint="default" w:ascii="Times New Roman" w:hAnsi="Times New Roman" w:cs="Times New Roman"/>
                <w:color w:val="auto"/>
                <w:spacing w:val="-2"/>
                <w:highlight w:val="none"/>
              </w:rPr>
              <w:t>₅</w:t>
            </w:r>
            <w:r>
              <w:rPr>
                <w:rFonts w:hint="default"/>
                <w:color w:val="auto"/>
                <w:spacing w:val="-2"/>
                <w:highlight w:val="none"/>
              </w:rPr>
              <w:t>：1900mg/L，NH</w:t>
            </w:r>
            <w:r>
              <w:rPr>
                <w:rFonts w:hint="default" w:ascii="Times New Roman" w:hAnsi="Times New Roman" w:cs="Times New Roman"/>
                <w:color w:val="auto"/>
                <w:spacing w:val="-2"/>
                <w:highlight w:val="none"/>
              </w:rPr>
              <w:t>₃</w:t>
            </w:r>
            <w:r>
              <w:rPr>
                <w:rFonts w:hint="default"/>
                <w:color w:val="auto"/>
                <w:spacing w:val="-2"/>
                <w:highlight w:val="none"/>
              </w:rPr>
              <w:t>-N：20mg/L，SS类比同类项目取值为500mg/L。</w:t>
            </w:r>
          </w:p>
          <w:p w14:paraId="687152FF">
            <w:pPr>
              <w:adjustRightInd w:val="0"/>
              <w:snapToGrid w:val="0"/>
              <w:spacing w:line="440" w:lineRule="exact"/>
              <w:ind w:firstLine="474" w:firstLineChars="200"/>
              <w:jc w:val="center"/>
              <w:rPr>
                <w:rFonts w:hint="default"/>
                <w:b/>
                <w:bCs/>
                <w:color w:val="auto"/>
                <w:spacing w:val="-2"/>
                <w:highlight w:val="none"/>
              </w:rPr>
            </w:pPr>
            <w:r>
              <w:rPr>
                <w:b/>
                <w:bCs/>
                <w:color w:val="auto"/>
                <w:spacing w:val="-2"/>
                <w:highlight w:val="none"/>
              </w:rPr>
              <w:t>表4</w:t>
            </w:r>
            <w:r>
              <w:rPr>
                <w:rFonts w:hint="default"/>
                <w:b/>
                <w:bCs/>
                <w:color w:val="auto"/>
                <w:spacing w:val="-2"/>
                <w:highlight w:val="none"/>
                <w:lang w:val="en-US" w:eastAsia="zh-CN"/>
              </w:rPr>
              <w:t xml:space="preserve">-8      </w:t>
            </w:r>
            <w:r>
              <w:rPr>
                <w:b/>
                <w:bCs/>
                <w:color w:val="auto"/>
                <w:spacing w:val="-2"/>
                <w:highlight w:val="none"/>
              </w:rPr>
              <w:t>生产废水污染源产生及排放情况一览表</w:t>
            </w:r>
          </w:p>
          <w:tbl>
            <w:tblPr>
              <w:tblStyle w:val="118"/>
              <w:tblW w:w="0" w:type="auto"/>
              <w:tblInd w:w="-41"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092"/>
              <w:gridCol w:w="2014"/>
              <w:gridCol w:w="1022"/>
              <w:gridCol w:w="1095"/>
              <w:gridCol w:w="1306"/>
              <w:gridCol w:w="1223"/>
              <w:gridCol w:w="1323"/>
            </w:tblGrid>
            <w:tr w14:paraId="7F1B811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Align w:val="center"/>
                </w:tcPr>
                <w:p w14:paraId="7A670805">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5"/>
                      <w:sz w:val="18"/>
                      <w:szCs w:val="18"/>
                      <w:highlight w:val="none"/>
                    </w:rPr>
                    <w:t>废水</w:t>
                  </w:r>
                  <w:r>
                    <w:rPr>
                      <w:rFonts w:hint="default" w:ascii="Times New Roman" w:hAnsi="Times New Roman" w:cs="Times New Roman"/>
                      <w:color w:val="auto"/>
                      <w:sz w:val="18"/>
                      <w:szCs w:val="18"/>
                      <w:highlight w:val="none"/>
                    </w:rPr>
                    <w:t>量</w:t>
                  </w:r>
                </w:p>
              </w:tc>
              <w:tc>
                <w:tcPr>
                  <w:tcW w:w="3527" w:type="dxa"/>
                  <w:gridSpan w:val="2"/>
                  <w:vAlign w:val="center"/>
                </w:tcPr>
                <w:p w14:paraId="1A6AB008">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6"/>
                      <w:sz w:val="18"/>
                      <w:szCs w:val="18"/>
                      <w:highlight w:val="none"/>
                    </w:rPr>
                    <w:t>污染因子</w:t>
                  </w:r>
                </w:p>
              </w:tc>
              <w:tc>
                <w:tcPr>
                  <w:tcW w:w="0" w:type="auto"/>
                  <w:vAlign w:val="center"/>
                </w:tcPr>
                <w:p w14:paraId="61B172EF">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color w:val="auto"/>
                      <w:spacing w:val="3"/>
                      <w:sz w:val="18"/>
                      <w:szCs w:val="18"/>
                      <w:highlight w:val="none"/>
                    </w:rPr>
                    <w:t>COD</w:t>
                  </w:r>
                  <w:r>
                    <w:rPr>
                      <w:rFonts w:hint="default" w:ascii="Times New Roman" w:hAnsi="Times New Roman" w:eastAsia="Times New Roman" w:cs="Times New Roman"/>
                      <w:color w:val="auto"/>
                      <w:spacing w:val="3"/>
                      <w:position w:val="-1"/>
                      <w:sz w:val="18"/>
                      <w:szCs w:val="18"/>
                      <w:highlight w:val="none"/>
                    </w:rPr>
                    <w:t>Cr</w:t>
                  </w:r>
                </w:p>
              </w:tc>
              <w:tc>
                <w:tcPr>
                  <w:tcW w:w="0" w:type="auto"/>
                  <w:vAlign w:val="center"/>
                </w:tcPr>
                <w:p w14:paraId="062A4E06">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color w:val="auto"/>
                      <w:spacing w:val="5"/>
                      <w:sz w:val="18"/>
                      <w:szCs w:val="18"/>
                      <w:highlight w:val="none"/>
                    </w:rPr>
                    <w:t>BOD</w:t>
                  </w:r>
                  <w:r>
                    <w:rPr>
                      <w:rFonts w:hint="default" w:ascii="Times New Roman" w:hAnsi="Times New Roman" w:eastAsia="Times New Roman" w:cs="Times New Roman"/>
                      <w:color w:val="auto"/>
                      <w:spacing w:val="5"/>
                      <w:position w:val="-1"/>
                      <w:sz w:val="18"/>
                      <w:szCs w:val="18"/>
                      <w:highlight w:val="none"/>
                    </w:rPr>
                    <w:t>₅</w:t>
                  </w:r>
                </w:p>
              </w:tc>
              <w:tc>
                <w:tcPr>
                  <w:tcW w:w="0" w:type="auto"/>
                  <w:vAlign w:val="center"/>
                </w:tcPr>
                <w:p w14:paraId="71960E7F">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color w:val="auto"/>
                      <w:spacing w:val="-3"/>
                      <w:sz w:val="18"/>
                      <w:szCs w:val="18"/>
                      <w:highlight w:val="none"/>
                    </w:rPr>
                    <w:t>SS</w:t>
                  </w:r>
                </w:p>
              </w:tc>
              <w:tc>
                <w:tcPr>
                  <w:tcW w:w="0" w:type="auto"/>
                  <w:vAlign w:val="center"/>
                </w:tcPr>
                <w:p w14:paraId="3D02FD72">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color w:val="auto"/>
                      <w:sz w:val="18"/>
                      <w:szCs w:val="18"/>
                      <w:highlight w:val="none"/>
                    </w:rPr>
                    <w:t>NH</w:t>
                  </w:r>
                  <w:r>
                    <w:rPr>
                      <w:rFonts w:hint="default" w:ascii="Times New Roman" w:hAnsi="Times New Roman" w:eastAsia="Times New Roman" w:cs="Times New Roman"/>
                      <w:color w:val="auto"/>
                      <w:spacing w:val="9"/>
                      <w:position w:val="-1"/>
                      <w:sz w:val="18"/>
                      <w:szCs w:val="18"/>
                      <w:highlight w:val="none"/>
                    </w:rPr>
                    <w:t>₃</w:t>
                  </w:r>
                  <w:r>
                    <w:rPr>
                      <w:rFonts w:hint="default" w:ascii="Times New Roman" w:hAnsi="Times New Roman" w:eastAsia="Times New Roman" w:cs="Times New Roman"/>
                      <w:color w:val="auto"/>
                      <w:spacing w:val="9"/>
                      <w:sz w:val="18"/>
                      <w:szCs w:val="18"/>
                      <w:highlight w:val="none"/>
                    </w:rPr>
                    <w:t>-N</w:t>
                  </w:r>
                </w:p>
              </w:tc>
            </w:tr>
            <w:tr w14:paraId="09FB27F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Merge w:val="restart"/>
                  <w:tcBorders>
                    <w:bottom w:val="nil"/>
                  </w:tcBorders>
                  <w:vAlign w:val="center"/>
                </w:tcPr>
                <w:p w14:paraId="46649AB0">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default" w:ascii="Times New Roman" w:hAnsi="Times New Roman" w:cs="Times New Roman"/>
                      <w:color w:val="auto"/>
                      <w:spacing w:val="3"/>
                      <w:sz w:val="18"/>
                      <w:szCs w:val="18"/>
                      <w:highlight w:val="none"/>
                    </w:rPr>
                    <w:t>生</w:t>
                  </w:r>
                  <w:r>
                    <w:rPr>
                      <w:rFonts w:hint="default" w:ascii="Times New Roman" w:hAnsi="Times New Roman" w:eastAsia="宋体" w:cs="Times New Roman"/>
                      <w:color w:val="auto"/>
                      <w:spacing w:val="3"/>
                      <w:sz w:val="18"/>
                      <w:szCs w:val="18"/>
                      <w:highlight w:val="none"/>
                      <w:lang w:val="en-US" w:eastAsia="zh-CN"/>
                    </w:rPr>
                    <w:t>产</w:t>
                  </w:r>
                  <w:r>
                    <w:rPr>
                      <w:rFonts w:hint="default" w:ascii="Times New Roman" w:hAnsi="Times New Roman" w:cs="Times New Roman"/>
                      <w:color w:val="auto"/>
                      <w:spacing w:val="17"/>
                      <w:sz w:val="18"/>
                      <w:szCs w:val="18"/>
                      <w:highlight w:val="none"/>
                    </w:rPr>
                    <w:t>污水</w:t>
                  </w:r>
                  <w:r>
                    <w:rPr>
                      <w:rFonts w:hint="default" w:ascii="Times New Roman" w:hAnsi="Times New Roman" w:cs="Times New Roman"/>
                      <w:color w:val="auto"/>
                      <w:spacing w:val="-2"/>
                      <w:highlight w:val="none"/>
                      <w:lang w:val="en-US" w:eastAsia="zh-CN"/>
                    </w:rPr>
                    <w:t>795.468</w:t>
                  </w:r>
                  <w:r>
                    <w:rPr>
                      <w:rFonts w:hint="eastAsia" w:eastAsia="宋体" w:cs="Times New Roman"/>
                      <w:color w:val="auto"/>
                      <w:spacing w:val="3"/>
                      <w:sz w:val="18"/>
                      <w:szCs w:val="18"/>
                      <w:highlight w:val="none"/>
                      <w:lang w:eastAsia="zh-CN"/>
                    </w:rPr>
                    <w:t>m³</w:t>
                  </w:r>
                  <w:r>
                    <w:rPr>
                      <w:rFonts w:hint="default" w:ascii="Times New Roman" w:hAnsi="Times New Roman" w:eastAsia="Times New Roman" w:cs="Times New Roman"/>
                      <w:color w:val="auto"/>
                      <w:spacing w:val="3"/>
                      <w:sz w:val="18"/>
                      <w:szCs w:val="18"/>
                      <w:highlight w:val="none"/>
                    </w:rPr>
                    <w:t>/a</w:t>
                  </w:r>
                </w:p>
              </w:tc>
              <w:tc>
                <w:tcPr>
                  <w:tcW w:w="3527" w:type="dxa"/>
                  <w:gridSpan w:val="2"/>
                  <w:vAlign w:val="center"/>
                </w:tcPr>
                <w:p w14:paraId="2FC46EED">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7"/>
                      <w:sz w:val="18"/>
                      <w:szCs w:val="18"/>
                      <w:highlight w:val="none"/>
                    </w:rPr>
                    <w:t>产生浓度（</w:t>
                  </w:r>
                  <w:r>
                    <w:rPr>
                      <w:rFonts w:hint="default" w:ascii="Times New Roman" w:hAnsi="Times New Roman" w:eastAsia="Times New Roman" w:cs="Times New Roman"/>
                      <w:color w:val="auto"/>
                      <w:sz w:val="18"/>
                      <w:szCs w:val="18"/>
                      <w:highlight w:val="none"/>
                    </w:rPr>
                    <w:t>mg</w:t>
                  </w:r>
                  <w:r>
                    <w:rPr>
                      <w:rFonts w:hint="default" w:ascii="Times New Roman" w:hAnsi="Times New Roman" w:eastAsia="Times New Roman" w:cs="Times New Roman"/>
                      <w:color w:val="auto"/>
                      <w:spacing w:val="7"/>
                      <w:sz w:val="18"/>
                      <w:szCs w:val="18"/>
                      <w:highlight w:val="none"/>
                    </w:rPr>
                    <w:t>/L</w:t>
                  </w:r>
                  <w:r>
                    <w:rPr>
                      <w:rFonts w:hint="default" w:ascii="Times New Roman" w:hAnsi="Times New Roman" w:cs="Times New Roman"/>
                      <w:color w:val="auto"/>
                      <w:spacing w:val="7"/>
                      <w:sz w:val="18"/>
                      <w:szCs w:val="18"/>
                      <w:highlight w:val="none"/>
                    </w:rPr>
                    <w:t>）</w:t>
                  </w:r>
                </w:p>
              </w:tc>
              <w:tc>
                <w:tcPr>
                  <w:tcW w:w="0" w:type="auto"/>
                  <w:vAlign w:val="center"/>
                </w:tcPr>
                <w:p w14:paraId="7663A177">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pacing w:val="3"/>
                      <w:sz w:val="18"/>
                      <w:szCs w:val="18"/>
                      <w:highlight w:val="none"/>
                      <w:lang w:val="en-US" w:eastAsia="zh-CN"/>
                    </w:rPr>
                    <w:t>2500</w:t>
                  </w:r>
                </w:p>
              </w:tc>
              <w:tc>
                <w:tcPr>
                  <w:tcW w:w="0" w:type="auto"/>
                  <w:vAlign w:val="center"/>
                </w:tcPr>
                <w:p w14:paraId="0A9F9A0A">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pacing w:val="-3"/>
                      <w:sz w:val="18"/>
                      <w:szCs w:val="18"/>
                      <w:highlight w:val="none"/>
                      <w:lang w:val="en-US" w:eastAsia="zh-CN"/>
                    </w:rPr>
                    <w:t>1900</w:t>
                  </w:r>
                </w:p>
              </w:tc>
              <w:tc>
                <w:tcPr>
                  <w:tcW w:w="0" w:type="auto"/>
                  <w:vAlign w:val="center"/>
                </w:tcPr>
                <w:p w14:paraId="4D68C545">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pacing w:val="-3"/>
                      <w:sz w:val="18"/>
                      <w:szCs w:val="18"/>
                      <w:highlight w:val="none"/>
                      <w:lang w:val="en-US" w:eastAsia="zh-CN"/>
                    </w:rPr>
                    <w:t>500</w:t>
                  </w:r>
                </w:p>
              </w:tc>
              <w:tc>
                <w:tcPr>
                  <w:tcW w:w="0" w:type="auto"/>
                  <w:vAlign w:val="center"/>
                </w:tcPr>
                <w:p w14:paraId="3333D1EB">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pacing w:val="2"/>
                      <w:sz w:val="18"/>
                      <w:szCs w:val="18"/>
                      <w:highlight w:val="none"/>
                      <w:lang w:val="en-US" w:eastAsia="zh-CN"/>
                    </w:rPr>
                    <w:t>20</w:t>
                  </w:r>
                </w:p>
              </w:tc>
            </w:tr>
            <w:tr w14:paraId="3DF7B60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Merge w:val="continue"/>
                  <w:tcBorders>
                    <w:top w:val="nil"/>
                    <w:bottom w:val="nil"/>
                  </w:tcBorders>
                  <w:vAlign w:val="center"/>
                </w:tcPr>
                <w:p w14:paraId="7E2BA4E7">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p>
              </w:tc>
              <w:tc>
                <w:tcPr>
                  <w:tcW w:w="3527" w:type="dxa"/>
                  <w:gridSpan w:val="2"/>
                  <w:vAlign w:val="center"/>
                </w:tcPr>
                <w:p w14:paraId="4EC0AFFB">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4"/>
                      <w:sz w:val="18"/>
                      <w:szCs w:val="18"/>
                      <w:highlight w:val="none"/>
                    </w:rPr>
                    <w:t>产生量（</w:t>
                  </w:r>
                  <w:r>
                    <w:rPr>
                      <w:rFonts w:hint="default" w:ascii="Times New Roman" w:hAnsi="Times New Roman" w:eastAsia="Times New Roman" w:cs="Times New Roman"/>
                      <w:color w:val="auto"/>
                      <w:spacing w:val="4"/>
                      <w:sz w:val="18"/>
                      <w:szCs w:val="18"/>
                      <w:highlight w:val="none"/>
                    </w:rPr>
                    <w:t>t/a</w:t>
                  </w:r>
                  <w:r>
                    <w:rPr>
                      <w:rFonts w:hint="default" w:ascii="Times New Roman" w:hAnsi="Times New Roman" w:cs="Times New Roman"/>
                      <w:color w:val="auto"/>
                      <w:spacing w:val="4"/>
                      <w:sz w:val="18"/>
                      <w:szCs w:val="18"/>
                      <w:highlight w:val="none"/>
                    </w:rPr>
                    <w:t>）</w:t>
                  </w:r>
                </w:p>
              </w:tc>
              <w:tc>
                <w:tcPr>
                  <w:tcW w:w="0" w:type="auto"/>
                  <w:vAlign w:val="center"/>
                </w:tcPr>
                <w:p w14:paraId="21DE74CB">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1.98</w:t>
                  </w:r>
                  <w:r>
                    <w:rPr>
                      <w:rFonts w:hint="eastAsia" w:cs="Times New Roman"/>
                      <w:i w:val="0"/>
                      <w:iCs w:val="0"/>
                      <w:color w:val="auto"/>
                      <w:kern w:val="0"/>
                      <w:sz w:val="18"/>
                      <w:szCs w:val="18"/>
                      <w:highlight w:val="none"/>
                      <w:u w:val="none"/>
                      <w:lang w:val="en-US" w:eastAsia="zh-CN" w:bidi="ar"/>
                    </w:rPr>
                    <w:t>9</w:t>
                  </w:r>
                </w:p>
              </w:tc>
              <w:tc>
                <w:tcPr>
                  <w:tcW w:w="0" w:type="auto"/>
                  <w:vAlign w:val="center"/>
                </w:tcPr>
                <w:p w14:paraId="24C984E0">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color w:val="auto"/>
                      <w:spacing w:val="-3"/>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1.511</w:t>
                  </w:r>
                </w:p>
              </w:tc>
              <w:tc>
                <w:tcPr>
                  <w:tcW w:w="0" w:type="auto"/>
                  <w:vAlign w:val="center"/>
                </w:tcPr>
                <w:p w14:paraId="06F03932">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color w:val="auto"/>
                      <w:spacing w:val="-3"/>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0.39</w:t>
                  </w:r>
                  <w:r>
                    <w:rPr>
                      <w:rFonts w:hint="eastAsia" w:cs="Times New Roman"/>
                      <w:i w:val="0"/>
                      <w:iCs w:val="0"/>
                      <w:color w:val="auto"/>
                      <w:kern w:val="0"/>
                      <w:sz w:val="18"/>
                      <w:szCs w:val="18"/>
                      <w:highlight w:val="none"/>
                      <w:u w:val="none"/>
                      <w:lang w:val="en-US" w:eastAsia="zh-CN" w:bidi="ar"/>
                    </w:rPr>
                    <w:t>8</w:t>
                  </w:r>
                </w:p>
              </w:tc>
              <w:tc>
                <w:tcPr>
                  <w:tcW w:w="0" w:type="auto"/>
                  <w:vAlign w:val="center"/>
                </w:tcPr>
                <w:p w14:paraId="5C257248">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color w:val="auto"/>
                      <w:spacing w:val="-3"/>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0.0159</w:t>
                  </w:r>
                </w:p>
              </w:tc>
            </w:tr>
            <w:tr w14:paraId="42F91D4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Merge w:val="continue"/>
                  <w:tcBorders>
                    <w:top w:val="nil"/>
                    <w:bottom w:val="nil"/>
                  </w:tcBorders>
                  <w:vAlign w:val="center"/>
                </w:tcPr>
                <w:p w14:paraId="1769B8BA">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p>
              </w:tc>
              <w:tc>
                <w:tcPr>
                  <w:tcW w:w="2551" w:type="dxa"/>
                  <w:vMerge w:val="restart"/>
                  <w:tcBorders>
                    <w:bottom w:val="nil"/>
                  </w:tcBorders>
                  <w:vAlign w:val="center"/>
                </w:tcPr>
                <w:p w14:paraId="27455FED">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6"/>
                      <w:sz w:val="18"/>
                      <w:szCs w:val="18"/>
                      <w:highlight w:val="none"/>
                    </w:rPr>
                    <w:t>厂内处理</w:t>
                  </w:r>
                  <w:r>
                    <w:rPr>
                      <w:rFonts w:hint="default" w:ascii="Times New Roman" w:hAnsi="Times New Roman" w:cs="Times New Roman"/>
                      <w:color w:val="auto"/>
                      <w:spacing w:val="4"/>
                      <w:sz w:val="18"/>
                      <w:szCs w:val="18"/>
                      <w:highlight w:val="none"/>
                    </w:rPr>
                    <w:t>措施</w:t>
                  </w:r>
                </w:p>
              </w:tc>
              <w:tc>
                <w:tcPr>
                  <w:tcW w:w="0" w:type="auto"/>
                  <w:vAlign w:val="center"/>
                </w:tcPr>
                <w:p w14:paraId="57BF6E09">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2"/>
                      <w:sz w:val="18"/>
                      <w:szCs w:val="18"/>
                      <w:highlight w:val="none"/>
                    </w:rPr>
                    <w:t>处理</w:t>
                  </w:r>
                </w:p>
              </w:tc>
              <w:tc>
                <w:tcPr>
                  <w:tcW w:w="0" w:type="auto"/>
                  <w:gridSpan w:val="4"/>
                  <w:vAlign w:val="center"/>
                </w:tcPr>
                <w:p w14:paraId="02961060">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混凝沉淀+气浮+接触氧化</w:t>
                  </w:r>
                </w:p>
              </w:tc>
            </w:tr>
            <w:tr w14:paraId="0DEDC8D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Merge w:val="continue"/>
                  <w:tcBorders>
                    <w:top w:val="nil"/>
                    <w:bottom w:val="nil"/>
                  </w:tcBorders>
                  <w:vAlign w:val="center"/>
                </w:tcPr>
                <w:p w14:paraId="1B9D4AAB">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p>
              </w:tc>
              <w:tc>
                <w:tcPr>
                  <w:tcW w:w="2551" w:type="dxa"/>
                  <w:vMerge w:val="continue"/>
                  <w:tcBorders>
                    <w:top w:val="nil"/>
                    <w:bottom w:val="nil"/>
                  </w:tcBorders>
                  <w:vAlign w:val="center"/>
                </w:tcPr>
                <w:p w14:paraId="5E76194B">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p>
              </w:tc>
              <w:tc>
                <w:tcPr>
                  <w:tcW w:w="0" w:type="auto"/>
                  <w:vAlign w:val="center"/>
                </w:tcPr>
                <w:p w14:paraId="519F67B6">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2"/>
                      <w:sz w:val="18"/>
                      <w:szCs w:val="18"/>
                      <w:highlight w:val="none"/>
                    </w:rPr>
                    <w:t>效果</w:t>
                  </w:r>
                </w:p>
              </w:tc>
              <w:tc>
                <w:tcPr>
                  <w:tcW w:w="0" w:type="auto"/>
                  <w:vAlign w:val="center"/>
                </w:tcPr>
                <w:p w14:paraId="6E4E9600">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eastAsia" w:eastAsia="宋体" w:cs="Times New Roman"/>
                      <w:color w:val="auto"/>
                      <w:spacing w:val="-2"/>
                      <w:sz w:val="18"/>
                      <w:szCs w:val="18"/>
                      <w:highlight w:val="none"/>
                      <w:lang w:val="en-US" w:eastAsia="zh-CN"/>
                    </w:rPr>
                    <w:t>82</w:t>
                  </w:r>
                  <w:r>
                    <w:rPr>
                      <w:rFonts w:hint="default" w:ascii="Times New Roman" w:hAnsi="Times New Roman" w:eastAsia="Times New Roman" w:cs="Times New Roman"/>
                      <w:color w:val="auto"/>
                      <w:spacing w:val="-2"/>
                      <w:sz w:val="18"/>
                      <w:szCs w:val="18"/>
                      <w:highlight w:val="none"/>
                    </w:rPr>
                    <w:t>%</w:t>
                  </w:r>
                </w:p>
              </w:tc>
              <w:tc>
                <w:tcPr>
                  <w:tcW w:w="0" w:type="auto"/>
                  <w:vAlign w:val="center"/>
                </w:tcPr>
                <w:p w14:paraId="5837F3DB">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eastAsia" w:eastAsia="宋体" w:cs="Times New Roman"/>
                      <w:color w:val="auto"/>
                      <w:spacing w:val="2"/>
                      <w:sz w:val="18"/>
                      <w:szCs w:val="18"/>
                      <w:highlight w:val="none"/>
                      <w:lang w:val="en-US" w:eastAsia="zh-CN"/>
                    </w:rPr>
                    <w:t>88</w:t>
                  </w:r>
                  <w:r>
                    <w:rPr>
                      <w:rFonts w:hint="default" w:ascii="Times New Roman" w:hAnsi="Times New Roman" w:eastAsia="Times New Roman" w:cs="Times New Roman"/>
                      <w:color w:val="auto"/>
                      <w:spacing w:val="2"/>
                      <w:sz w:val="18"/>
                      <w:szCs w:val="18"/>
                      <w:highlight w:val="none"/>
                    </w:rPr>
                    <w:t>%</w:t>
                  </w:r>
                </w:p>
              </w:tc>
              <w:tc>
                <w:tcPr>
                  <w:tcW w:w="0" w:type="auto"/>
                  <w:vAlign w:val="center"/>
                </w:tcPr>
                <w:p w14:paraId="31C78EED">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eastAsia" w:eastAsia="宋体" w:cs="Times New Roman"/>
                      <w:color w:val="auto"/>
                      <w:spacing w:val="3"/>
                      <w:sz w:val="18"/>
                      <w:szCs w:val="18"/>
                      <w:highlight w:val="none"/>
                      <w:lang w:val="en-US" w:eastAsia="zh-CN"/>
                    </w:rPr>
                    <w:t>90</w:t>
                  </w:r>
                  <w:r>
                    <w:rPr>
                      <w:rFonts w:hint="default" w:ascii="Times New Roman" w:hAnsi="Times New Roman" w:eastAsia="Times New Roman" w:cs="Times New Roman"/>
                      <w:color w:val="auto"/>
                      <w:spacing w:val="3"/>
                      <w:sz w:val="18"/>
                      <w:szCs w:val="18"/>
                      <w:highlight w:val="none"/>
                    </w:rPr>
                    <w:t>%</w:t>
                  </w:r>
                </w:p>
              </w:tc>
              <w:tc>
                <w:tcPr>
                  <w:tcW w:w="0" w:type="auto"/>
                  <w:vAlign w:val="center"/>
                </w:tcPr>
                <w:p w14:paraId="548BC21C">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eastAsia" w:eastAsia="宋体" w:cs="Times New Roman"/>
                      <w:color w:val="auto"/>
                      <w:spacing w:val="2"/>
                      <w:sz w:val="18"/>
                      <w:szCs w:val="18"/>
                      <w:highlight w:val="none"/>
                      <w:lang w:val="en-US" w:eastAsia="zh-CN"/>
                    </w:rPr>
                    <w:t>68</w:t>
                  </w:r>
                  <w:r>
                    <w:rPr>
                      <w:rFonts w:hint="default" w:ascii="Times New Roman" w:hAnsi="Times New Roman" w:eastAsia="Times New Roman" w:cs="Times New Roman"/>
                      <w:color w:val="auto"/>
                      <w:spacing w:val="2"/>
                      <w:sz w:val="18"/>
                      <w:szCs w:val="18"/>
                      <w:highlight w:val="none"/>
                    </w:rPr>
                    <w:t>%</w:t>
                  </w:r>
                </w:p>
              </w:tc>
            </w:tr>
            <w:tr w14:paraId="329E863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Merge w:val="continue"/>
                  <w:tcBorders>
                    <w:top w:val="nil"/>
                    <w:bottom w:val="nil"/>
                  </w:tcBorders>
                  <w:vAlign w:val="center"/>
                </w:tcPr>
                <w:p w14:paraId="4DD49D9D">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p>
              </w:tc>
              <w:tc>
                <w:tcPr>
                  <w:tcW w:w="2551" w:type="dxa"/>
                  <w:vMerge w:val="continue"/>
                  <w:tcBorders>
                    <w:top w:val="nil"/>
                  </w:tcBorders>
                  <w:vAlign w:val="center"/>
                </w:tcPr>
                <w:p w14:paraId="2C462538">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p>
              </w:tc>
              <w:tc>
                <w:tcPr>
                  <w:tcW w:w="0" w:type="auto"/>
                  <w:vAlign w:val="center"/>
                </w:tcPr>
                <w:p w14:paraId="47C7C6B0">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7"/>
                      <w:sz w:val="18"/>
                      <w:szCs w:val="18"/>
                      <w:highlight w:val="none"/>
                    </w:rPr>
                    <w:t>排水去向</w:t>
                  </w:r>
                </w:p>
              </w:tc>
              <w:tc>
                <w:tcPr>
                  <w:tcW w:w="0" w:type="auto"/>
                  <w:gridSpan w:val="4"/>
                  <w:vAlign w:val="center"/>
                </w:tcPr>
                <w:p w14:paraId="000A3D17">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eastAsia" w:eastAsia="宋体" w:cs="Times New Roman"/>
                      <w:color w:val="auto"/>
                      <w:spacing w:val="9"/>
                      <w:sz w:val="18"/>
                      <w:szCs w:val="18"/>
                      <w:highlight w:val="none"/>
                      <w:lang w:val="en-US" w:eastAsia="zh-CN"/>
                    </w:rPr>
                    <w:t>先排至南侧番茄酱厂污水处理站，之后再通过</w:t>
                  </w:r>
                  <w:r>
                    <w:rPr>
                      <w:rFonts w:hint="default" w:ascii="Times New Roman" w:hAnsi="Times New Roman" w:cs="Times New Roman"/>
                      <w:color w:val="auto"/>
                      <w:spacing w:val="9"/>
                      <w:sz w:val="18"/>
                      <w:szCs w:val="18"/>
                      <w:highlight w:val="none"/>
                    </w:rPr>
                    <w:t>污水管网排至</w:t>
                  </w:r>
                  <w:r>
                    <w:rPr>
                      <w:rFonts w:hint="eastAsia" w:eastAsia="宋体" w:cs="Times New Roman"/>
                      <w:color w:val="auto"/>
                      <w:spacing w:val="9"/>
                      <w:sz w:val="18"/>
                      <w:szCs w:val="18"/>
                      <w:highlight w:val="none"/>
                      <w:lang w:val="en-US" w:eastAsia="zh-CN"/>
                    </w:rPr>
                    <w:t>园区</w:t>
                  </w:r>
                  <w:r>
                    <w:rPr>
                      <w:rFonts w:hint="default" w:ascii="Times New Roman" w:hAnsi="Times New Roman" w:cs="Times New Roman"/>
                      <w:color w:val="auto"/>
                      <w:spacing w:val="9"/>
                      <w:sz w:val="18"/>
                      <w:szCs w:val="18"/>
                      <w:highlight w:val="none"/>
                    </w:rPr>
                    <w:t>污水处理厂</w:t>
                  </w:r>
                </w:p>
              </w:tc>
            </w:tr>
            <w:tr w14:paraId="7FB448A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Merge w:val="continue"/>
                  <w:tcBorders>
                    <w:top w:val="nil"/>
                    <w:bottom w:val="nil"/>
                  </w:tcBorders>
                  <w:vAlign w:val="center"/>
                </w:tcPr>
                <w:p w14:paraId="2B88BACF">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p>
              </w:tc>
              <w:tc>
                <w:tcPr>
                  <w:tcW w:w="3527" w:type="dxa"/>
                  <w:gridSpan w:val="2"/>
                  <w:vAlign w:val="center"/>
                </w:tcPr>
                <w:p w14:paraId="2F1906BA">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7"/>
                      <w:sz w:val="18"/>
                      <w:szCs w:val="18"/>
                      <w:highlight w:val="none"/>
                    </w:rPr>
                    <w:t>排放浓度（</w:t>
                  </w:r>
                  <w:r>
                    <w:rPr>
                      <w:rFonts w:hint="default" w:ascii="Times New Roman" w:hAnsi="Times New Roman" w:eastAsia="Times New Roman" w:cs="Times New Roman"/>
                      <w:color w:val="auto"/>
                      <w:sz w:val="18"/>
                      <w:szCs w:val="18"/>
                      <w:highlight w:val="none"/>
                    </w:rPr>
                    <w:t>mg</w:t>
                  </w:r>
                  <w:r>
                    <w:rPr>
                      <w:rFonts w:hint="default" w:ascii="Times New Roman" w:hAnsi="Times New Roman" w:eastAsia="Times New Roman" w:cs="Times New Roman"/>
                      <w:color w:val="auto"/>
                      <w:spacing w:val="7"/>
                      <w:sz w:val="18"/>
                      <w:szCs w:val="18"/>
                      <w:highlight w:val="none"/>
                    </w:rPr>
                    <w:t>/L</w:t>
                  </w:r>
                  <w:r>
                    <w:rPr>
                      <w:rFonts w:hint="default" w:ascii="Times New Roman" w:hAnsi="Times New Roman" w:cs="Times New Roman"/>
                      <w:color w:val="auto"/>
                      <w:spacing w:val="7"/>
                      <w:sz w:val="18"/>
                      <w:szCs w:val="18"/>
                      <w:highlight w:val="none"/>
                    </w:rPr>
                    <w:t>）</w:t>
                  </w:r>
                </w:p>
              </w:tc>
              <w:tc>
                <w:tcPr>
                  <w:tcW w:w="0" w:type="auto"/>
                  <w:vAlign w:val="center"/>
                </w:tcPr>
                <w:p w14:paraId="692636FF">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color w:val="auto"/>
                      <w:sz w:val="18"/>
                      <w:szCs w:val="18"/>
                      <w:highlight w:val="none"/>
                      <w:lang w:val="en-US" w:eastAsia="zh-CN"/>
                    </w:rPr>
                  </w:pPr>
                  <w:r>
                    <w:rPr>
                      <w:rFonts w:hint="eastAsia" w:cs="Times New Roman"/>
                      <w:i w:val="0"/>
                      <w:iCs w:val="0"/>
                      <w:color w:val="auto"/>
                      <w:kern w:val="0"/>
                      <w:sz w:val="18"/>
                      <w:szCs w:val="18"/>
                      <w:highlight w:val="none"/>
                      <w:u w:val="none"/>
                      <w:lang w:val="en-US" w:eastAsia="zh-CN" w:bidi="ar"/>
                    </w:rPr>
                    <w:t>450</w:t>
                  </w:r>
                </w:p>
              </w:tc>
              <w:tc>
                <w:tcPr>
                  <w:tcW w:w="0" w:type="auto"/>
                  <w:vAlign w:val="center"/>
                </w:tcPr>
                <w:p w14:paraId="654A7C5D">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color w:val="auto"/>
                      <w:sz w:val="18"/>
                      <w:szCs w:val="18"/>
                      <w:highlight w:val="none"/>
                      <w:lang w:val="en-US" w:eastAsia="zh-CN"/>
                    </w:rPr>
                  </w:pPr>
                  <w:r>
                    <w:rPr>
                      <w:rFonts w:hint="eastAsia" w:cs="Times New Roman"/>
                      <w:i w:val="0"/>
                      <w:iCs w:val="0"/>
                      <w:color w:val="auto"/>
                      <w:kern w:val="0"/>
                      <w:sz w:val="18"/>
                      <w:szCs w:val="18"/>
                      <w:highlight w:val="none"/>
                      <w:u w:val="none"/>
                      <w:lang w:val="en-US" w:eastAsia="zh-CN" w:bidi="ar"/>
                    </w:rPr>
                    <w:t>228</w:t>
                  </w:r>
                </w:p>
              </w:tc>
              <w:tc>
                <w:tcPr>
                  <w:tcW w:w="0" w:type="auto"/>
                  <w:vAlign w:val="center"/>
                </w:tcPr>
                <w:p w14:paraId="2068D00E">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50</w:t>
                  </w:r>
                </w:p>
              </w:tc>
              <w:tc>
                <w:tcPr>
                  <w:tcW w:w="0" w:type="auto"/>
                  <w:vAlign w:val="center"/>
                </w:tcPr>
                <w:p w14:paraId="063866B6">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6.4</w:t>
                  </w:r>
                </w:p>
              </w:tc>
            </w:tr>
            <w:tr w14:paraId="71450FB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Merge w:val="continue"/>
                  <w:tcBorders>
                    <w:top w:val="nil"/>
                    <w:bottom w:val="nil"/>
                  </w:tcBorders>
                  <w:vAlign w:val="center"/>
                </w:tcPr>
                <w:p w14:paraId="7DEAC03F">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p>
              </w:tc>
              <w:tc>
                <w:tcPr>
                  <w:tcW w:w="3527" w:type="dxa"/>
                  <w:gridSpan w:val="2"/>
                  <w:vAlign w:val="center"/>
                </w:tcPr>
                <w:p w14:paraId="31FB162A">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4"/>
                      <w:sz w:val="18"/>
                      <w:szCs w:val="18"/>
                      <w:highlight w:val="none"/>
                    </w:rPr>
                    <w:t>排放量（</w:t>
                  </w:r>
                  <w:r>
                    <w:rPr>
                      <w:rFonts w:hint="default" w:ascii="Times New Roman" w:hAnsi="Times New Roman" w:eastAsia="Times New Roman" w:cs="Times New Roman"/>
                      <w:color w:val="auto"/>
                      <w:spacing w:val="4"/>
                      <w:sz w:val="18"/>
                      <w:szCs w:val="18"/>
                      <w:highlight w:val="none"/>
                    </w:rPr>
                    <w:t>t/a</w:t>
                  </w:r>
                  <w:r>
                    <w:rPr>
                      <w:rFonts w:hint="default" w:ascii="Times New Roman" w:hAnsi="Times New Roman" w:cs="Times New Roman"/>
                      <w:color w:val="auto"/>
                      <w:spacing w:val="4"/>
                      <w:sz w:val="18"/>
                      <w:szCs w:val="18"/>
                      <w:highlight w:val="none"/>
                    </w:rPr>
                    <w:t>）</w:t>
                  </w:r>
                </w:p>
              </w:tc>
              <w:tc>
                <w:tcPr>
                  <w:tcW w:w="1083" w:type="dxa"/>
                  <w:vAlign w:val="center"/>
                </w:tcPr>
                <w:p w14:paraId="373F814D">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ascii="Times New Roman" w:hAnsi="Times New Roman" w:eastAsia="宋体" w:cs="Times New Roman"/>
                      <w:i w:val="0"/>
                      <w:iCs w:val="0"/>
                      <w:color w:val="auto"/>
                      <w:kern w:val="0"/>
                      <w:sz w:val="18"/>
                      <w:szCs w:val="18"/>
                      <w:highlight w:val="none"/>
                      <w:u w:val="none"/>
                      <w:lang w:val="en-US" w:eastAsia="zh-CN" w:bidi="ar"/>
                    </w:rPr>
                    <w:t>0.35</w:t>
                  </w:r>
                  <w:r>
                    <w:rPr>
                      <w:rFonts w:hint="eastAsia" w:cs="Times New Roman"/>
                      <w:i w:val="0"/>
                      <w:iCs w:val="0"/>
                      <w:color w:val="auto"/>
                      <w:kern w:val="0"/>
                      <w:sz w:val="18"/>
                      <w:szCs w:val="18"/>
                      <w:highlight w:val="none"/>
                      <w:u w:val="none"/>
                      <w:lang w:val="en-US" w:eastAsia="zh-CN" w:bidi="ar"/>
                    </w:rPr>
                    <w:t>8</w:t>
                  </w:r>
                </w:p>
              </w:tc>
              <w:tc>
                <w:tcPr>
                  <w:tcW w:w="1337" w:type="dxa"/>
                  <w:vAlign w:val="center"/>
                </w:tcPr>
                <w:p w14:paraId="498D0E58">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ascii="Times New Roman" w:hAnsi="Times New Roman" w:eastAsia="宋体" w:cs="Times New Roman"/>
                      <w:i w:val="0"/>
                      <w:iCs w:val="0"/>
                      <w:color w:val="auto"/>
                      <w:kern w:val="0"/>
                      <w:sz w:val="18"/>
                      <w:szCs w:val="18"/>
                      <w:highlight w:val="none"/>
                      <w:u w:val="none"/>
                      <w:lang w:val="en-US" w:eastAsia="zh-CN" w:bidi="ar"/>
                    </w:rPr>
                    <w:t>0.181</w:t>
                  </w:r>
                </w:p>
              </w:tc>
              <w:tc>
                <w:tcPr>
                  <w:tcW w:w="1209" w:type="dxa"/>
                  <w:vAlign w:val="center"/>
                </w:tcPr>
                <w:p w14:paraId="512FB35E">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ascii="Times New Roman" w:hAnsi="Times New Roman" w:eastAsia="宋体" w:cs="Times New Roman"/>
                      <w:i w:val="0"/>
                      <w:iCs w:val="0"/>
                      <w:color w:val="auto"/>
                      <w:kern w:val="0"/>
                      <w:sz w:val="18"/>
                      <w:szCs w:val="18"/>
                      <w:highlight w:val="none"/>
                      <w:u w:val="none"/>
                      <w:lang w:val="en-US" w:eastAsia="zh-CN" w:bidi="ar"/>
                    </w:rPr>
                    <w:t>0.039</w:t>
                  </w:r>
                  <w:r>
                    <w:rPr>
                      <w:rFonts w:hint="eastAsia" w:cs="Times New Roman"/>
                      <w:i w:val="0"/>
                      <w:iCs w:val="0"/>
                      <w:color w:val="auto"/>
                      <w:kern w:val="0"/>
                      <w:sz w:val="18"/>
                      <w:szCs w:val="18"/>
                      <w:highlight w:val="none"/>
                      <w:u w:val="none"/>
                      <w:lang w:val="en-US" w:eastAsia="zh-CN" w:bidi="ar"/>
                    </w:rPr>
                    <w:t>8</w:t>
                  </w:r>
                </w:p>
              </w:tc>
              <w:tc>
                <w:tcPr>
                  <w:tcW w:w="1353" w:type="dxa"/>
                  <w:vAlign w:val="center"/>
                </w:tcPr>
                <w:p w14:paraId="558E13EC">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ascii="Times New Roman" w:hAnsi="Times New Roman" w:eastAsia="宋体" w:cs="Times New Roman"/>
                      <w:i w:val="0"/>
                      <w:iCs w:val="0"/>
                      <w:color w:val="auto"/>
                      <w:kern w:val="0"/>
                      <w:sz w:val="18"/>
                      <w:szCs w:val="18"/>
                      <w:highlight w:val="none"/>
                      <w:u w:val="none"/>
                      <w:lang w:val="en-US" w:eastAsia="zh-CN" w:bidi="ar"/>
                    </w:rPr>
                    <w:t>0.00509</w:t>
                  </w:r>
                </w:p>
              </w:tc>
            </w:tr>
            <w:tr w14:paraId="6E2462E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Merge w:val="continue"/>
                  <w:tcBorders>
                    <w:top w:val="nil"/>
                    <w:bottom w:val="nil"/>
                  </w:tcBorders>
                  <w:vAlign w:val="center"/>
                </w:tcPr>
                <w:p w14:paraId="61B49D32">
                  <w:pPr>
                    <w:keepNext w:val="0"/>
                    <w:keepLines w:val="0"/>
                    <w:pageBreakBefore w:val="0"/>
                    <w:widowControl/>
                    <w:kinsoku/>
                    <w:wordWrap/>
                    <w:overflowPunct/>
                    <w:topLinePunct w:val="0"/>
                    <w:autoSpaceDE/>
                    <w:autoSpaceDN/>
                    <w:bidi w:val="0"/>
                    <w:adjustRightInd/>
                    <w:snapToGrid/>
                    <w:spacing w:line="200" w:lineRule="exact"/>
                    <w:ind w:left="0" w:right="0" w:firstLine="0"/>
                    <w:jc w:val="center"/>
                    <w:textAlignment w:val="center"/>
                    <w:rPr>
                      <w:rFonts w:hint="default" w:ascii="Times New Roman" w:hAnsi="Times New Roman" w:cs="Times New Roman"/>
                      <w:color w:val="auto"/>
                      <w:kern w:val="0"/>
                      <w:sz w:val="18"/>
                      <w:szCs w:val="18"/>
                      <w:highlight w:val="none"/>
                      <w:u w:val="none"/>
                      <w:lang w:bidi="ar"/>
                    </w:rPr>
                  </w:pPr>
                </w:p>
              </w:tc>
              <w:tc>
                <w:tcPr>
                  <w:tcW w:w="3527" w:type="dxa"/>
                  <w:gridSpan w:val="2"/>
                  <w:vAlign w:val="center"/>
                </w:tcPr>
                <w:p w14:paraId="1576F25B">
                  <w:pPr>
                    <w:keepNext w:val="0"/>
                    <w:keepLines w:val="0"/>
                    <w:pageBreakBefore w:val="0"/>
                    <w:widowControl/>
                    <w:kinsoku/>
                    <w:wordWrap/>
                    <w:overflowPunct/>
                    <w:topLinePunct w:val="0"/>
                    <w:autoSpaceDE/>
                    <w:autoSpaceDN/>
                    <w:bidi w:val="0"/>
                    <w:adjustRightInd/>
                    <w:snapToGrid/>
                    <w:ind w:left="0" w:right="0"/>
                    <w:jc w:val="center"/>
                    <w:textAlignment w:val="center"/>
                    <w:rPr>
                      <w:rFonts w:hint="default" w:ascii="Times New Roman" w:hAnsi="Times New Roman" w:cs="Times New Roman"/>
                      <w:color w:val="auto"/>
                      <w:kern w:val="0"/>
                      <w:sz w:val="18"/>
                      <w:szCs w:val="18"/>
                      <w:highlight w:val="none"/>
                      <w:u w:val="none"/>
                      <w:lang w:bidi="ar"/>
                    </w:rPr>
                  </w:pPr>
                  <w:r>
                    <w:rPr>
                      <w:rFonts w:hint="default" w:ascii="Times New Roman" w:hAnsi="Times New Roman" w:eastAsia="宋体" w:cs="Times New Roman"/>
                      <w:color w:val="auto"/>
                      <w:spacing w:val="0"/>
                      <w:kern w:val="0"/>
                      <w:sz w:val="18"/>
                      <w:szCs w:val="18"/>
                      <w:highlight w:val="none"/>
                      <w:u w:val="none"/>
                      <w:lang w:val="en-US" w:eastAsia="zh-CN" w:bidi="ar"/>
                    </w:rPr>
                    <w:t>园区</w:t>
                  </w:r>
                  <w:r>
                    <w:rPr>
                      <w:rFonts w:hint="default" w:ascii="Times New Roman" w:hAnsi="Times New Roman" w:cs="Times New Roman"/>
                      <w:color w:val="auto"/>
                      <w:spacing w:val="0"/>
                      <w:kern w:val="0"/>
                      <w:sz w:val="18"/>
                      <w:szCs w:val="18"/>
                      <w:highlight w:val="none"/>
                      <w:u w:val="none"/>
                      <w:lang w:bidi="ar"/>
                    </w:rPr>
                    <w:t>处理厂接管要求（</w:t>
                  </w:r>
                  <w:r>
                    <w:rPr>
                      <w:rFonts w:hint="default" w:ascii="Times New Roman" w:hAnsi="Times New Roman" w:eastAsia="宋体" w:cs="Times New Roman"/>
                      <w:color w:val="auto"/>
                      <w:kern w:val="0"/>
                      <w:sz w:val="18"/>
                      <w:szCs w:val="18"/>
                      <w:highlight w:val="none"/>
                      <w:u w:val="none"/>
                      <w:lang w:bidi="ar"/>
                    </w:rPr>
                    <w:t>mg</w:t>
                  </w:r>
                  <w:r>
                    <w:rPr>
                      <w:rFonts w:hint="default" w:ascii="Times New Roman" w:hAnsi="Times New Roman" w:eastAsia="宋体" w:cs="Times New Roman"/>
                      <w:color w:val="auto"/>
                      <w:spacing w:val="0"/>
                      <w:kern w:val="0"/>
                      <w:sz w:val="18"/>
                      <w:szCs w:val="18"/>
                      <w:highlight w:val="none"/>
                      <w:u w:val="none"/>
                      <w:lang w:bidi="ar"/>
                    </w:rPr>
                    <w:t>/L</w:t>
                  </w:r>
                  <w:r>
                    <w:rPr>
                      <w:rFonts w:hint="default" w:ascii="Times New Roman" w:hAnsi="Times New Roman" w:cs="Times New Roman"/>
                      <w:color w:val="auto"/>
                      <w:spacing w:val="0"/>
                      <w:kern w:val="0"/>
                      <w:sz w:val="18"/>
                      <w:szCs w:val="18"/>
                      <w:highlight w:val="none"/>
                      <w:u w:val="none"/>
                      <w:lang w:bidi="ar"/>
                    </w:rPr>
                    <w:t>）</w:t>
                  </w:r>
                </w:p>
              </w:tc>
              <w:tc>
                <w:tcPr>
                  <w:tcW w:w="941" w:type="dxa"/>
                  <w:vAlign w:val="center"/>
                </w:tcPr>
                <w:p w14:paraId="0D0A3429">
                  <w:pPr>
                    <w:widowControl/>
                    <w:spacing w:before="0" w:line="200" w:lineRule="exact"/>
                    <w:ind w:left="0" w:leftChars="0"/>
                    <w:jc w:val="center"/>
                    <w:textAlignment w:val="center"/>
                    <w:rPr>
                      <w:rFonts w:hint="default" w:ascii="Times New Roman" w:hAnsi="Times New Roman" w:eastAsia="宋体" w:cs="Times New Roman"/>
                      <w:color w:val="auto"/>
                      <w:kern w:val="0"/>
                      <w:sz w:val="18"/>
                      <w:szCs w:val="18"/>
                      <w:highlight w:val="none"/>
                      <w:u w:val="none"/>
                      <w:lang w:bidi="ar"/>
                    </w:rPr>
                  </w:pPr>
                  <w:r>
                    <w:rPr>
                      <w:rFonts w:hint="default" w:eastAsia="宋体" w:cs="Times New Roman"/>
                      <w:color w:val="auto"/>
                      <w:kern w:val="0"/>
                      <w:sz w:val="18"/>
                      <w:szCs w:val="18"/>
                      <w:highlight w:val="none"/>
                      <w:u w:val="none"/>
                      <w:lang w:val="en-US" w:eastAsia="zh-CN" w:bidi="ar"/>
                    </w:rPr>
                    <w:t>500</w:t>
                  </w:r>
                </w:p>
              </w:tc>
              <w:tc>
                <w:tcPr>
                  <w:tcW w:w="1161" w:type="dxa"/>
                  <w:vAlign w:val="center"/>
                </w:tcPr>
                <w:p w14:paraId="3CD3AA37">
                  <w:pPr>
                    <w:widowControl/>
                    <w:spacing w:before="0" w:line="200" w:lineRule="exact"/>
                    <w:ind w:left="0" w:leftChars="0"/>
                    <w:jc w:val="center"/>
                    <w:textAlignment w:val="center"/>
                    <w:rPr>
                      <w:rFonts w:hint="default" w:ascii="Times New Roman" w:hAnsi="Times New Roman" w:eastAsia="宋体" w:cs="Times New Roman"/>
                      <w:color w:val="auto"/>
                      <w:kern w:val="0"/>
                      <w:sz w:val="18"/>
                      <w:szCs w:val="18"/>
                      <w:highlight w:val="none"/>
                      <w:u w:val="none"/>
                      <w:lang w:bidi="ar"/>
                    </w:rPr>
                  </w:pPr>
                  <w:r>
                    <w:rPr>
                      <w:rFonts w:hint="default" w:eastAsia="宋体" w:cs="Times New Roman"/>
                      <w:color w:val="auto"/>
                      <w:spacing w:val="0"/>
                      <w:kern w:val="0"/>
                      <w:sz w:val="18"/>
                      <w:szCs w:val="18"/>
                      <w:highlight w:val="none"/>
                      <w:u w:val="none"/>
                      <w:lang w:val="en-US" w:eastAsia="zh-CN" w:bidi="ar"/>
                    </w:rPr>
                    <w:t>300</w:t>
                  </w:r>
                </w:p>
              </w:tc>
              <w:tc>
                <w:tcPr>
                  <w:tcW w:w="1051" w:type="dxa"/>
                  <w:vAlign w:val="center"/>
                </w:tcPr>
                <w:p w14:paraId="67516318">
                  <w:pPr>
                    <w:widowControl/>
                    <w:spacing w:before="0" w:line="200" w:lineRule="exact"/>
                    <w:ind w:left="0" w:leftChars="0"/>
                    <w:jc w:val="center"/>
                    <w:textAlignment w:val="center"/>
                    <w:rPr>
                      <w:rFonts w:hint="default" w:ascii="Times New Roman" w:hAnsi="Times New Roman" w:eastAsia="宋体" w:cs="Times New Roman"/>
                      <w:color w:val="auto"/>
                      <w:kern w:val="0"/>
                      <w:sz w:val="18"/>
                      <w:szCs w:val="18"/>
                      <w:highlight w:val="none"/>
                      <w:u w:val="none"/>
                      <w:lang w:bidi="ar"/>
                    </w:rPr>
                  </w:pPr>
                  <w:r>
                    <w:rPr>
                      <w:rFonts w:hint="default" w:eastAsia="宋体" w:cs="Times New Roman"/>
                      <w:color w:val="auto"/>
                      <w:spacing w:val="0"/>
                      <w:kern w:val="0"/>
                      <w:sz w:val="18"/>
                      <w:szCs w:val="18"/>
                      <w:highlight w:val="none"/>
                      <w:u w:val="none"/>
                      <w:lang w:val="en-US" w:eastAsia="zh-CN" w:bidi="ar"/>
                    </w:rPr>
                    <w:t>400</w:t>
                  </w:r>
                </w:p>
              </w:tc>
              <w:tc>
                <w:tcPr>
                  <w:tcW w:w="1173" w:type="dxa"/>
                  <w:vAlign w:val="center"/>
                </w:tcPr>
                <w:p w14:paraId="353DD955">
                  <w:pPr>
                    <w:widowControl/>
                    <w:spacing w:before="0" w:line="200" w:lineRule="exact"/>
                    <w:ind w:left="0" w:leftChars="0"/>
                    <w:jc w:val="center"/>
                    <w:textAlignment w:val="center"/>
                    <w:rPr>
                      <w:rFonts w:hint="default" w:ascii="Times New Roman" w:hAnsi="Times New Roman" w:eastAsia="宋体" w:cs="Times New Roman"/>
                      <w:color w:val="auto"/>
                      <w:kern w:val="0"/>
                      <w:sz w:val="18"/>
                      <w:szCs w:val="18"/>
                      <w:highlight w:val="none"/>
                      <w:u w:val="none"/>
                      <w:lang w:bidi="ar"/>
                    </w:rPr>
                  </w:pPr>
                  <w:r>
                    <w:rPr>
                      <w:rFonts w:hint="default" w:eastAsia="宋体" w:cs="Times New Roman"/>
                      <w:color w:val="auto"/>
                      <w:spacing w:val="0"/>
                      <w:kern w:val="0"/>
                      <w:sz w:val="18"/>
                      <w:szCs w:val="18"/>
                      <w:highlight w:val="none"/>
                      <w:u w:val="none"/>
                      <w:lang w:val="en-US" w:eastAsia="zh-CN" w:bidi="ar"/>
                    </w:rPr>
                    <w:t>45</w:t>
                  </w:r>
                </w:p>
              </w:tc>
            </w:tr>
            <w:tr w14:paraId="5C61EAE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Merge w:val="continue"/>
                  <w:tcBorders>
                    <w:top w:val="nil"/>
                    <w:bottom w:val="nil"/>
                  </w:tcBorders>
                  <w:vAlign w:val="center"/>
                </w:tcPr>
                <w:p w14:paraId="58B27BE0">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p>
              </w:tc>
              <w:tc>
                <w:tcPr>
                  <w:tcW w:w="3527" w:type="dxa"/>
                  <w:gridSpan w:val="2"/>
                  <w:vAlign w:val="center"/>
                </w:tcPr>
                <w:p w14:paraId="2F4F8043">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8"/>
                      <w:sz w:val="18"/>
                      <w:szCs w:val="18"/>
                      <w:highlight w:val="none"/>
                    </w:rPr>
                    <w:t>是否能达到排放要求</w:t>
                  </w:r>
                </w:p>
              </w:tc>
              <w:tc>
                <w:tcPr>
                  <w:tcW w:w="0" w:type="auto"/>
                  <w:vAlign w:val="center"/>
                </w:tcPr>
                <w:p w14:paraId="28D30C92">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0" w:type="auto"/>
                  <w:vAlign w:val="center"/>
                </w:tcPr>
                <w:p w14:paraId="0CC82CA0">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0" w:type="auto"/>
                  <w:vAlign w:val="center"/>
                </w:tcPr>
                <w:p w14:paraId="6B734EC6">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0" w:type="auto"/>
                  <w:vAlign w:val="center"/>
                </w:tcPr>
                <w:p w14:paraId="7807443A">
                  <w:pPr>
                    <w:pStyle w:val="119"/>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14:paraId="0D6E535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Merge w:val="continue"/>
                  <w:tcBorders>
                    <w:top w:val="nil"/>
                    <w:bottom w:val="nil"/>
                  </w:tcBorders>
                  <w:vAlign w:val="center"/>
                </w:tcPr>
                <w:p w14:paraId="5415D7F8">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p>
              </w:tc>
              <w:tc>
                <w:tcPr>
                  <w:tcW w:w="2551" w:type="dxa"/>
                  <w:vMerge w:val="restart"/>
                  <w:tcBorders>
                    <w:bottom w:val="nil"/>
                  </w:tcBorders>
                  <w:vAlign w:val="center"/>
                </w:tcPr>
                <w:p w14:paraId="38E872B1">
                  <w:pPr>
                    <w:keepNext w:val="0"/>
                    <w:keepLines w:val="0"/>
                    <w:pageBreakBefore w:val="0"/>
                    <w:kinsoku/>
                    <w:wordWrap/>
                    <w:overflowPunct/>
                    <w:topLinePunct w:val="0"/>
                    <w:autoSpaceDE/>
                    <w:autoSpaceDN/>
                    <w:bidi w:val="0"/>
                    <w:adjustRightInd/>
                    <w:snapToGrid/>
                    <w:ind w:left="0" w:right="0"/>
                    <w:jc w:val="center"/>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color w:val="auto"/>
                      <w:spacing w:val="0"/>
                      <w:sz w:val="18"/>
                      <w:szCs w:val="18"/>
                      <w:highlight w:val="none"/>
                    </w:rPr>
                    <w:t>经</w:t>
                  </w:r>
                  <w:r>
                    <w:rPr>
                      <w:rFonts w:hint="default" w:ascii="Times New Roman" w:hAnsi="Times New Roman" w:eastAsia="Times New Roman" w:cs="Times New Roman"/>
                      <w:color w:val="auto"/>
                      <w:spacing w:val="0"/>
                      <w:sz w:val="18"/>
                      <w:szCs w:val="18"/>
                      <w:highlight w:val="none"/>
                      <w:lang w:val="en-US" w:eastAsia="zh-CN"/>
                    </w:rPr>
                    <w:t>园区</w:t>
                  </w:r>
                  <w:r>
                    <w:rPr>
                      <w:rFonts w:hint="default" w:ascii="Times New Roman" w:hAnsi="Times New Roman" w:eastAsia="Times New Roman" w:cs="Times New Roman"/>
                      <w:color w:val="auto"/>
                      <w:spacing w:val="0"/>
                      <w:sz w:val="18"/>
                      <w:szCs w:val="18"/>
                      <w:highlight w:val="none"/>
                    </w:rPr>
                    <w:t>污水处理厂处理后排放执行《城镇污水处理厂污染物排放标准》（</w:t>
                  </w:r>
                  <w:r>
                    <w:rPr>
                      <w:rFonts w:hint="default" w:ascii="Times New Roman" w:hAnsi="Times New Roman" w:eastAsia="Times New Roman" w:cs="Times New Roman"/>
                      <w:color w:val="auto"/>
                      <w:sz w:val="18"/>
                      <w:szCs w:val="18"/>
                      <w:highlight w:val="none"/>
                    </w:rPr>
                    <w:t>GB</w:t>
                  </w:r>
                  <w:r>
                    <w:rPr>
                      <w:rFonts w:hint="default" w:ascii="Times New Roman" w:hAnsi="Times New Roman" w:eastAsia="Times New Roman" w:cs="Times New Roman"/>
                      <w:color w:val="auto"/>
                      <w:spacing w:val="0"/>
                      <w:sz w:val="18"/>
                      <w:szCs w:val="18"/>
                      <w:highlight w:val="none"/>
                    </w:rPr>
                    <w:t>18918-2002）一级A标准</w:t>
                  </w:r>
                </w:p>
              </w:tc>
              <w:tc>
                <w:tcPr>
                  <w:tcW w:w="0" w:type="auto"/>
                  <w:vAlign w:val="center"/>
                </w:tcPr>
                <w:p w14:paraId="3E87146D">
                  <w:pPr>
                    <w:keepNext w:val="0"/>
                    <w:keepLines w:val="0"/>
                    <w:pageBreakBefore w:val="0"/>
                    <w:kinsoku/>
                    <w:wordWrap/>
                    <w:overflowPunct/>
                    <w:topLinePunct w:val="0"/>
                    <w:autoSpaceDE/>
                    <w:autoSpaceDN/>
                    <w:bidi w:val="0"/>
                    <w:adjustRightInd/>
                    <w:snapToGrid/>
                    <w:ind w:left="0" w:right="0"/>
                    <w:jc w:val="center"/>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color w:val="auto"/>
                      <w:spacing w:val="0"/>
                      <w:sz w:val="18"/>
                      <w:szCs w:val="18"/>
                      <w:highlight w:val="none"/>
                    </w:rPr>
                    <w:t>排放浓度</w:t>
                  </w:r>
                  <w:r>
                    <w:rPr>
                      <w:rFonts w:hint="default" w:ascii="Times New Roman" w:hAnsi="Times New Roman" w:eastAsia="Times New Roman" w:cs="Times New Roman"/>
                      <w:color w:val="auto"/>
                      <w:sz w:val="18"/>
                      <w:szCs w:val="18"/>
                      <w:highlight w:val="none"/>
                    </w:rPr>
                    <w:t>（mg/L）</w:t>
                  </w:r>
                </w:p>
              </w:tc>
              <w:tc>
                <w:tcPr>
                  <w:tcW w:w="0" w:type="auto"/>
                  <w:vAlign w:val="center"/>
                </w:tcPr>
                <w:p w14:paraId="470E8FB6">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color w:val="auto"/>
                      <w:sz w:val="18"/>
                      <w:szCs w:val="18"/>
                      <w:highlight w:val="none"/>
                    </w:rPr>
                    <w:t>50</w:t>
                  </w:r>
                </w:p>
              </w:tc>
              <w:tc>
                <w:tcPr>
                  <w:tcW w:w="0" w:type="auto"/>
                  <w:vAlign w:val="center"/>
                </w:tcPr>
                <w:p w14:paraId="5E14FE93">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color w:val="auto"/>
                      <w:spacing w:val="0"/>
                      <w:sz w:val="18"/>
                      <w:szCs w:val="18"/>
                      <w:highlight w:val="none"/>
                    </w:rPr>
                    <w:t>10</w:t>
                  </w:r>
                </w:p>
              </w:tc>
              <w:tc>
                <w:tcPr>
                  <w:tcW w:w="0" w:type="auto"/>
                  <w:vAlign w:val="center"/>
                </w:tcPr>
                <w:p w14:paraId="647F3080">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color w:val="auto"/>
                      <w:spacing w:val="0"/>
                      <w:sz w:val="18"/>
                      <w:szCs w:val="18"/>
                      <w:highlight w:val="none"/>
                    </w:rPr>
                    <w:t>10</w:t>
                  </w:r>
                </w:p>
              </w:tc>
              <w:tc>
                <w:tcPr>
                  <w:tcW w:w="0" w:type="auto"/>
                  <w:vAlign w:val="center"/>
                </w:tcPr>
                <w:p w14:paraId="188C73A4">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color w:val="auto"/>
                      <w:sz w:val="18"/>
                      <w:szCs w:val="18"/>
                      <w:highlight w:val="none"/>
                    </w:rPr>
                    <w:t>5</w:t>
                  </w:r>
                </w:p>
              </w:tc>
            </w:tr>
            <w:tr w14:paraId="4FE072C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22" w:type="dxa"/>
                  <w:vMerge w:val="continue"/>
                  <w:tcBorders>
                    <w:top w:val="nil"/>
                  </w:tcBorders>
                  <w:vAlign w:val="center"/>
                </w:tcPr>
                <w:p w14:paraId="1D3ECAEB">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p>
              </w:tc>
              <w:tc>
                <w:tcPr>
                  <w:tcW w:w="2551" w:type="dxa"/>
                  <w:vMerge w:val="continue"/>
                  <w:tcBorders>
                    <w:top w:val="nil"/>
                  </w:tcBorders>
                  <w:vAlign w:val="center"/>
                </w:tcPr>
                <w:p w14:paraId="13025300">
                  <w:pPr>
                    <w:keepNext w:val="0"/>
                    <w:keepLines w:val="0"/>
                    <w:pageBreakBefore w:val="0"/>
                    <w:kinsoku/>
                    <w:wordWrap/>
                    <w:overflowPunct/>
                    <w:topLinePunct w:val="0"/>
                    <w:autoSpaceDE/>
                    <w:autoSpaceDN/>
                    <w:bidi w:val="0"/>
                    <w:adjustRightInd/>
                    <w:snapToGrid/>
                    <w:spacing w:line="200" w:lineRule="exact"/>
                    <w:ind w:left="0" w:right="0" w:firstLine="0"/>
                    <w:jc w:val="center"/>
                    <w:rPr>
                      <w:rFonts w:hint="default" w:ascii="Times New Roman" w:hAnsi="Times New Roman" w:eastAsia="Times New Roman" w:cs="Times New Roman"/>
                      <w:color w:val="auto"/>
                      <w:sz w:val="18"/>
                      <w:szCs w:val="18"/>
                      <w:highlight w:val="none"/>
                    </w:rPr>
                  </w:pPr>
                </w:p>
              </w:tc>
              <w:tc>
                <w:tcPr>
                  <w:tcW w:w="0" w:type="auto"/>
                  <w:vAlign w:val="center"/>
                </w:tcPr>
                <w:p w14:paraId="047BEEB3">
                  <w:pPr>
                    <w:keepNext w:val="0"/>
                    <w:keepLines w:val="0"/>
                    <w:pageBreakBefore w:val="0"/>
                    <w:kinsoku/>
                    <w:wordWrap/>
                    <w:overflowPunct/>
                    <w:topLinePunct w:val="0"/>
                    <w:autoSpaceDE/>
                    <w:autoSpaceDN/>
                    <w:bidi w:val="0"/>
                    <w:adjustRightInd/>
                    <w:snapToGrid/>
                    <w:ind w:left="0" w:right="0"/>
                    <w:jc w:val="center"/>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color w:val="auto"/>
                      <w:spacing w:val="0"/>
                      <w:sz w:val="18"/>
                      <w:szCs w:val="18"/>
                      <w:highlight w:val="none"/>
                    </w:rPr>
                    <w:t>排放量（t/a）</w:t>
                  </w:r>
                </w:p>
              </w:tc>
              <w:tc>
                <w:tcPr>
                  <w:tcW w:w="0" w:type="auto"/>
                  <w:vAlign w:val="center"/>
                </w:tcPr>
                <w:p w14:paraId="4E9841DC">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auto"/>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i w:val="0"/>
                      <w:iCs w:val="0"/>
                      <w:color w:val="auto"/>
                      <w:kern w:val="2"/>
                      <w:sz w:val="18"/>
                      <w:szCs w:val="18"/>
                      <w:highlight w:val="none"/>
                      <w:u w:val="none"/>
                      <w:lang w:val="en-US" w:eastAsia="zh-CN" w:bidi="ar"/>
                    </w:rPr>
                    <w:t>0.0397734</w:t>
                  </w:r>
                </w:p>
              </w:tc>
              <w:tc>
                <w:tcPr>
                  <w:tcW w:w="0" w:type="auto"/>
                  <w:vAlign w:val="center"/>
                </w:tcPr>
                <w:p w14:paraId="1B91BCF1">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auto"/>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i w:val="0"/>
                      <w:iCs w:val="0"/>
                      <w:color w:val="auto"/>
                      <w:kern w:val="2"/>
                      <w:sz w:val="18"/>
                      <w:szCs w:val="18"/>
                      <w:highlight w:val="none"/>
                      <w:u w:val="none"/>
                      <w:lang w:val="en-US" w:eastAsia="zh-CN" w:bidi="ar"/>
                    </w:rPr>
                    <w:t>0.00795468</w:t>
                  </w:r>
                </w:p>
              </w:tc>
              <w:tc>
                <w:tcPr>
                  <w:tcW w:w="0" w:type="auto"/>
                  <w:vAlign w:val="center"/>
                </w:tcPr>
                <w:p w14:paraId="52B80954">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auto"/>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i w:val="0"/>
                      <w:iCs w:val="0"/>
                      <w:color w:val="auto"/>
                      <w:kern w:val="2"/>
                      <w:sz w:val="18"/>
                      <w:szCs w:val="18"/>
                      <w:highlight w:val="none"/>
                      <w:u w:val="none"/>
                      <w:lang w:val="en-US" w:eastAsia="zh-CN" w:bidi="ar"/>
                    </w:rPr>
                    <w:t>0.00795468</w:t>
                  </w:r>
                </w:p>
              </w:tc>
              <w:tc>
                <w:tcPr>
                  <w:tcW w:w="0" w:type="auto"/>
                  <w:vAlign w:val="center"/>
                </w:tcPr>
                <w:p w14:paraId="4C80EACC">
                  <w:pPr>
                    <w:keepNext w:val="0"/>
                    <w:keepLines w:val="0"/>
                    <w:pageBreakBefore w:val="0"/>
                    <w:widowControl/>
                    <w:suppressLineNumbers w:val="0"/>
                    <w:kinsoku/>
                    <w:wordWrap/>
                    <w:overflowPunct/>
                    <w:topLinePunct w:val="0"/>
                    <w:autoSpaceDE/>
                    <w:autoSpaceDN/>
                    <w:bidi w:val="0"/>
                    <w:adjustRightInd/>
                    <w:snapToGrid/>
                    <w:spacing w:line="200" w:lineRule="exact"/>
                    <w:ind w:left="0" w:right="0" w:firstLine="0"/>
                    <w:jc w:val="center"/>
                    <w:textAlignment w:val="auto"/>
                    <w:rPr>
                      <w:rFonts w:hint="default" w:ascii="Times New Roman" w:hAnsi="Times New Roman" w:eastAsia="Times New Roman" w:cs="Times New Roman"/>
                      <w:color w:val="auto"/>
                      <w:sz w:val="18"/>
                      <w:szCs w:val="18"/>
                      <w:highlight w:val="none"/>
                    </w:rPr>
                  </w:pPr>
                  <w:r>
                    <w:rPr>
                      <w:rFonts w:hint="default" w:ascii="Times New Roman" w:hAnsi="Times New Roman" w:eastAsia="Times New Roman" w:cs="Times New Roman"/>
                      <w:i w:val="0"/>
                      <w:iCs w:val="0"/>
                      <w:color w:val="auto"/>
                      <w:kern w:val="2"/>
                      <w:sz w:val="18"/>
                      <w:szCs w:val="18"/>
                      <w:highlight w:val="none"/>
                      <w:u w:val="none"/>
                      <w:lang w:val="en-US" w:eastAsia="zh-CN" w:bidi="ar"/>
                    </w:rPr>
                    <w:t>0.00397734</w:t>
                  </w:r>
                </w:p>
              </w:tc>
            </w:tr>
          </w:tbl>
          <w:p w14:paraId="239F2AF4">
            <w:pPr>
              <w:adjustRightInd w:val="0"/>
              <w:snapToGrid w:val="0"/>
              <w:spacing w:line="440" w:lineRule="exact"/>
              <w:rPr>
                <w:rFonts w:hint="default"/>
                <w:color w:val="auto"/>
                <w:spacing w:val="-2"/>
                <w:highlight w:val="none"/>
              </w:rPr>
            </w:pPr>
            <w:r>
              <w:rPr>
                <w:rFonts w:hint="default"/>
                <w:color w:val="auto"/>
                <w:spacing w:val="-2"/>
                <w:highlight w:val="none"/>
              </w:rPr>
              <w:t>2.污水治理设施及排放分析</w:t>
            </w:r>
          </w:p>
          <w:p w14:paraId="33F205D9">
            <w:pPr>
              <w:adjustRightInd w:val="0"/>
              <w:snapToGrid w:val="0"/>
              <w:spacing w:line="440" w:lineRule="exact"/>
              <w:rPr>
                <w:rFonts w:hint="default"/>
                <w:color w:val="auto"/>
                <w:spacing w:val="-2"/>
                <w:highlight w:val="none"/>
              </w:rPr>
            </w:pPr>
            <w:r>
              <w:rPr>
                <w:rFonts w:hint="default"/>
                <w:color w:val="auto"/>
                <w:spacing w:val="-2"/>
                <w:highlight w:val="none"/>
              </w:rPr>
              <w:t>（1）水污染控制和水环境影响减缓措施有效性评价</w:t>
            </w:r>
          </w:p>
          <w:p w14:paraId="41BE27BE">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本项目产生的废水主要包括生活污水和生产废水（原料清洗废水、设备清洗废水、RO水制备浓水、锅炉排污水、循环冷却排污水等）。根据“雨污分流、清污分流、分质处理”的原则，对各类废水进行分类收集与处理。</w:t>
            </w:r>
          </w:p>
          <w:p w14:paraId="758F3E20">
            <w:pPr>
              <w:adjustRightInd w:val="0"/>
              <w:snapToGrid w:val="0"/>
              <w:spacing w:line="440" w:lineRule="exact"/>
              <w:ind w:firstLine="472" w:firstLineChars="200"/>
              <w:rPr>
                <w:color w:val="auto"/>
                <w:spacing w:val="-2"/>
                <w:highlight w:val="none"/>
              </w:rPr>
            </w:pPr>
            <w:r>
              <w:rPr>
                <w:rFonts w:hint="default"/>
                <w:color w:val="auto"/>
                <w:spacing w:val="-2"/>
                <w:highlight w:val="none"/>
                <w:lang w:val="en-US" w:eastAsia="zh-CN"/>
              </w:rPr>
              <w:t>1）</w:t>
            </w:r>
            <w:r>
              <w:rPr>
                <w:color w:val="auto"/>
                <w:spacing w:val="-2"/>
                <w:highlight w:val="none"/>
              </w:rPr>
              <w:t>生活污水处理可行性分析</w:t>
            </w:r>
          </w:p>
          <w:p w14:paraId="535F9ECA">
            <w:pPr>
              <w:adjustRightInd w:val="0"/>
              <w:snapToGrid w:val="0"/>
              <w:spacing w:line="440" w:lineRule="exact"/>
              <w:ind w:firstLine="472" w:firstLineChars="200"/>
              <w:rPr>
                <w:color w:val="auto"/>
                <w:spacing w:val="-2"/>
                <w:highlight w:val="none"/>
              </w:rPr>
            </w:pPr>
            <w:r>
              <w:rPr>
                <w:rFonts w:hint="default"/>
                <w:color w:val="auto"/>
                <w:spacing w:val="-2"/>
                <w:highlight w:val="none"/>
              </w:rPr>
              <w:t>本项目劳动定员51人，生活污水产生量为2.04m³/d（122.4m³/a），主要污染物为COD、BOD</w:t>
            </w:r>
            <w:r>
              <w:rPr>
                <w:rFonts w:hint="default"/>
                <w:color w:val="auto"/>
                <w:spacing w:val="-2"/>
                <w:highlight w:val="none"/>
                <w:vertAlign w:val="subscript"/>
                <w:lang w:val="en-US" w:eastAsia="zh-CN"/>
              </w:rPr>
              <w:t>5</w:t>
            </w:r>
            <w:r>
              <w:rPr>
                <w:rFonts w:hint="default"/>
                <w:color w:val="auto"/>
                <w:spacing w:val="-2"/>
                <w:highlight w:val="none"/>
              </w:rPr>
              <w:t>、SS、NH</w:t>
            </w:r>
            <w:r>
              <w:rPr>
                <w:rFonts w:hint="default"/>
                <w:color w:val="auto"/>
                <w:spacing w:val="-2"/>
                <w:highlight w:val="none"/>
                <w:vertAlign w:val="subscript"/>
                <w:lang w:val="en-US" w:eastAsia="zh-CN"/>
              </w:rPr>
              <w:t>3</w:t>
            </w:r>
            <w:r>
              <w:rPr>
                <w:rFonts w:hint="default"/>
                <w:color w:val="auto"/>
                <w:spacing w:val="-2"/>
                <w:highlight w:val="none"/>
              </w:rPr>
              <w:t>-N等。生活污水经厂区化粪池进行预处理后，统一排入</w:t>
            </w:r>
            <w:r>
              <w:rPr>
                <w:rFonts w:hint="eastAsia"/>
                <w:color w:val="auto"/>
                <w:spacing w:val="-2"/>
                <w:highlight w:val="none"/>
                <w:lang w:val="en-US" w:eastAsia="zh-CN"/>
              </w:rPr>
              <w:t>市政污水管网</w:t>
            </w:r>
            <w:r>
              <w:rPr>
                <w:rFonts w:hint="default"/>
                <w:color w:val="auto"/>
                <w:spacing w:val="-2"/>
                <w:highlight w:val="none"/>
              </w:rPr>
              <w:t>。化粪池处理工艺成熟、运行稳定，对COD、SS等常规污染物具有较好的去除效果，可确保生活污水达标排放。</w:t>
            </w:r>
          </w:p>
          <w:p w14:paraId="6D5A8EDE">
            <w:pPr>
              <w:adjustRightInd w:val="0"/>
              <w:snapToGrid w:val="0"/>
              <w:spacing w:line="440" w:lineRule="exact"/>
              <w:ind w:firstLine="472" w:firstLineChars="200"/>
              <w:rPr>
                <w:color w:val="auto"/>
                <w:spacing w:val="-2"/>
                <w:highlight w:val="none"/>
              </w:rPr>
            </w:pPr>
            <w:r>
              <w:rPr>
                <w:rFonts w:hint="default"/>
                <w:color w:val="auto"/>
                <w:spacing w:val="-2"/>
                <w:highlight w:val="none"/>
                <w:lang w:val="en-US" w:eastAsia="zh-CN"/>
              </w:rPr>
              <w:t>2）</w:t>
            </w:r>
            <w:r>
              <w:rPr>
                <w:color w:val="auto"/>
                <w:spacing w:val="-2"/>
                <w:highlight w:val="none"/>
              </w:rPr>
              <w:t>生产废水处理可行性分析</w:t>
            </w:r>
          </w:p>
          <w:p w14:paraId="0A4ADD81">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本项目生产废水主要包括原料清洗废水（403.2m³/a）、设备CIP清洗废水（178.15m³/a）、软水制备浓水（168.1m³/a）、锅炉排污水（36m³/a）及循环冷却排污水（10m³/a），合计产生量为795.47m³/a（13.</w:t>
            </w:r>
            <w:r>
              <w:rPr>
                <w:rFonts w:hint="default"/>
                <w:color w:val="auto"/>
                <w:spacing w:val="-2"/>
                <w:highlight w:val="none"/>
                <w:lang w:val="en-US" w:eastAsia="zh-CN"/>
              </w:rPr>
              <w:t>2578</w:t>
            </w:r>
            <w:r>
              <w:rPr>
                <w:rFonts w:hint="default"/>
                <w:color w:val="auto"/>
                <w:spacing w:val="-2"/>
                <w:highlight w:val="none"/>
              </w:rPr>
              <w:t>m³/d）。</w:t>
            </w:r>
          </w:p>
          <w:p w14:paraId="133E178E">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生产废水中，原料清洗废水和设备清洗废水有机物浓度较高（COD约2500mg/L，BOD₅约1900mg/L），但可生化性良好（BOD₅/COD≈0.76），适宜采用生化处理工艺。本项目拟将上述高浓度有机废水经厂区污水收集管道汇入</w:t>
            </w:r>
            <w:r>
              <w:rPr>
                <w:rFonts w:hint="eastAsia"/>
                <w:color w:val="auto"/>
                <w:spacing w:val="-2"/>
                <w:highlight w:val="none"/>
                <w:lang w:val="en-US" w:eastAsia="zh-CN"/>
              </w:rPr>
              <w:t>沉砂池</w:t>
            </w:r>
            <w:r>
              <w:rPr>
                <w:rFonts w:hint="default"/>
                <w:color w:val="auto"/>
                <w:spacing w:val="-2"/>
                <w:highlight w:val="none"/>
              </w:rPr>
              <w:t>池处理，统一排入</w:t>
            </w:r>
            <w:r>
              <w:rPr>
                <w:rFonts w:hint="eastAsia"/>
                <w:color w:val="auto"/>
                <w:spacing w:val="-2"/>
                <w:highlight w:val="none"/>
                <w:lang w:val="en-US" w:eastAsia="zh-CN"/>
              </w:rPr>
              <w:t>南侧番茄酱厂污水处理站处理，之后通过</w:t>
            </w:r>
            <w:r>
              <w:rPr>
                <w:rFonts w:hint="default"/>
                <w:color w:val="auto"/>
                <w:spacing w:val="-2"/>
                <w:highlight w:val="none"/>
              </w:rPr>
              <w:t>园区污水管网，进入农副产品加工基地污水处理厂进行处理。</w:t>
            </w:r>
          </w:p>
          <w:p w14:paraId="6F26E3AA">
            <w:pPr>
              <w:adjustRightInd w:val="0"/>
              <w:snapToGrid w:val="0"/>
              <w:spacing w:line="440" w:lineRule="exact"/>
              <w:rPr>
                <w:rFonts w:hint="default"/>
                <w:color w:val="auto"/>
                <w:spacing w:val="-2"/>
                <w:highlight w:val="none"/>
              </w:rPr>
            </w:pPr>
            <w:r>
              <w:rPr>
                <w:rFonts w:hint="default"/>
                <w:color w:val="auto"/>
                <w:spacing w:val="-2"/>
                <w:highlight w:val="none"/>
                <w:lang w:eastAsia="zh-CN"/>
              </w:rPr>
              <w:t>（</w:t>
            </w:r>
            <w:r>
              <w:rPr>
                <w:rFonts w:hint="default"/>
                <w:color w:val="auto"/>
                <w:spacing w:val="-2"/>
                <w:highlight w:val="none"/>
              </w:rPr>
              <w:t>2</w:t>
            </w:r>
            <w:r>
              <w:rPr>
                <w:rFonts w:hint="default"/>
                <w:color w:val="auto"/>
                <w:spacing w:val="-2"/>
                <w:highlight w:val="none"/>
                <w:lang w:eastAsia="zh-CN"/>
              </w:rPr>
              <w:t>）</w:t>
            </w:r>
            <w:r>
              <w:rPr>
                <w:rFonts w:hint="default"/>
                <w:color w:val="auto"/>
                <w:spacing w:val="-2"/>
                <w:highlight w:val="none"/>
              </w:rPr>
              <w:t>依托污水处理设施的环境可行性分析</w:t>
            </w:r>
          </w:p>
          <w:p w14:paraId="73E6103D">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本项目运营期产生的废水经</w:t>
            </w:r>
            <w:r>
              <w:rPr>
                <w:rFonts w:hint="eastAsia"/>
                <w:color w:val="auto"/>
                <w:spacing w:val="-2"/>
                <w:highlight w:val="none"/>
                <w:lang w:val="en-US" w:eastAsia="zh-CN"/>
              </w:rPr>
              <w:t>项目区东侧沉砂池</w:t>
            </w:r>
            <w:r>
              <w:rPr>
                <w:rFonts w:hint="default"/>
                <w:color w:val="auto"/>
                <w:spacing w:val="-2"/>
                <w:highlight w:val="none"/>
              </w:rPr>
              <w:t>预处理后，</w:t>
            </w:r>
            <w:r>
              <w:rPr>
                <w:rFonts w:hint="eastAsia"/>
                <w:color w:val="auto"/>
                <w:spacing w:val="-2"/>
                <w:highlight w:val="none"/>
                <w:lang w:val="en-US" w:eastAsia="zh-CN"/>
              </w:rPr>
              <w:t>首先依托南侧番茄酱厂污水处理站进行处理，</w:t>
            </w:r>
            <w:r>
              <w:rPr>
                <w:rFonts w:hint="default"/>
                <w:color w:val="auto"/>
                <w:spacing w:val="-2"/>
                <w:highlight w:val="none"/>
              </w:rPr>
              <w:t>最终依托昆东经济技术开发区农副产品加工基地污水处理厂进行深度处理。</w:t>
            </w:r>
          </w:p>
          <w:p w14:paraId="431375AD">
            <w:pPr>
              <w:adjustRightInd w:val="0"/>
              <w:snapToGrid w:val="0"/>
              <w:spacing w:line="440" w:lineRule="exact"/>
              <w:ind w:firstLine="472" w:firstLineChars="200"/>
              <w:rPr>
                <w:rFonts w:hint="eastAsia"/>
                <w:color w:val="auto"/>
                <w:spacing w:val="-2"/>
                <w:highlight w:val="none"/>
                <w:lang w:val="en-US" w:eastAsia="zh-CN"/>
              </w:rPr>
            </w:pPr>
            <w:r>
              <w:rPr>
                <w:rFonts w:hint="default"/>
                <w:color w:val="auto"/>
                <w:spacing w:val="-2"/>
                <w:highlight w:val="none"/>
                <w:lang w:val="en-US" w:eastAsia="zh-CN"/>
              </w:rPr>
              <w:t>1）</w:t>
            </w:r>
            <w:r>
              <w:rPr>
                <w:rFonts w:hint="eastAsia"/>
                <w:color w:val="auto"/>
                <w:spacing w:val="-2"/>
                <w:highlight w:val="none"/>
                <w:lang w:val="en-US" w:eastAsia="zh-CN"/>
              </w:rPr>
              <w:t>南侧番茄酱厂污水处理站</w:t>
            </w:r>
          </w:p>
          <w:p w14:paraId="05B0AAC9">
            <w:pPr>
              <w:adjustRightInd w:val="0"/>
              <w:snapToGrid w:val="0"/>
              <w:spacing w:line="440" w:lineRule="exact"/>
              <w:ind w:firstLine="472" w:firstLineChars="200"/>
              <w:rPr>
                <w:rFonts w:hint="default"/>
                <w:color w:val="auto"/>
                <w:spacing w:val="-2"/>
                <w:highlight w:val="none"/>
                <w:vertAlign w:val="baseline"/>
                <w:lang w:val="en-US" w:eastAsia="zh-CN"/>
              </w:rPr>
            </w:pPr>
            <w:r>
              <w:rPr>
                <w:rFonts w:hint="default"/>
                <w:color w:val="auto"/>
                <w:spacing w:val="-2"/>
                <w:highlight w:val="none"/>
              </w:rPr>
              <w:t>番茄酱厂污水处理站设计处理规模为300</w:t>
            </w:r>
            <w:r>
              <w:rPr>
                <w:rFonts w:hint="eastAsia"/>
                <w:color w:val="auto"/>
                <w:spacing w:val="-2"/>
                <w:highlight w:val="none"/>
                <w:lang w:val="en-US" w:eastAsia="zh-CN"/>
              </w:rPr>
              <w:t>m</w:t>
            </w:r>
            <w:r>
              <w:rPr>
                <w:rFonts w:hint="eastAsia"/>
                <w:color w:val="auto"/>
                <w:spacing w:val="-2"/>
                <w:highlight w:val="none"/>
                <w:vertAlign w:val="superscript"/>
                <w:lang w:val="en-US" w:eastAsia="zh-CN"/>
              </w:rPr>
              <w:t>3</w:t>
            </w:r>
            <w:r>
              <w:rPr>
                <w:rFonts w:hint="eastAsia"/>
                <w:color w:val="auto"/>
                <w:spacing w:val="-2"/>
                <w:highlight w:val="none"/>
                <w:vertAlign w:val="baseline"/>
                <w:lang w:val="en-US" w:eastAsia="zh-CN"/>
              </w:rPr>
              <w:t>/h</w:t>
            </w:r>
            <w:r>
              <w:rPr>
                <w:rFonts w:hint="default"/>
                <w:color w:val="auto"/>
                <w:spacing w:val="-2"/>
                <w:highlight w:val="none"/>
              </w:rPr>
              <w:t>，日处理能力达7200</w:t>
            </w:r>
            <w:r>
              <w:rPr>
                <w:rFonts w:hint="eastAsia"/>
                <w:color w:val="auto"/>
                <w:spacing w:val="-2"/>
                <w:highlight w:val="none"/>
                <w:lang w:val="en-US" w:eastAsia="zh-CN"/>
              </w:rPr>
              <w:t>m</w:t>
            </w:r>
            <w:r>
              <w:rPr>
                <w:rFonts w:hint="eastAsia"/>
                <w:color w:val="auto"/>
                <w:spacing w:val="-2"/>
                <w:highlight w:val="none"/>
                <w:vertAlign w:val="superscript"/>
                <w:lang w:val="en-US" w:eastAsia="zh-CN"/>
              </w:rPr>
              <w:t>3</w:t>
            </w:r>
            <w:r>
              <w:rPr>
                <w:rFonts w:hint="default"/>
                <w:color w:val="auto"/>
                <w:spacing w:val="-2"/>
                <w:highlight w:val="none"/>
              </w:rPr>
              <w:t xml:space="preserve">，采用“混凝沉淀+气浮+接触氧化”组合工艺。处理后出水水质可达到《污水综合排放标准》（GB8978-1996）二级标准。由于番茄加工原料具有明显的季节性，番茄酱厂的生产周期与本项目错开，二者可实现错峰共用该污水处理设施。就处理能力而言，本项目每日废水产生量仅为15.2978 </w:t>
            </w:r>
            <w:r>
              <w:rPr>
                <w:rFonts w:hint="eastAsia"/>
                <w:color w:val="auto"/>
                <w:spacing w:val="-2"/>
                <w:highlight w:val="none"/>
                <w:lang w:val="en-US" w:eastAsia="zh-CN"/>
              </w:rPr>
              <w:t>m</w:t>
            </w:r>
            <w:r>
              <w:rPr>
                <w:rFonts w:hint="eastAsia"/>
                <w:color w:val="auto"/>
                <w:spacing w:val="-2"/>
                <w:highlight w:val="none"/>
                <w:vertAlign w:val="superscript"/>
                <w:lang w:val="en-US" w:eastAsia="zh-CN"/>
              </w:rPr>
              <w:t>3</w:t>
            </w:r>
            <w:r>
              <w:rPr>
                <w:rFonts w:hint="default"/>
                <w:color w:val="auto"/>
                <w:spacing w:val="-2"/>
                <w:highlight w:val="none"/>
              </w:rPr>
              <w:t>，远低于污水处理站日处理规模，完全在其可接纳范围之内，不会对番茄酱厂污水处理站造成水力负荷冲击。</w:t>
            </w:r>
          </w:p>
          <w:p w14:paraId="1B5F738C">
            <w:pPr>
              <w:adjustRightInd w:val="0"/>
              <w:snapToGrid w:val="0"/>
              <w:spacing w:line="440" w:lineRule="exact"/>
              <w:ind w:firstLine="472" w:firstLineChars="200"/>
              <w:rPr>
                <w:rFonts w:hint="default"/>
                <w:color w:val="auto"/>
                <w:spacing w:val="-2"/>
                <w:highlight w:val="none"/>
                <w:lang w:val="en-US" w:eastAsia="zh-CN"/>
              </w:rPr>
            </w:pPr>
            <w:r>
              <w:rPr>
                <w:rFonts w:hint="eastAsia"/>
                <w:color w:val="auto"/>
                <w:spacing w:val="-2"/>
                <w:highlight w:val="none"/>
                <w:lang w:val="en-US" w:eastAsia="zh-CN"/>
              </w:rPr>
              <w:t>2</w:t>
            </w:r>
            <w:r>
              <w:rPr>
                <w:rFonts w:hint="default"/>
                <w:color w:val="auto"/>
                <w:spacing w:val="-2"/>
                <w:highlight w:val="none"/>
                <w:lang w:val="en-US" w:eastAsia="zh-CN"/>
              </w:rPr>
              <w:t>）</w:t>
            </w:r>
            <w:r>
              <w:rPr>
                <w:rFonts w:hint="default"/>
                <w:color w:val="auto"/>
                <w:spacing w:val="-2"/>
                <w:highlight w:val="none"/>
              </w:rPr>
              <w:t>昆东经济技术开发区农副产品加工基地污水处理厂</w:t>
            </w:r>
          </w:p>
          <w:p w14:paraId="27507E83">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昆东经济技术开发区农副产品加工基地污水处理厂是园区配套建设的专业化工业废水集中处理设施，其建设进度、处理能力、工艺路线及出水标准均能满足本项目的废水处理需求，依托具有充分的环境可行性。</w:t>
            </w:r>
          </w:p>
          <w:p w14:paraId="0863C422">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从建设进度与衔接来看，农副产品加工基地污水处理厂项目（近期规模5000m³/d）已于2026年1月取得十四师昆玉市生态环境局环评批复（师环发〔2026〕2号），计划于2027年2月建成投运。本项目施工期约6个月，预计投产时间与污水处理厂建成时间基本同步，可确保废水产生后即具备纳管条件，过渡期内不存在废水无依托排放的风险。</w:t>
            </w:r>
          </w:p>
          <w:p w14:paraId="0AF5F3AE">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从处理能力来看，该污水处理厂近期设计处理规模为5000m³/d，而项目所在农副产品加工基地当前尚无企业正式投产，污水处理厂剩余处理能力充足（近期余量约5000m³/d）。本项目外排废水量约13.26m³/d，仅占其处理能力的0.27%，完全在可接纳范围内，不会对园区污水处理厂造成水力负荷冲击。</w:t>
            </w:r>
          </w:p>
          <w:p w14:paraId="2F7BDA6F">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从工艺适配性来看，该污水处理厂采用“粗格栅及进水泵房—细格栅及曝气沉砂池—调节池/事故池—水解酸化池—组合生化池（A²O+AO）—二沉池—高密度沉淀池—臭氧催化氧化—滤布滤池”组合工艺，针对农副产品加工废水有机物浓度高、可生化性好的特点，设置了水解酸化预处理单元提升废水可生化性，并通过A²O+AO两级生化工艺实现高效脱氮除磷，再经深度处理单元保障出水稳定达标。该工艺路线成熟可靠，对COD、BOD₅、NH₃-N等污染物具有较高的去除效率，能够有效处理本项目排放的同类废水。</w:t>
            </w:r>
          </w:p>
          <w:p w14:paraId="5FE16D9F">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从水质接管可行性来看，该污水处理厂设计进水水质指标为COD≤500mg/L、BOD₅≤350mg/L、SS≤400mg/L、NH₃-N≤45mg/L、TN≤70mg/L、TP≤8mg/L。本项目废水</w:t>
            </w:r>
            <w:r>
              <w:rPr>
                <w:rFonts w:hint="eastAsia"/>
                <w:color w:val="auto"/>
                <w:spacing w:val="-2"/>
                <w:highlight w:val="none"/>
                <w:lang w:val="en-US" w:eastAsia="zh-CN"/>
              </w:rPr>
              <w:t>南侧番茄酱厂污水处理站</w:t>
            </w:r>
            <w:r>
              <w:rPr>
                <w:rFonts w:hint="default"/>
                <w:color w:val="auto"/>
                <w:spacing w:val="-2"/>
                <w:highlight w:val="none"/>
              </w:rPr>
              <w:t>预处理后，COD浓度约</w:t>
            </w:r>
            <w:r>
              <w:rPr>
                <w:rFonts w:hint="eastAsia"/>
                <w:color w:val="auto"/>
                <w:spacing w:val="-2"/>
                <w:highlight w:val="none"/>
                <w:lang w:val="en-US" w:eastAsia="zh-CN"/>
              </w:rPr>
              <w:t>450</w:t>
            </w:r>
            <w:r>
              <w:rPr>
                <w:rFonts w:hint="default"/>
                <w:color w:val="auto"/>
                <w:spacing w:val="-2"/>
                <w:highlight w:val="none"/>
              </w:rPr>
              <w:t>mg/L、BOD₅约</w:t>
            </w:r>
            <w:r>
              <w:rPr>
                <w:rFonts w:hint="eastAsia"/>
                <w:color w:val="auto"/>
                <w:spacing w:val="-2"/>
                <w:highlight w:val="none"/>
                <w:lang w:val="en-US" w:eastAsia="zh-CN"/>
              </w:rPr>
              <w:t>228</w:t>
            </w:r>
            <w:r>
              <w:rPr>
                <w:rFonts w:hint="default"/>
                <w:color w:val="auto"/>
                <w:spacing w:val="-2"/>
                <w:highlight w:val="none"/>
              </w:rPr>
              <w:t>mg/L、SS约</w:t>
            </w:r>
            <w:r>
              <w:rPr>
                <w:rFonts w:hint="eastAsia"/>
                <w:color w:val="auto"/>
                <w:spacing w:val="-2"/>
                <w:highlight w:val="none"/>
                <w:lang w:val="en-US" w:eastAsia="zh-CN"/>
              </w:rPr>
              <w:t>50</w:t>
            </w:r>
            <w:r>
              <w:rPr>
                <w:rFonts w:hint="default"/>
                <w:color w:val="auto"/>
                <w:spacing w:val="-2"/>
                <w:highlight w:val="none"/>
              </w:rPr>
              <w:t>mg/L、NH₃-N约</w:t>
            </w:r>
            <w:r>
              <w:rPr>
                <w:rFonts w:hint="eastAsia"/>
                <w:color w:val="auto"/>
                <w:spacing w:val="-2"/>
                <w:highlight w:val="none"/>
                <w:lang w:val="en-US" w:eastAsia="zh-CN"/>
              </w:rPr>
              <w:t>6.4</w:t>
            </w:r>
            <w:r>
              <w:rPr>
                <w:rFonts w:hint="default"/>
                <w:color w:val="auto"/>
                <w:spacing w:val="-2"/>
                <w:highlight w:val="none"/>
              </w:rPr>
              <w:t>mg/L，各项指标均满足接管标准要求。</w:t>
            </w:r>
          </w:p>
          <w:p w14:paraId="71E40143">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从出水标准来看，该污水处理厂出水执行《城镇污水处理厂污染物排放标准》（GB18918-2002）一级A标准，同时满足《城市污水再生利用城市杂用水水质》（GB/T18920-2020）和《城市污水再生利用绿地灌溉水质》（GB/T25499-2010）相关限值要求，出水夏季用于园区道路清扫和绿化浇灌，其余部分排入中水库冬储夏灌，实现水资源综合利用，不直接排入地表水体，环境效益显著。</w:t>
            </w:r>
          </w:p>
          <w:p w14:paraId="75FE5A48">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从配套管网来看，该污水处理厂已同步配套建设污水收集主干管12.44km，覆盖农副产品加工基地各规划企业，管网敷设沿园区规划道路铺设，本项目位于园区内东侧，紧邻经二路，具备接入园区污水主管网的地理条件，可实现废水重力自流或短距离提升后接入，管网衔接便利可行。</w:t>
            </w:r>
          </w:p>
          <w:p w14:paraId="0372002C">
            <w:pPr>
              <w:adjustRightInd w:val="0"/>
              <w:snapToGrid w:val="0"/>
              <w:spacing w:line="440" w:lineRule="exact"/>
              <w:ind w:firstLine="472" w:firstLineChars="200"/>
              <w:rPr>
                <w:rFonts w:hint="default"/>
                <w:color w:val="auto"/>
                <w:spacing w:val="-2"/>
                <w:highlight w:val="none"/>
              </w:rPr>
            </w:pPr>
            <w:r>
              <w:rPr>
                <w:rFonts w:hint="default"/>
                <w:color w:val="auto"/>
                <w:spacing w:val="-2"/>
                <w:highlight w:val="none"/>
              </w:rPr>
              <w:t>综上所述，农副产品加工基地污水处理厂在处理能力、工艺适配性、接管水质要求、建设时序衔接及管网配套等方面均能满足本项目的依托需求，本项目废水依托该污水处理厂进行处理是环境可行的。建设单位应在投产前与园区污水处理厂运营单位签订废水纳管协议，明确接管水质要求和双方责任，确保废水长期稳定达标排放，并建立健全废水排放台账和定期监测制度，接受生态环境主管部门的监督管理。</w:t>
            </w:r>
          </w:p>
          <w:p w14:paraId="5CF3C2A0">
            <w:pPr>
              <w:adjustRightInd w:val="0"/>
              <w:snapToGrid w:val="0"/>
              <w:spacing w:line="440" w:lineRule="exact"/>
              <w:rPr>
                <w:rFonts w:hint="default"/>
                <w:b/>
                <w:bCs/>
                <w:color w:val="auto"/>
                <w:spacing w:val="-2"/>
                <w:highlight w:val="none"/>
              </w:rPr>
            </w:pPr>
            <w:r>
              <w:rPr>
                <w:rFonts w:hint="default"/>
                <w:b/>
                <w:bCs/>
                <w:color w:val="auto"/>
                <w:spacing w:val="-2"/>
                <w:highlight w:val="none"/>
                <w:lang w:val="en-US" w:eastAsia="zh-CN"/>
              </w:rPr>
              <w:t>3.</w:t>
            </w:r>
            <w:r>
              <w:rPr>
                <w:rFonts w:hint="default"/>
                <w:b/>
                <w:bCs/>
                <w:color w:val="auto"/>
                <w:spacing w:val="-2"/>
                <w:highlight w:val="none"/>
              </w:rPr>
              <w:t>污染源排放量核算</w:t>
            </w:r>
          </w:p>
          <w:p w14:paraId="01488D4D">
            <w:pPr>
              <w:adjustRightInd w:val="0"/>
              <w:snapToGrid w:val="0"/>
              <w:spacing w:line="440" w:lineRule="exact"/>
              <w:ind w:firstLine="474" w:firstLineChars="200"/>
              <w:jc w:val="center"/>
              <w:rPr>
                <w:rFonts w:hint="default"/>
                <w:color w:val="auto"/>
                <w:spacing w:val="-2"/>
                <w:highlight w:val="none"/>
              </w:rPr>
            </w:pPr>
            <w:r>
              <w:rPr>
                <w:b/>
                <w:bCs/>
                <w:color w:val="auto"/>
                <w:spacing w:val="-2"/>
                <w:highlight w:val="none"/>
              </w:rPr>
              <w:t>表4</w:t>
            </w:r>
            <w:r>
              <w:rPr>
                <w:rFonts w:hint="default"/>
                <w:b/>
                <w:bCs/>
                <w:color w:val="auto"/>
                <w:spacing w:val="-2"/>
                <w:highlight w:val="none"/>
                <w:lang w:val="en-US" w:eastAsia="zh-CN"/>
              </w:rPr>
              <w:t>-9</w:t>
            </w:r>
            <w:r>
              <w:rPr>
                <w:b/>
                <w:bCs/>
                <w:color w:val="auto"/>
                <w:spacing w:val="-2"/>
                <w:highlight w:val="none"/>
              </w:rPr>
              <w:t>废水类别、污染物及污染治理设施信息表</w:t>
            </w:r>
          </w:p>
          <w:tbl>
            <w:tblPr>
              <w:tblStyle w:val="118"/>
              <w:tblW w:w="0" w:type="auto"/>
              <w:tblInd w:w="91"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279"/>
              <w:gridCol w:w="837"/>
              <w:gridCol w:w="1244"/>
              <w:gridCol w:w="580"/>
              <w:gridCol w:w="1736"/>
              <w:gridCol w:w="775"/>
              <w:gridCol w:w="746"/>
              <w:gridCol w:w="819"/>
              <w:gridCol w:w="605"/>
              <w:gridCol w:w="825"/>
              <w:gridCol w:w="538"/>
            </w:tblGrid>
            <w:tr w14:paraId="3A428D1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Merge w:val="restart"/>
                  <w:tcBorders>
                    <w:bottom w:val="nil"/>
                  </w:tcBorders>
                  <w:vAlign w:val="center"/>
                </w:tcPr>
                <w:p w14:paraId="57C6FAE9">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6"/>
                      <w:sz w:val="18"/>
                      <w:szCs w:val="18"/>
                      <w:highlight w:val="none"/>
                    </w:rPr>
                    <w:t>序号</w:t>
                  </w:r>
                </w:p>
              </w:tc>
              <w:tc>
                <w:tcPr>
                  <w:tcW w:w="0" w:type="auto"/>
                  <w:vMerge w:val="restart"/>
                  <w:tcBorders>
                    <w:bottom w:val="nil"/>
                  </w:tcBorders>
                  <w:vAlign w:val="center"/>
                </w:tcPr>
                <w:p w14:paraId="52BF1F4E">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4"/>
                      <w:sz w:val="18"/>
                      <w:szCs w:val="18"/>
                      <w:highlight w:val="none"/>
                    </w:rPr>
                    <w:t>废水</w:t>
                  </w:r>
                  <w:r>
                    <w:rPr>
                      <w:b/>
                      <w:bCs/>
                      <w:color w:val="auto"/>
                      <w:spacing w:val="3"/>
                      <w:sz w:val="18"/>
                      <w:szCs w:val="18"/>
                      <w:highlight w:val="none"/>
                    </w:rPr>
                    <w:t>类别</w:t>
                  </w:r>
                </w:p>
              </w:tc>
              <w:tc>
                <w:tcPr>
                  <w:tcW w:w="0" w:type="auto"/>
                  <w:vMerge w:val="restart"/>
                  <w:tcBorders>
                    <w:bottom w:val="nil"/>
                  </w:tcBorders>
                  <w:vAlign w:val="center"/>
                </w:tcPr>
                <w:p w14:paraId="5E37D903">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3"/>
                      <w:sz w:val="18"/>
                      <w:szCs w:val="18"/>
                      <w:highlight w:val="none"/>
                    </w:rPr>
                    <w:t>污染物种</w:t>
                  </w:r>
                  <w:r>
                    <w:rPr>
                      <w:b/>
                      <w:bCs/>
                      <w:color w:val="auto"/>
                      <w:spacing w:val="30"/>
                      <w:w w:val="137"/>
                      <w:sz w:val="18"/>
                      <w:szCs w:val="18"/>
                      <w:highlight w:val="none"/>
                    </w:rPr>
                    <w:t>类</w:t>
                  </w:r>
                </w:p>
              </w:tc>
              <w:tc>
                <w:tcPr>
                  <w:tcW w:w="0" w:type="auto"/>
                  <w:vMerge w:val="restart"/>
                  <w:tcBorders>
                    <w:bottom w:val="nil"/>
                  </w:tcBorders>
                  <w:vAlign w:val="center"/>
                </w:tcPr>
                <w:p w14:paraId="7ABD290B">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6"/>
                      <w:sz w:val="18"/>
                      <w:szCs w:val="18"/>
                      <w:highlight w:val="none"/>
                    </w:rPr>
                    <w:t>排放去向</w:t>
                  </w:r>
                </w:p>
              </w:tc>
              <w:tc>
                <w:tcPr>
                  <w:tcW w:w="0" w:type="auto"/>
                  <w:vMerge w:val="restart"/>
                  <w:tcBorders>
                    <w:bottom w:val="nil"/>
                  </w:tcBorders>
                  <w:vAlign w:val="center"/>
                </w:tcPr>
                <w:p w14:paraId="58FF4CC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6"/>
                      <w:sz w:val="18"/>
                      <w:szCs w:val="18"/>
                      <w:highlight w:val="none"/>
                    </w:rPr>
                    <w:t>排放规律</w:t>
                  </w:r>
                </w:p>
              </w:tc>
              <w:tc>
                <w:tcPr>
                  <w:tcW w:w="0" w:type="auto"/>
                  <w:gridSpan w:val="3"/>
                  <w:vAlign w:val="center"/>
                </w:tcPr>
                <w:p w14:paraId="5C5B3B56">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6"/>
                      <w:sz w:val="18"/>
                      <w:szCs w:val="18"/>
                      <w:highlight w:val="none"/>
                    </w:rPr>
                    <w:t>污染治理设施</w:t>
                  </w:r>
                </w:p>
              </w:tc>
              <w:tc>
                <w:tcPr>
                  <w:tcW w:w="0" w:type="auto"/>
                  <w:vMerge w:val="restart"/>
                  <w:tcBorders>
                    <w:bottom w:val="nil"/>
                  </w:tcBorders>
                  <w:vAlign w:val="center"/>
                </w:tcPr>
                <w:p w14:paraId="465A98B3">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3"/>
                      <w:sz w:val="18"/>
                      <w:szCs w:val="18"/>
                      <w:highlight w:val="none"/>
                    </w:rPr>
                    <w:t>排放</w:t>
                  </w:r>
                  <w:r>
                    <w:rPr>
                      <w:b/>
                      <w:bCs/>
                      <w:color w:val="auto"/>
                      <w:spacing w:val="-12"/>
                      <w:sz w:val="18"/>
                      <w:szCs w:val="18"/>
                      <w:highlight w:val="none"/>
                    </w:rPr>
                    <w:t>口编</w:t>
                  </w:r>
                  <w:r>
                    <w:rPr>
                      <w:b/>
                      <w:bCs/>
                      <w:color w:val="auto"/>
                      <w:spacing w:val="26"/>
                      <w:w w:val="123"/>
                      <w:sz w:val="18"/>
                      <w:szCs w:val="18"/>
                      <w:highlight w:val="none"/>
                    </w:rPr>
                    <w:t>号</w:t>
                  </w:r>
                </w:p>
              </w:tc>
              <w:tc>
                <w:tcPr>
                  <w:tcW w:w="0" w:type="auto"/>
                  <w:vMerge w:val="restart"/>
                  <w:tcBorders>
                    <w:bottom w:val="nil"/>
                  </w:tcBorders>
                  <w:vAlign w:val="center"/>
                </w:tcPr>
                <w:p w14:paraId="326FF346">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3"/>
                      <w:sz w:val="18"/>
                      <w:szCs w:val="18"/>
                      <w:highlight w:val="none"/>
                    </w:rPr>
                    <w:t>排放</w:t>
                  </w:r>
                  <w:r>
                    <w:rPr>
                      <w:b/>
                      <w:bCs/>
                      <w:color w:val="auto"/>
                      <w:spacing w:val="-12"/>
                      <w:sz w:val="18"/>
                      <w:szCs w:val="18"/>
                      <w:highlight w:val="none"/>
                    </w:rPr>
                    <w:t>口设</w:t>
                  </w:r>
                  <w:r>
                    <w:rPr>
                      <w:b/>
                      <w:bCs/>
                      <w:color w:val="auto"/>
                      <w:spacing w:val="4"/>
                      <w:sz w:val="18"/>
                      <w:szCs w:val="18"/>
                      <w:highlight w:val="none"/>
                    </w:rPr>
                    <w:t>置是</w:t>
                  </w:r>
                  <w:r>
                    <w:rPr>
                      <w:b/>
                      <w:bCs/>
                      <w:color w:val="auto"/>
                      <w:sz w:val="18"/>
                      <w:szCs w:val="18"/>
                      <w:highlight w:val="none"/>
                    </w:rPr>
                    <w:t>否符</w:t>
                  </w:r>
                  <w:r>
                    <w:rPr>
                      <w:b/>
                      <w:bCs/>
                      <w:color w:val="auto"/>
                      <w:spacing w:val="3"/>
                      <w:sz w:val="18"/>
                      <w:szCs w:val="18"/>
                      <w:highlight w:val="none"/>
                    </w:rPr>
                    <w:t>合要</w:t>
                  </w:r>
                  <w:r>
                    <w:rPr>
                      <w:b/>
                      <w:bCs/>
                      <w:color w:val="auto"/>
                      <w:spacing w:val="-3"/>
                      <w:sz w:val="18"/>
                      <w:szCs w:val="18"/>
                      <w:highlight w:val="none"/>
                    </w:rPr>
                    <w:t>求</w:t>
                  </w:r>
                </w:p>
              </w:tc>
              <w:tc>
                <w:tcPr>
                  <w:tcW w:w="0" w:type="auto"/>
                  <w:vMerge w:val="restart"/>
                  <w:tcBorders>
                    <w:bottom w:val="nil"/>
                  </w:tcBorders>
                  <w:vAlign w:val="center"/>
                </w:tcPr>
                <w:p w14:paraId="4A222CC4">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3"/>
                      <w:sz w:val="18"/>
                      <w:szCs w:val="18"/>
                      <w:highlight w:val="none"/>
                    </w:rPr>
                    <w:t>排放</w:t>
                  </w:r>
                  <w:r>
                    <w:rPr>
                      <w:b/>
                      <w:bCs/>
                      <w:color w:val="auto"/>
                      <w:spacing w:val="-12"/>
                      <w:sz w:val="18"/>
                      <w:szCs w:val="18"/>
                      <w:highlight w:val="none"/>
                    </w:rPr>
                    <w:t>口类</w:t>
                  </w:r>
                  <w:r>
                    <w:rPr>
                      <w:b/>
                      <w:bCs/>
                      <w:color w:val="auto"/>
                      <w:spacing w:val="26"/>
                      <w:w w:val="124"/>
                      <w:sz w:val="18"/>
                      <w:szCs w:val="18"/>
                      <w:highlight w:val="none"/>
                    </w:rPr>
                    <w:t>型</w:t>
                  </w:r>
                </w:p>
              </w:tc>
            </w:tr>
            <w:tr w14:paraId="078126E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Merge w:val="continue"/>
                  <w:tcBorders>
                    <w:top w:val="nil"/>
                  </w:tcBorders>
                  <w:vAlign w:val="center"/>
                </w:tcPr>
                <w:p w14:paraId="2DED131F">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18"/>
                      <w:szCs w:val="18"/>
                      <w:highlight w:val="none"/>
                    </w:rPr>
                  </w:pPr>
                </w:p>
              </w:tc>
              <w:tc>
                <w:tcPr>
                  <w:tcW w:w="0" w:type="auto"/>
                  <w:vMerge w:val="continue"/>
                  <w:tcBorders>
                    <w:top w:val="nil"/>
                  </w:tcBorders>
                  <w:vAlign w:val="center"/>
                </w:tcPr>
                <w:p w14:paraId="56FE6314">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18"/>
                      <w:szCs w:val="18"/>
                      <w:highlight w:val="none"/>
                    </w:rPr>
                  </w:pPr>
                </w:p>
              </w:tc>
              <w:tc>
                <w:tcPr>
                  <w:tcW w:w="0" w:type="auto"/>
                  <w:vMerge w:val="continue"/>
                  <w:tcBorders>
                    <w:top w:val="nil"/>
                  </w:tcBorders>
                  <w:vAlign w:val="center"/>
                </w:tcPr>
                <w:p w14:paraId="66DD2F81">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18"/>
                      <w:szCs w:val="18"/>
                      <w:highlight w:val="none"/>
                    </w:rPr>
                  </w:pPr>
                </w:p>
              </w:tc>
              <w:tc>
                <w:tcPr>
                  <w:tcW w:w="0" w:type="auto"/>
                  <w:vMerge w:val="continue"/>
                  <w:tcBorders>
                    <w:top w:val="nil"/>
                  </w:tcBorders>
                  <w:vAlign w:val="center"/>
                </w:tcPr>
                <w:p w14:paraId="741A74FA">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18"/>
                      <w:szCs w:val="18"/>
                      <w:highlight w:val="none"/>
                    </w:rPr>
                  </w:pPr>
                </w:p>
              </w:tc>
              <w:tc>
                <w:tcPr>
                  <w:tcW w:w="0" w:type="auto"/>
                  <w:vMerge w:val="continue"/>
                  <w:tcBorders>
                    <w:top w:val="nil"/>
                  </w:tcBorders>
                  <w:vAlign w:val="center"/>
                </w:tcPr>
                <w:p w14:paraId="66655F7C">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18"/>
                      <w:szCs w:val="18"/>
                      <w:highlight w:val="none"/>
                    </w:rPr>
                  </w:pPr>
                </w:p>
              </w:tc>
              <w:tc>
                <w:tcPr>
                  <w:tcW w:w="0" w:type="auto"/>
                  <w:vAlign w:val="center"/>
                </w:tcPr>
                <w:p w14:paraId="411F7095">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3"/>
                      <w:sz w:val="18"/>
                      <w:szCs w:val="18"/>
                      <w:highlight w:val="none"/>
                    </w:rPr>
                    <w:t>污染</w:t>
                  </w:r>
                  <w:r>
                    <w:rPr>
                      <w:b/>
                      <w:bCs/>
                      <w:color w:val="auto"/>
                      <w:spacing w:val="1"/>
                      <w:sz w:val="18"/>
                      <w:szCs w:val="18"/>
                      <w:highlight w:val="none"/>
                    </w:rPr>
                    <w:t>治理</w:t>
                  </w:r>
                  <w:r>
                    <w:rPr>
                      <w:b/>
                      <w:bCs/>
                      <w:color w:val="auto"/>
                      <w:spacing w:val="2"/>
                      <w:sz w:val="18"/>
                      <w:szCs w:val="18"/>
                      <w:highlight w:val="none"/>
                    </w:rPr>
                    <w:t>设施</w:t>
                  </w:r>
                  <w:r>
                    <w:rPr>
                      <w:b/>
                      <w:bCs/>
                      <w:color w:val="auto"/>
                      <w:spacing w:val="3"/>
                      <w:sz w:val="18"/>
                      <w:szCs w:val="18"/>
                      <w:highlight w:val="none"/>
                    </w:rPr>
                    <w:t>编号</w:t>
                  </w:r>
                </w:p>
              </w:tc>
              <w:tc>
                <w:tcPr>
                  <w:tcW w:w="0" w:type="auto"/>
                  <w:vAlign w:val="center"/>
                </w:tcPr>
                <w:p w14:paraId="4CB63F9D">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5"/>
                      <w:sz w:val="18"/>
                      <w:szCs w:val="18"/>
                      <w:highlight w:val="none"/>
                    </w:rPr>
                    <w:t>污染治</w:t>
                  </w:r>
                  <w:r>
                    <w:rPr>
                      <w:b/>
                      <w:bCs/>
                      <w:color w:val="auto"/>
                      <w:spacing w:val="4"/>
                      <w:sz w:val="18"/>
                      <w:szCs w:val="18"/>
                      <w:highlight w:val="none"/>
                    </w:rPr>
                    <w:t>理设施</w:t>
                  </w:r>
                  <w:r>
                    <w:rPr>
                      <w:b/>
                      <w:bCs/>
                      <w:color w:val="auto"/>
                      <w:spacing w:val="17"/>
                      <w:w w:val="119"/>
                      <w:sz w:val="18"/>
                      <w:szCs w:val="18"/>
                      <w:highlight w:val="none"/>
                    </w:rPr>
                    <w:t>名称</w:t>
                  </w:r>
                </w:p>
              </w:tc>
              <w:tc>
                <w:tcPr>
                  <w:tcW w:w="0" w:type="auto"/>
                  <w:vAlign w:val="center"/>
                </w:tcPr>
                <w:p w14:paraId="41D45BAA">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b/>
                      <w:bCs/>
                      <w:color w:val="auto"/>
                      <w:spacing w:val="3"/>
                      <w:sz w:val="18"/>
                      <w:szCs w:val="18"/>
                      <w:highlight w:val="none"/>
                    </w:rPr>
                    <w:t>污染</w:t>
                  </w:r>
                  <w:r>
                    <w:rPr>
                      <w:b/>
                      <w:bCs/>
                      <w:color w:val="auto"/>
                      <w:spacing w:val="1"/>
                      <w:sz w:val="18"/>
                      <w:szCs w:val="18"/>
                      <w:highlight w:val="none"/>
                    </w:rPr>
                    <w:t>治理</w:t>
                  </w:r>
                  <w:r>
                    <w:rPr>
                      <w:b/>
                      <w:bCs/>
                      <w:color w:val="auto"/>
                      <w:spacing w:val="2"/>
                      <w:sz w:val="18"/>
                      <w:szCs w:val="18"/>
                      <w:highlight w:val="none"/>
                    </w:rPr>
                    <w:t>设施工艺</w:t>
                  </w:r>
                </w:p>
              </w:tc>
              <w:tc>
                <w:tcPr>
                  <w:tcW w:w="0" w:type="auto"/>
                  <w:vMerge w:val="continue"/>
                  <w:tcBorders>
                    <w:top w:val="nil"/>
                  </w:tcBorders>
                  <w:vAlign w:val="center"/>
                </w:tcPr>
                <w:p w14:paraId="75A289FB">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18"/>
                      <w:szCs w:val="18"/>
                      <w:highlight w:val="none"/>
                    </w:rPr>
                  </w:pPr>
                </w:p>
              </w:tc>
              <w:tc>
                <w:tcPr>
                  <w:tcW w:w="0" w:type="auto"/>
                  <w:vMerge w:val="continue"/>
                  <w:tcBorders>
                    <w:top w:val="nil"/>
                  </w:tcBorders>
                  <w:vAlign w:val="center"/>
                </w:tcPr>
                <w:p w14:paraId="728B04DB">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18"/>
                      <w:szCs w:val="18"/>
                      <w:highlight w:val="none"/>
                    </w:rPr>
                  </w:pPr>
                </w:p>
              </w:tc>
              <w:tc>
                <w:tcPr>
                  <w:tcW w:w="0" w:type="auto"/>
                  <w:vMerge w:val="continue"/>
                  <w:tcBorders>
                    <w:top w:val="nil"/>
                  </w:tcBorders>
                  <w:vAlign w:val="center"/>
                </w:tcPr>
                <w:p w14:paraId="3608A346">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color w:val="auto"/>
                      <w:sz w:val="18"/>
                      <w:szCs w:val="18"/>
                      <w:highlight w:val="none"/>
                    </w:rPr>
                  </w:pPr>
                </w:p>
              </w:tc>
            </w:tr>
            <w:tr w14:paraId="6411955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2038E657">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1</w:t>
                  </w:r>
                </w:p>
              </w:tc>
              <w:tc>
                <w:tcPr>
                  <w:tcW w:w="0" w:type="auto"/>
                  <w:vAlign w:val="center"/>
                </w:tcPr>
                <w:p w14:paraId="56521347">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default" w:eastAsia="宋体"/>
                      <w:color w:val="auto"/>
                      <w:sz w:val="18"/>
                      <w:szCs w:val="18"/>
                      <w:highlight w:val="none"/>
                      <w:lang w:val="en-US" w:eastAsia="zh-CN"/>
                    </w:rPr>
                  </w:pPr>
                  <w:r>
                    <w:rPr>
                      <w:color w:val="auto"/>
                      <w:spacing w:val="3"/>
                      <w:sz w:val="18"/>
                      <w:szCs w:val="18"/>
                      <w:highlight w:val="none"/>
                    </w:rPr>
                    <w:t>生活污水</w:t>
                  </w:r>
                  <w:r>
                    <w:rPr>
                      <w:rFonts w:hint="default" w:eastAsia="宋体"/>
                      <w:color w:val="auto"/>
                      <w:spacing w:val="3"/>
                      <w:sz w:val="18"/>
                      <w:szCs w:val="18"/>
                      <w:highlight w:val="none"/>
                      <w:lang w:eastAsia="zh-CN"/>
                    </w:rPr>
                    <w:t>、</w:t>
                  </w:r>
                  <w:r>
                    <w:rPr>
                      <w:rFonts w:hint="default" w:eastAsia="宋体"/>
                      <w:color w:val="auto"/>
                      <w:spacing w:val="3"/>
                      <w:sz w:val="18"/>
                      <w:szCs w:val="18"/>
                      <w:highlight w:val="none"/>
                      <w:lang w:val="en-US" w:eastAsia="zh-CN"/>
                    </w:rPr>
                    <w:t>生产废水</w:t>
                  </w:r>
                </w:p>
              </w:tc>
              <w:tc>
                <w:tcPr>
                  <w:tcW w:w="0" w:type="auto"/>
                  <w:vAlign w:val="center"/>
                </w:tcPr>
                <w:p w14:paraId="4EE54B15">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rFonts w:ascii="Times New Roman" w:hAnsi="Times New Roman" w:eastAsia="Times New Roman" w:cs="Times New Roman"/>
                      <w:color w:val="auto"/>
                      <w:spacing w:val="3"/>
                      <w:sz w:val="18"/>
                      <w:szCs w:val="18"/>
                      <w:highlight w:val="none"/>
                    </w:rPr>
                    <w:t>COD</w:t>
                  </w:r>
                  <w:r>
                    <w:rPr>
                      <w:rFonts w:hint="default" w:eastAsia="宋体" w:cs="Times New Roman"/>
                      <w:color w:val="auto"/>
                      <w:spacing w:val="3"/>
                      <w:sz w:val="18"/>
                      <w:szCs w:val="18"/>
                      <w:highlight w:val="none"/>
                      <w:lang w:eastAsia="zh-CN"/>
                    </w:rPr>
                    <w:t>、</w:t>
                  </w:r>
                  <w:r>
                    <w:rPr>
                      <w:rFonts w:ascii="Times New Roman" w:hAnsi="Times New Roman" w:eastAsia="Times New Roman" w:cs="Times New Roman"/>
                      <w:color w:val="auto"/>
                      <w:sz w:val="18"/>
                      <w:szCs w:val="18"/>
                      <w:highlight w:val="none"/>
                    </w:rPr>
                    <w:t>BOD</w:t>
                  </w:r>
                  <w:r>
                    <w:rPr>
                      <w:rFonts w:ascii="Times New Roman" w:hAnsi="Times New Roman" w:eastAsia="Times New Roman" w:cs="Times New Roman"/>
                      <w:color w:val="auto"/>
                      <w:spacing w:val="19"/>
                      <w:position w:val="-1"/>
                      <w:sz w:val="18"/>
                      <w:szCs w:val="18"/>
                      <w:highlight w:val="none"/>
                    </w:rPr>
                    <w:t>5</w:t>
                  </w:r>
                  <w:r>
                    <w:rPr>
                      <w:rFonts w:hint="default" w:eastAsia="宋体" w:cs="Times New Roman"/>
                      <w:color w:val="auto"/>
                      <w:spacing w:val="19"/>
                      <w:position w:val="-1"/>
                      <w:sz w:val="18"/>
                      <w:szCs w:val="18"/>
                      <w:highlight w:val="none"/>
                      <w:lang w:eastAsia="zh-CN"/>
                    </w:rPr>
                    <w:t>、</w:t>
                  </w:r>
                  <w:r>
                    <w:rPr>
                      <w:rFonts w:ascii="Times New Roman" w:hAnsi="Times New Roman" w:eastAsia="Times New Roman" w:cs="Times New Roman"/>
                      <w:color w:val="auto"/>
                      <w:spacing w:val="-2"/>
                      <w:sz w:val="18"/>
                      <w:szCs w:val="18"/>
                      <w:highlight w:val="none"/>
                    </w:rPr>
                    <w:t>SS</w:t>
                  </w:r>
                  <w:r>
                    <w:rPr>
                      <w:color w:val="auto"/>
                      <w:spacing w:val="-2"/>
                      <w:sz w:val="18"/>
                      <w:szCs w:val="18"/>
                      <w:highlight w:val="none"/>
                    </w:rPr>
                    <w:t>、</w:t>
                  </w:r>
                  <w:r>
                    <w:rPr>
                      <w:color w:val="auto"/>
                      <w:spacing w:val="4"/>
                      <w:sz w:val="18"/>
                      <w:szCs w:val="18"/>
                      <w:highlight w:val="none"/>
                    </w:rPr>
                    <w:t>氨氮</w:t>
                  </w:r>
                  <w:r>
                    <w:rPr>
                      <w:color w:val="auto"/>
                      <w:sz w:val="18"/>
                      <w:szCs w:val="18"/>
                      <w:highlight w:val="none"/>
                    </w:rPr>
                    <w:t>等</w:t>
                  </w:r>
                </w:p>
              </w:tc>
              <w:tc>
                <w:tcPr>
                  <w:tcW w:w="0" w:type="auto"/>
                  <w:vAlign w:val="center"/>
                </w:tcPr>
                <w:p w14:paraId="6EBEAC7B">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firstLineChars="0"/>
                    <w:jc w:val="center"/>
                    <w:textAlignment w:val="auto"/>
                    <w:rPr>
                      <w:rFonts w:hint="eastAsia" w:eastAsia="宋体"/>
                      <w:color w:val="auto"/>
                      <w:sz w:val="18"/>
                      <w:szCs w:val="18"/>
                      <w:highlight w:val="none"/>
                      <w:lang w:val="en-US" w:eastAsia="zh-CN"/>
                    </w:rPr>
                  </w:pPr>
                  <w:r>
                    <w:rPr>
                      <w:rFonts w:hint="eastAsia" w:eastAsia="宋体"/>
                      <w:color w:val="auto"/>
                      <w:spacing w:val="1"/>
                      <w:sz w:val="18"/>
                      <w:szCs w:val="18"/>
                      <w:highlight w:val="none"/>
                      <w:lang w:val="en-US" w:eastAsia="zh-CN"/>
                    </w:rPr>
                    <w:t>市政管网</w:t>
                  </w:r>
                </w:p>
              </w:tc>
              <w:tc>
                <w:tcPr>
                  <w:tcW w:w="0" w:type="auto"/>
                  <w:vAlign w:val="center"/>
                </w:tcPr>
                <w:p w14:paraId="5C9F47EE">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1"/>
                      <w:sz w:val="18"/>
                      <w:szCs w:val="18"/>
                      <w:highlight w:val="none"/>
                    </w:rPr>
                    <w:t>间断排</w:t>
                  </w:r>
                  <w:r>
                    <w:rPr>
                      <w:color w:val="auto"/>
                      <w:spacing w:val="7"/>
                      <w:sz w:val="18"/>
                      <w:szCs w:val="18"/>
                      <w:highlight w:val="none"/>
                    </w:rPr>
                    <w:t>放，排放</w:t>
                  </w:r>
                  <w:r>
                    <w:rPr>
                      <w:color w:val="auto"/>
                      <w:spacing w:val="6"/>
                      <w:sz w:val="18"/>
                      <w:szCs w:val="18"/>
                      <w:highlight w:val="none"/>
                    </w:rPr>
                    <w:t>期间流量</w:t>
                  </w:r>
                  <w:r>
                    <w:rPr>
                      <w:color w:val="auto"/>
                      <w:spacing w:val="4"/>
                      <w:sz w:val="18"/>
                      <w:szCs w:val="18"/>
                      <w:highlight w:val="none"/>
                    </w:rPr>
                    <w:t>不稳定，</w:t>
                  </w:r>
                  <w:r>
                    <w:rPr>
                      <w:color w:val="auto"/>
                      <w:spacing w:val="7"/>
                      <w:sz w:val="18"/>
                      <w:szCs w:val="18"/>
                      <w:highlight w:val="none"/>
                    </w:rPr>
                    <w:t>但有周期</w:t>
                  </w:r>
                  <w:r>
                    <w:rPr>
                      <w:color w:val="auto"/>
                      <w:spacing w:val="6"/>
                      <w:sz w:val="18"/>
                      <w:szCs w:val="18"/>
                      <w:highlight w:val="none"/>
                    </w:rPr>
                    <w:t>性规律</w:t>
                  </w:r>
                </w:p>
              </w:tc>
              <w:tc>
                <w:tcPr>
                  <w:tcW w:w="0" w:type="auto"/>
                  <w:vAlign w:val="center"/>
                </w:tcPr>
                <w:p w14:paraId="4541737B">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eastAsia" w:ascii="Times New Roman" w:hAnsi="Times New Roman" w:eastAsia="宋体" w:cs="Times New Roman"/>
                      <w:color w:val="auto"/>
                      <w:sz w:val="18"/>
                      <w:szCs w:val="18"/>
                      <w:highlight w:val="none"/>
                      <w:lang w:eastAsia="zh-CN"/>
                    </w:rPr>
                  </w:pPr>
                  <w:r>
                    <w:rPr>
                      <w:rFonts w:hint="eastAsia" w:eastAsia="宋体" w:cs="Times New Roman"/>
                      <w:color w:val="auto"/>
                      <w:sz w:val="18"/>
                      <w:szCs w:val="18"/>
                      <w:highlight w:val="none"/>
                      <w:lang w:val="en-US" w:eastAsia="zh-CN"/>
                    </w:rPr>
                    <w:t>-</w:t>
                  </w:r>
                </w:p>
              </w:tc>
              <w:tc>
                <w:tcPr>
                  <w:tcW w:w="0" w:type="auto"/>
                  <w:vAlign w:val="center"/>
                </w:tcPr>
                <w:p w14:paraId="230F27C8">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6"/>
                      <w:sz w:val="18"/>
                      <w:szCs w:val="18"/>
                      <w:highlight w:val="none"/>
                    </w:rPr>
                    <w:t>化粪池</w:t>
                  </w:r>
                </w:p>
              </w:tc>
              <w:tc>
                <w:tcPr>
                  <w:tcW w:w="0" w:type="auto"/>
                  <w:vAlign w:val="center"/>
                </w:tcPr>
                <w:p w14:paraId="408EEC9E">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4"/>
                      <w:sz w:val="18"/>
                      <w:szCs w:val="18"/>
                      <w:highlight w:val="none"/>
                    </w:rPr>
                    <w:t>厌氧</w:t>
                  </w:r>
                  <w:r>
                    <w:rPr>
                      <w:color w:val="auto"/>
                      <w:spacing w:val="3"/>
                      <w:sz w:val="18"/>
                      <w:szCs w:val="18"/>
                      <w:highlight w:val="none"/>
                    </w:rPr>
                    <w:t>分解</w:t>
                  </w:r>
                </w:p>
              </w:tc>
              <w:tc>
                <w:tcPr>
                  <w:tcW w:w="0" w:type="auto"/>
                  <w:vAlign w:val="center"/>
                </w:tcPr>
                <w:p w14:paraId="43BFC7DE">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eastAsia" w:eastAsia="宋体"/>
                      <w:color w:val="auto"/>
                      <w:sz w:val="18"/>
                      <w:szCs w:val="18"/>
                      <w:highlight w:val="none"/>
                      <w:lang w:val="en-US" w:eastAsia="zh-CN"/>
                    </w:rPr>
                  </w:pPr>
                  <w:r>
                    <w:rPr>
                      <w:rFonts w:hint="eastAsia" w:eastAsia="宋体" w:cs="Times New Roman"/>
                      <w:color w:val="auto"/>
                      <w:sz w:val="18"/>
                      <w:szCs w:val="18"/>
                      <w:highlight w:val="none"/>
                      <w:lang w:val="en-US" w:eastAsia="zh-CN"/>
                    </w:rPr>
                    <w:t>-</w:t>
                  </w:r>
                </w:p>
              </w:tc>
              <w:tc>
                <w:tcPr>
                  <w:tcW w:w="0" w:type="auto"/>
                  <w:vAlign w:val="center"/>
                </w:tcPr>
                <w:p w14:paraId="3FE6FFBA">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z w:val="18"/>
                      <w:szCs w:val="18"/>
                      <w:highlight w:val="none"/>
                    </w:rPr>
                    <w:t>是</w:t>
                  </w:r>
                </w:p>
              </w:tc>
              <w:tc>
                <w:tcPr>
                  <w:tcW w:w="0" w:type="auto"/>
                  <w:vAlign w:val="center"/>
                </w:tcPr>
                <w:p w14:paraId="73CD91CB">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18"/>
                      <w:szCs w:val="18"/>
                      <w:highlight w:val="none"/>
                    </w:rPr>
                  </w:pPr>
                  <w:r>
                    <w:rPr>
                      <w:color w:val="auto"/>
                      <w:spacing w:val="3"/>
                      <w:sz w:val="18"/>
                      <w:szCs w:val="18"/>
                      <w:highlight w:val="none"/>
                    </w:rPr>
                    <w:t>一般</w:t>
                  </w:r>
                  <w:r>
                    <w:rPr>
                      <w:color w:val="auto"/>
                      <w:spacing w:val="4"/>
                      <w:sz w:val="18"/>
                      <w:szCs w:val="18"/>
                      <w:highlight w:val="none"/>
                    </w:rPr>
                    <w:t>排放</w:t>
                  </w:r>
                  <w:r>
                    <w:rPr>
                      <w:color w:val="auto"/>
                      <w:sz w:val="18"/>
                      <w:szCs w:val="18"/>
                      <w:highlight w:val="none"/>
                    </w:rPr>
                    <w:t>口</w:t>
                  </w:r>
                </w:p>
              </w:tc>
            </w:tr>
            <w:tr w14:paraId="1C6A52E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79837D66">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eastAsia" w:ascii="Times New Roman" w:hAnsi="Times New Roman" w:eastAsia="宋体" w:cs="Times New Roman"/>
                      <w:color w:val="auto"/>
                      <w:sz w:val="18"/>
                      <w:szCs w:val="18"/>
                      <w:highlight w:val="none"/>
                      <w:lang w:val="en-US" w:eastAsia="zh-CN"/>
                    </w:rPr>
                  </w:pPr>
                  <w:r>
                    <w:rPr>
                      <w:rFonts w:hint="eastAsia" w:eastAsia="宋体" w:cs="Times New Roman"/>
                      <w:color w:val="auto"/>
                      <w:sz w:val="18"/>
                      <w:szCs w:val="18"/>
                      <w:highlight w:val="none"/>
                      <w:lang w:val="en-US" w:eastAsia="zh-CN"/>
                    </w:rPr>
                    <w:t>2</w:t>
                  </w:r>
                </w:p>
              </w:tc>
              <w:tc>
                <w:tcPr>
                  <w:tcW w:w="0" w:type="auto"/>
                  <w:shd w:val="clear" w:color="auto" w:fill="auto"/>
                  <w:vAlign w:val="center"/>
                </w:tcPr>
                <w:p w14:paraId="2AA2577F">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color w:val="auto"/>
                      <w:spacing w:val="3"/>
                      <w:sz w:val="18"/>
                      <w:szCs w:val="18"/>
                      <w:highlight w:val="none"/>
                    </w:rPr>
                    <w:t>生活污水</w:t>
                  </w:r>
                  <w:r>
                    <w:rPr>
                      <w:rFonts w:hint="default" w:eastAsia="宋体"/>
                      <w:color w:val="auto"/>
                      <w:spacing w:val="3"/>
                      <w:sz w:val="18"/>
                      <w:szCs w:val="18"/>
                      <w:highlight w:val="none"/>
                      <w:lang w:eastAsia="zh-CN"/>
                    </w:rPr>
                    <w:t>、</w:t>
                  </w:r>
                  <w:r>
                    <w:rPr>
                      <w:rFonts w:hint="default" w:eastAsia="宋体"/>
                      <w:color w:val="auto"/>
                      <w:spacing w:val="3"/>
                      <w:sz w:val="18"/>
                      <w:szCs w:val="18"/>
                      <w:highlight w:val="none"/>
                      <w:lang w:val="en-US" w:eastAsia="zh-CN"/>
                    </w:rPr>
                    <w:t>生产废水</w:t>
                  </w:r>
                </w:p>
              </w:tc>
              <w:tc>
                <w:tcPr>
                  <w:tcW w:w="0" w:type="auto"/>
                  <w:shd w:val="clear" w:color="auto" w:fill="auto"/>
                  <w:vAlign w:val="center"/>
                </w:tcPr>
                <w:p w14:paraId="4F0C8AB3">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ascii="Times New Roman" w:hAnsi="Times New Roman" w:eastAsia="宋体" w:cs="Times New Roman"/>
                      <w:color w:val="auto"/>
                      <w:kern w:val="2"/>
                      <w:sz w:val="18"/>
                      <w:szCs w:val="18"/>
                      <w:highlight w:val="none"/>
                      <w:lang w:val="en-US" w:eastAsia="zh-CN" w:bidi="ar-SA"/>
                    </w:rPr>
                  </w:pPr>
                  <w:r>
                    <w:rPr>
                      <w:rFonts w:ascii="Times New Roman" w:hAnsi="Times New Roman" w:eastAsia="Times New Roman" w:cs="Times New Roman"/>
                      <w:color w:val="auto"/>
                      <w:spacing w:val="3"/>
                      <w:sz w:val="18"/>
                      <w:szCs w:val="18"/>
                      <w:highlight w:val="none"/>
                    </w:rPr>
                    <w:t>COD</w:t>
                  </w:r>
                  <w:r>
                    <w:rPr>
                      <w:rFonts w:hint="default" w:eastAsia="宋体" w:cs="Times New Roman"/>
                      <w:color w:val="auto"/>
                      <w:spacing w:val="3"/>
                      <w:sz w:val="18"/>
                      <w:szCs w:val="18"/>
                      <w:highlight w:val="none"/>
                      <w:lang w:eastAsia="zh-CN"/>
                    </w:rPr>
                    <w:t>、</w:t>
                  </w:r>
                  <w:r>
                    <w:rPr>
                      <w:rFonts w:ascii="Times New Roman" w:hAnsi="Times New Roman" w:eastAsia="Times New Roman" w:cs="Times New Roman"/>
                      <w:color w:val="auto"/>
                      <w:sz w:val="18"/>
                      <w:szCs w:val="18"/>
                      <w:highlight w:val="none"/>
                    </w:rPr>
                    <w:t>BOD</w:t>
                  </w:r>
                  <w:r>
                    <w:rPr>
                      <w:rFonts w:ascii="Times New Roman" w:hAnsi="Times New Roman" w:eastAsia="Times New Roman" w:cs="Times New Roman"/>
                      <w:color w:val="auto"/>
                      <w:spacing w:val="19"/>
                      <w:position w:val="-1"/>
                      <w:sz w:val="18"/>
                      <w:szCs w:val="18"/>
                      <w:highlight w:val="none"/>
                    </w:rPr>
                    <w:t>5</w:t>
                  </w:r>
                  <w:r>
                    <w:rPr>
                      <w:rFonts w:hint="default" w:eastAsia="宋体" w:cs="Times New Roman"/>
                      <w:color w:val="auto"/>
                      <w:spacing w:val="19"/>
                      <w:position w:val="-1"/>
                      <w:sz w:val="18"/>
                      <w:szCs w:val="18"/>
                      <w:highlight w:val="none"/>
                      <w:lang w:eastAsia="zh-CN"/>
                    </w:rPr>
                    <w:t>、</w:t>
                  </w:r>
                  <w:r>
                    <w:rPr>
                      <w:rFonts w:ascii="Times New Roman" w:hAnsi="Times New Roman" w:eastAsia="Times New Roman" w:cs="Times New Roman"/>
                      <w:color w:val="auto"/>
                      <w:spacing w:val="-2"/>
                      <w:sz w:val="18"/>
                      <w:szCs w:val="18"/>
                      <w:highlight w:val="none"/>
                    </w:rPr>
                    <w:t>SS</w:t>
                  </w:r>
                  <w:r>
                    <w:rPr>
                      <w:color w:val="auto"/>
                      <w:spacing w:val="-2"/>
                      <w:sz w:val="18"/>
                      <w:szCs w:val="18"/>
                      <w:highlight w:val="none"/>
                    </w:rPr>
                    <w:t>、</w:t>
                  </w:r>
                  <w:r>
                    <w:rPr>
                      <w:color w:val="auto"/>
                      <w:spacing w:val="4"/>
                      <w:sz w:val="18"/>
                      <w:szCs w:val="18"/>
                      <w:highlight w:val="none"/>
                    </w:rPr>
                    <w:t>氨氮</w:t>
                  </w:r>
                  <w:r>
                    <w:rPr>
                      <w:color w:val="auto"/>
                      <w:sz w:val="18"/>
                      <w:szCs w:val="18"/>
                      <w:highlight w:val="none"/>
                    </w:rPr>
                    <w:t>等</w:t>
                  </w:r>
                </w:p>
              </w:tc>
              <w:tc>
                <w:tcPr>
                  <w:tcW w:w="0" w:type="auto"/>
                  <w:vAlign w:val="center"/>
                </w:tcPr>
                <w:p w14:paraId="2D7FF201">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firstLineChars="0"/>
                    <w:jc w:val="center"/>
                    <w:textAlignment w:val="auto"/>
                    <w:rPr>
                      <w:rFonts w:hint="default" w:eastAsia="宋体"/>
                      <w:color w:val="auto"/>
                      <w:spacing w:val="1"/>
                      <w:sz w:val="18"/>
                      <w:szCs w:val="18"/>
                      <w:highlight w:val="none"/>
                      <w:lang w:val="en-US" w:eastAsia="zh-CN"/>
                    </w:rPr>
                  </w:pPr>
                  <w:r>
                    <w:rPr>
                      <w:rFonts w:hint="default" w:eastAsia="宋体"/>
                      <w:color w:val="auto"/>
                      <w:spacing w:val="1"/>
                      <w:sz w:val="18"/>
                      <w:szCs w:val="18"/>
                      <w:highlight w:val="none"/>
                      <w:lang w:val="en-US" w:eastAsia="zh-CN"/>
                    </w:rPr>
                    <w:t>园区污</w:t>
                  </w:r>
                  <w:r>
                    <w:rPr>
                      <w:color w:val="auto"/>
                      <w:spacing w:val="1"/>
                      <w:sz w:val="18"/>
                      <w:szCs w:val="18"/>
                      <w:highlight w:val="none"/>
                    </w:rPr>
                    <w:t>水处理厂</w:t>
                  </w:r>
                </w:p>
              </w:tc>
              <w:tc>
                <w:tcPr>
                  <w:tcW w:w="0" w:type="auto"/>
                  <w:vAlign w:val="center"/>
                </w:tcPr>
                <w:p w14:paraId="0DBCEBFA">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1"/>
                      <w:sz w:val="18"/>
                      <w:szCs w:val="18"/>
                      <w:highlight w:val="none"/>
                    </w:rPr>
                  </w:pPr>
                  <w:r>
                    <w:rPr>
                      <w:color w:val="auto"/>
                      <w:spacing w:val="1"/>
                      <w:sz w:val="18"/>
                      <w:szCs w:val="18"/>
                      <w:highlight w:val="none"/>
                    </w:rPr>
                    <w:t>间断排</w:t>
                  </w:r>
                  <w:r>
                    <w:rPr>
                      <w:color w:val="auto"/>
                      <w:spacing w:val="7"/>
                      <w:sz w:val="18"/>
                      <w:szCs w:val="18"/>
                      <w:highlight w:val="none"/>
                    </w:rPr>
                    <w:t>放，排放</w:t>
                  </w:r>
                  <w:r>
                    <w:rPr>
                      <w:color w:val="auto"/>
                      <w:spacing w:val="6"/>
                      <w:sz w:val="18"/>
                      <w:szCs w:val="18"/>
                      <w:highlight w:val="none"/>
                    </w:rPr>
                    <w:t>期间流量</w:t>
                  </w:r>
                  <w:r>
                    <w:rPr>
                      <w:color w:val="auto"/>
                      <w:spacing w:val="4"/>
                      <w:sz w:val="18"/>
                      <w:szCs w:val="18"/>
                      <w:highlight w:val="none"/>
                    </w:rPr>
                    <w:t>不稳定，</w:t>
                  </w:r>
                  <w:r>
                    <w:rPr>
                      <w:color w:val="auto"/>
                      <w:spacing w:val="7"/>
                      <w:sz w:val="18"/>
                      <w:szCs w:val="18"/>
                      <w:highlight w:val="none"/>
                    </w:rPr>
                    <w:t>但有周期</w:t>
                  </w:r>
                  <w:r>
                    <w:rPr>
                      <w:color w:val="auto"/>
                      <w:spacing w:val="6"/>
                      <w:sz w:val="18"/>
                      <w:szCs w:val="18"/>
                      <w:highlight w:val="none"/>
                    </w:rPr>
                    <w:t>性规律</w:t>
                  </w:r>
                </w:p>
              </w:tc>
              <w:tc>
                <w:tcPr>
                  <w:tcW w:w="0" w:type="auto"/>
                  <w:vAlign w:val="center"/>
                </w:tcPr>
                <w:p w14:paraId="6B7002B2">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z w:val="18"/>
                      <w:szCs w:val="18"/>
                      <w:highlight w:val="none"/>
                    </w:rPr>
                    <w:t>TW</w:t>
                  </w:r>
                  <w:r>
                    <w:rPr>
                      <w:rFonts w:ascii="Times New Roman" w:hAnsi="Times New Roman" w:eastAsia="Times New Roman" w:cs="Times New Roman"/>
                      <w:color w:val="auto"/>
                      <w:spacing w:val="11"/>
                      <w:sz w:val="18"/>
                      <w:szCs w:val="18"/>
                      <w:highlight w:val="none"/>
                    </w:rPr>
                    <w:t>0</w:t>
                  </w:r>
                </w:p>
                <w:p w14:paraId="49D4AD81">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eastAsia" w:ascii="Times New Roman" w:hAnsi="Times New Roman" w:eastAsia="宋体" w:cs="Times New Roman"/>
                      <w:color w:val="auto"/>
                      <w:spacing w:val="1"/>
                      <w:sz w:val="18"/>
                      <w:szCs w:val="18"/>
                      <w:highlight w:val="none"/>
                      <w:lang w:val="en-US" w:eastAsia="zh-CN"/>
                    </w:rPr>
                  </w:pPr>
                  <w:r>
                    <w:rPr>
                      <w:rFonts w:ascii="Times New Roman" w:hAnsi="Times New Roman" w:eastAsia="Times New Roman" w:cs="Times New Roman"/>
                      <w:color w:val="auto"/>
                      <w:spacing w:val="1"/>
                      <w:sz w:val="18"/>
                      <w:szCs w:val="18"/>
                      <w:highlight w:val="none"/>
                    </w:rPr>
                    <w:t>0</w:t>
                  </w:r>
                  <w:r>
                    <w:rPr>
                      <w:rFonts w:hint="eastAsia" w:eastAsia="宋体" w:cs="Times New Roman"/>
                      <w:color w:val="auto"/>
                      <w:spacing w:val="1"/>
                      <w:sz w:val="18"/>
                      <w:szCs w:val="18"/>
                      <w:highlight w:val="none"/>
                      <w:lang w:val="en-US" w:eastAsia="zh-CN"/>
                    </w:rPr>
                    <w:t>1</w:t>
                  </w:r>
                </w:p>
              </w:tc>
              <w:tc>
                <w:tcPr>
                  <w:tcW w:w="0" w:type="auto"/>
                  <w:vAlign w:val="center"/>
                </w:tcPr>
                <w:p w14:paraId="49698F73">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eastAsia" w:eastAsia="宋体"/>
                      <w:color w:val="auto"/>
                      <w:spacing w:val="6"/>
                      <w:sz w:val="18"/>
                      <w:szCs w:val="18"/>
                      <w:highlight w:val="none"/>
                      <w:lang w:val="en-US" w:eastAsia="zh-CN"/>
                    </w:rPr>
                  </w:pPr>
                  <w:r>
                    <w:rPr>
                      <w:rFonts w:hint="eastAsia" w:eastAsia="宋体"/>
                      <w:color w:val="auto"/>
                      <w:spacing w:val="6"/>
                      <w:sz w:val="18"/>
                      <w:szCs w:val="18"/>
                      <w:highlight w:val="none"/>
                      <w:lang w:val="en-US" w:eastAsia="zh-CN"/>
                    </w:rPr>
                    <w:t>污水处理站</w:t>
                  </w:r>
                </w:p>
              </w:tc>
              <w:tc>
                <w:tcPr>
                  <w:tcW w:w="0" w:type="auto"/>
                  <w:vAlign w:val="center"/>
                </w:tcPr>
                <w:p w14:paraId="6BB2D24C">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4"/>
                      <w:sz w:val="18"/>
                      <w:szCs w:val="18"/>
                      <w:highlight w:val="none"/>
                    </w:rPr>
                  </w:pPr>
                  <w:r>
                    <w:rPr>
                      <w:rFonts w:hint="default"/>
                      <w:color w:val="auto"/>
                      <w:spacing w:val="-2"/>
                      <w:highlight w:val="none"/>
                    </w:rPr>
                    <w:t>混凝沉淀+气浮+接触氧化</w:t>
                  </w:r>
                </w:p>
              </w:tc>
              <w:tc>
                <w:tcPr>
                  <w:tcW w:w="0" w:type="auto"/>
                  <w:vAlign w:val="center"/>
                </w:tcPr>
                <w:p w14:paraId="0FE0E813">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18"/>
                      <w:szCs w:val="18"/>
                      <w:highlight w:val="none"/>
                    </w:rPr>
                  </w:pPr>
                  <w:r>
                    <w:rPr>
                      <w:rFonts w:hint="eastAsia" w:eastAsia="宋体" w:cs="Times New Roman"/>
                      <w:color w:val="auto"/>
                      <w:sz w:val="18"/>
                      <w:szCs w:val="18"/>
                      <w:highlight w:val="none"/>
                      <w:lang w:val="en-US" w:eastAsia="zh-CN"/>
                    </w:rPr>
                    <w:t>D</w:t>
                  </w:r>
                  <w:r>
                    <w:rPr>
                      <w:rFonts w:ascii="Times New Roman" w:hAnsi="Times New Roman" w:eastAsia="Times New Roman" w:cs="Times New Roman"/>
                      <w:color w:val="auto"/>
                      <w:sz w:val="18"/>
                      <w:szCs w:val="18"/>
                      <w:highlight w:val="none"/>
                    </w:rPr>
                    <w:t>W</w:t>
                  </w:r>
                  <w:r>
                    <w:rPr>
                      <w:rFonts w:ascii="Times New Roman" w:hAnsi="Times New Roman" w:eastAsia="Times New Roman" w:cs="Times New Roman"/>
                      <w:color w:val="auto"/>
                      <w:spacing w:val="11"/>
                      <w:sz w:val="18"/>
                      <w:szCs w:val="18"/>
                      <w:highlight w:val="none"/>
                    </w:rPr>
                    <w:t>0</w:t>
                  </w:r>
                </w:p>
                <w:p w14:paraId="023556C9">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eastAsia" w:ascii="Times New Roman" w:hAnsi="Times New Roman" w:eastAsia="宋体" w:cs="Times New Roman"/>
                      <w:color w:val="auto"/>
                      <w:sz w:val="18"/>
                      <w:szCs w:val="18"/>
                      <w:highlight w:val="none"/>
                      <w:lang w:val="en-US" w:eastAsia="zh-CN"/>
                    </w:rPr>
                  </w:pPr>
                  <w:r>
                    <w:rPr>
                      <w:rFonts w:ascii="Times New Roman" w:hAnsi="Times New Roman" w:eastAsia="Times New Roman" w:cs="Times New Roman"/>
                      <w:color w:val="auto"/>
                      <w:spacing w:val="1"/>
                      <w:sz w:val="18"/>
                      <w:szCs w:val="18"/>
                      <w:highlight w:val="none"/>
                    </w:rPr>
                    <w:t>0</w:t>
                  </w:r>
                  <w:r>
                    <w:rPr>
                      <w:rFonts w:hint="eastAsia" w:eastAsia="宋体" w:cs="Times New Roman"/>
                      <w:color w:val="auto"/>
                      <w:spacing w:val="1"/>
                      <w:sz w:val="18"/>
                      <w:szCs w:val="18"/>
                      <w:highlight w:val="none"/>
                      <w:lang w:val="en-US" w:eastAsia="zh-CN"/>
                    </w:rPr>
                    <w:t>1</w:t>
                  </w:r>
                </w:p>
              </w:tc>
              <w:tc>
                <w:tcPr>
                  <w:tcW w:w="0" w:type="auto"/>
                  <w:vAlign w:val="center"/>
                </w:tcPr>
                <w:p w14:paraId="6D1451D0">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eastAsia" w:eastAsia="宋体"/>
                      <w:color w:val="auto"/>
                      <w:sz w:val="18"/>
                      <w:szCs w:val="18"/>
                      <w:highlight w:val="none"/>
                      <w:lang w:val="en-US" w:eastAsia="zh-CN"/>
                    </w:rPr>
                  </w:pPr>
                  <w:r>
                    <w:rPr>
                      <w:rFonts w:hint="eastAsia" w:eastAsia="宋体"/>
                      <w:color w:val="auto"/>
                      <w:sz w:val="18"/>
                      <w:szCs w:val="18"/>
                      <w:highlight w:val="none"/>
                      <w:lang w:val="en-US" w:eastAsia="zh-CN"/>
                    </w:rPr>
                    <w:t>是</w:t>
                  </w:r>
                </w:p>
                <w:p w14:paraId="5690A887"/>
              </w:tc>
              <w:tc>
                <w:tcPr>
                  <w:tcW w:w="0" w:type="auto"/>
                  <w:vAlign w:val="center"/>
                </w:tcPr>
                <w:p w14:paraId="0650DEF6">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default"/>
                      <w:color w:val="auto"/>
                      <w:spacing w:val="3"/>
                      <w:sz w:val="18"/>
                      <w:szCs w:val="18"/>
                      <w:highlight w:val="none"/>
                      <w:lang w:val="en-US"/>
                    </w:rPr>
                  </w:pPr>
                  <w:r>
                    <w:rPr>
                      <w:rFonts w:hint="eastAsia" w:eastAsia="宋体"/>
                      <w:color w:val="auto"/>
                      <w:spacing w:val="3"/>
                      <w:sz w:val="18"/>
                      <w:szCs w:val="18"/>
                      <w:highlight w:val="none"/>
                      <w:lang w:val="en-US" w:eastAsia="zh-CN"/>
                    </w:rPr>
                    <w:t>一般排放口</w:t>
                  </w:r>
                </w:p>
              </w:tc>
            </w:tr>
          </w:tbl>
          <w:p w14:paraId="5D5D34D2">
            <w:pPr>
              <w:adjustRightInd w:val="0"/>
              <w:snapToGrid w:val="0"/>
              <w:spacing w:line="440" w:lineRule="exact"/>
              <w:rPr>
                <w:rFonts w:hint="default"/>
                <w:color w:val="auto"/>
                <w:spacing w:val="-2"/>
                <w:highlight w:val="none"/>
              </w:rPr>
            </w:pPr>
            <w:r>
              <w:rPr>
                <w:rFonts w:hint="default"/>
                <w:color w:val="auto"/>
                <w:spacing w:val="-2"/>
                <w:highlight w:val="none"/>
                <w:lang w:val="en-US" w:eastAsia="zh-CN"/>
              </w:rPr>
              <w:t>4.</w:t>
            </w:r>
            <w:r>
              <w:rPr>
                <w:rFonts w:hint="default"/>
                <w:color w:val="auto"/>
                <w:spacing w:val="-2"/>
                <w:highlight w:val="none"/>
              </w:rPr>
              <w:t>自行监测</w:t>
            </w:r>
          </w:p>
          <w:p w14:paraId="3370439F">
            <w:pPr>
              <w:pStyle w:val="29"/>
              <w:adjustRightInd w:val="0"/>
              <w:snapToGrid w:val="0"/>
              <w:spacing w:line="360" w:lineRule="auto"/>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排污单位自行监测技术指南-总则》（HJ819-2017）、《排污单位自行监测技术指南酒、饮料制造》（HJ1085—2020）及《排污单位自行监测技术指南工业固体废物和危险废物治理》（HJ1250-2022）中自行监测管理要求，</w:t>
            </w:r>
          </w:p>
          <w:p w14:paraId="03A52694">
            <w:pPr>
              <w:pStyle w:val="29"/>
              <w:adjustRightInd w:val="0"/>
              <w:snapToGrid w:val="0"/>
              <w:spacing w:line="360" w:lineRule="auto"/>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间接排放的生活污水不需要监测，说明去向即可。</w:t>
            </w:r>
          </w:p>
          <w:p w14:paraId="0AAFD77E">
            <w:pPr>
              <w:adjustRightInd w:val="0"/>
              <w:snapToGrid w:val="0"/>
              <w:spacing w:line="440" w:lineRule="exact"/>
              <w:ind w:firstLine="474" w:firstLineChars="200"/>
              <w:jc w:val="center"/>
              <w:rPr>
                <w:b/>
                <w:bCs/>
                <w:color w:val="auto"/>
                <w:spacing w:val="-2"/>
                <w:highlight w:val="none"/>
              </w:rPr>
            </w:pPr>
            <w:r>
              <w:rPr>
                <w:b/>
                <w:bCs/>
                <w:color w:val="auto"/>
                <w:spacing w:val="-2"/>
                <w:highlight w:val="none"/>
              </w:rPr>
              <w:t>表4</w:t>
            </w:r>
            <w:r>
              <w:rPr>
                <w:rFonts w:hint="default"/>
                <w:b/>
                <w:bCs/>
                <w:color w:val="auto"/>
                <w:spacing w:val="-2"/>
                <w:highlight w:val="none"/>
                <w:lang w:val="en-US" w:eastAsia="zh-CN"/>
              </w:rPr>
              <w:t>-1</w:t>
            </w:r>
            <w:r>
              <w:rPr>
                <w:rFonts w:hint="eastAsia"/>
                <w:b/>
                <w:bCs/>
                <w:color w:val="auto"/>
                <w:spacing w:val="-2"/>
                <w:highlight w:val="none"/>
                <w:lang w:val="en-US" w:eastAsia="zh-CN"/>
              </w:rPr>
              <w:t>0</w:t>
            </w:r>
            <w:r>
              <w:rPr>
                <w:b/>
                <w:bCs/>
                <w:color w:val="auto"/>
                <w:spacing w:val="-2"/>
                <w:highlight w:val="none"/>
              </w:rPr>
              <w:t>废水监测计划</w:t>
            </w:r>
          </w:p>
          <w:p w14:paraId="4D6E0C28">
            <w:pPr>
              <w:spacing w:line="138" w:lineRule="exact"/>
              <w:rPr>
                <w:color w:val="auto"/>
                <w:highlight w:val="none"/>
              </w:rPr>
            </w:pPr>
          </w:p>
          <w:tbl>
            <w:tblPr>
              <w:tblStyle w:val="118"/>
              <w:tblW w:w="0" w:type="auto"/>
              <w:tblInd w:w="91"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532"/>
              <w:gridCol w:w="6655"/>
              <w:gridCol w:w="797"/>
            </w:tblGrid>
            <w:tr w14:paraId="1AAA612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PrEx>
              <w:trPr>
                <w:trHeight w:val="0" w:hRule="atLeast"/>
              </w:trPr>
              <w:tc>
                <w:tcPr>
                  <w:tcW w:w="0" w:type="auto"/>
                  <w:vAlign w:val="center"/>
                </w:tcPr>
                <w:p w14:paraId="23F94797">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b/>
                      <w:bCs/>
                      <w:color w:val="auto"/>
                      <w:spacing w:val="6"/>
                      <w:sz w:val="20"/>
                      <w:szCs w:val="20"/>
                      <w:highlight w:val="none"/>
                    </w:rPr>
                    <w:t>监测点位</w:t>
                  </w:r>
                </w:p>
              </w:tc>
              <w:tc>
                <w:tcPr>
                  <w:tcW w:w="0" w:type="auto"/>
                  <w:vAlign w:val="center"/>
                </w:tcPr>
                <w:p w14:paraId="178530E4">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b/>
                      <w:bCs/>
                      <w:color w:val="auto"/>
                      <w:spacing w:val="6"/>
                      <w:sz w:val="20"/>
                      <w:szCs w:val="20"/>
                      <w:highlight w:val="none"/>
                    </w:rPr>
                    <w:t>监测项目</w:t>
                  </w:r>
                </w:p>
              </w:tc>
              <w:tc>
                <w:tcPr>
                  <w:tcW w:w="0" w:type="auto"/>
                  <w:vAlign w:val="center"/>
                </w:tcPr>
                <w:p w14:paraId="23243B4D">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b/>
                      <w:bCs/>
                      <w:color w:val="auto"/>
                      <w:spacing w:val="6"/>
                      <w:sz w:val="20"/>
                      <w:szCs w:val="20"/>
                      <w:highlight w:val="none"/>
                    </w:rPr>
                    <w:t>监测频次</w:t>
                  </w:r>
                </w:p>
              </w:tc>
            </w:tr>
            <w:tr w14:paraId="5B046B5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28732DE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6"/>
                      <w:sz w:val="20"/>
                      <w:szCs w:val="20"/>
                      <w:highlight w:val="none"/>
                    </w:rPr>
                  </w:pPr>
                  <w:r>
                    <w:rPr>
                      <w:color w:val="auto"/>
                      <w:spacing w:val="6"/>
                      <w:sz w:val="20"/>
                      <w:szCs w:val="20"/>
                      <w:highlight w:val="none"/>
                    </w:rPr>
                    <w:t>污水处理站排放口</w:t>
                  </w:r>
                </w:p>
              </w:tc>
              <w:tc>
                <w:tcPr>
                  <w:tcW w:w="0" w:type="auto"/>
                  <w:vAlign w:val="center"/>
                </w:tcPr>
                <w:p w14:paraId="36692C49">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6"/>
                      <w:sz w:val="20"/>
                      <w:szCs w:val="20"/>
                      <w:highlight w:val="none"/>
                    </w:rPr>
                  </w:pPr>
                  <w:r>
                    <w:rPr>
                      <w:color w:val="auto"/>
                      <w:spacing w:val="6"/>
                      <w:sz w:val="20"/>
                      <w:szCs w:val="20"/>
                      <w:highlight w:val="none"/>
                    </w:rPr>
                    <w:t>流量、pH值、悬浮物、五日生化需氧量、化学需氧量、氨氮、总氮、总磷、色度</w:t>
                  </w:r>
                </w:p>
              </w:tc>
              <w:tc>
                <w:tcPr>
                  <w:tcW w:w="0" w:type="auto"/>
                  <w:vAlign w:val="center"/>
                </w:tcPr>
                <w:p w14:paraId="00E13B43">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6"/>
                      <w:sz w:val="20"/>
                      <w:szCs w:val="20"/>
                      <w:highlight w:val="none"/>
                    </w:rPr>
                  </w:pPr>
                  <w:r>
                    <w:rPr>
                      <w:color w:val="auto"/>
                      <w:spacing w:val="6"/>
                      <w:sz w:val="20"/>
                      <w:szCs w:val="20"/>
                      <w:highlight w:val="none"/>
                    </w:rPr>
                    <w:t>1次/半年</w:t>
                  </w:r>
                </w:p>
              </w:tc>
            </w:tr>
          </w:tbl>
          <w:p w14:paraId="57A938B1">
            <w:pPr>
              <w:pStyle w:val="29"/>
              <w:adjustRightInd w:val="0"/>
              <w:snapToGrid w:val="0"/>
              <w:spacing w:line="360" w:lineRule="auto"/>
              <w:rPr>
                <w:rFonts w:hint="default" w:ascii="Times New Roman" w:hAnsi="Times New Roman" w:cs="Times New Roman"/>
                <w:b/>
                <w:bCs/>
                <w:color w:val="auto"/>
                <w:highlight w:val="none"/>
              </w:rPr>
            </w:pPr>
            <w:r>
              <w:rPr>
                <w:rFonts w:hint="default" w:cs="Times New Roman"/>
                <w:b/>
                <w:bCs/>
                <w:color w:val="auto"/>
                <w:highlight w:val="none"/>
                <w:lang w:val="en-US" w:eastAsia="zh-CN"/>
              </w:rPr>
              <w:t>三、</w:t>
            </w:r>
            <w:r>
              <w:rPr>
                <w:rFonts w:hint="default" w:ascii="Times New Roman" w:hAnsi="Times New Roman" w:cs="Times New Roman"/>
                <w:b/>
                <w:bCs/>
                <w:color w:val="auto"/>
                <w:highlight w:val="none"/>
              </w:rPr>
              <w:t>噪声环境影响分析</w:t>
            </w:r>
          </w:p>
          <w:p w14:paraId="6614885F">
            <w:pPr>
              <w:adjustRightInd w:val="0"/>
              <w:snapToGrid w:val="0"/>
              <w:spacing w:line="440" w:lineRule="exact"/>
              <w:rPr>
                <w:rFonts w:hint="default"/>
                <w:color w:val="auto"/>
                <w:spacing w:val="-2"/>
                <w:highlight w:val="none"/>
              </w:rPr>
            </w:pPr>
            <w:r>
              <w:rPr>
                <w:rFonts w:hint="default"/>
                <w:color w:val="auto"/>
                <w:spacing w:val="-2"/>
                <w:highlight w:val="none"/>
                <w:lang w:val="en-US" w:eastAsia="zh-CN"/>
              </w:rPr>
              <w:t>1.</w:t>
            </w:r>
            <w:r>
              <w:rPr>
                <w:rFonts w:hint="default"/>
                <w:color w:val="auto"/>
                <w:spacing w:val="-2"/>
                <w:highlight w:val="none"/>
              </w:rPr>
              <w:t>主要噪声源</w:t>
            </w:r>
          </w:p>
          <w:p w14:paraId="69EC24EC">
            <w:pPr>
              <w:pStyle w:val="29"/>
              <w:adjustRightInd w:val="0"/>
              <w:snapToGrid w:val="0"/>
              <w:spacing w:line="360" w:lineRule="auto"/>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项目营运期噪声污染源主要为鲜果清洗、榨汁等设备运行噪声，布置在生产厂房内，具体设备噪声源强见下表。</w:t>
            </w:r>
          </w:p>
          <w:p w14:paraId="6886BF6F">
            <w:pPr>
              <w:adjustRightInd w:val="0"/>
              <w:snapToGrid w:val="0"/>
              <w:spacing w:line="440" w:lineRule="exact"/>
              <w:ind w:left="0" w:leftChars="0" w:firstLine="0" w:firstLineChars="0"/>
              <w:jc w:val="center"/>
              <w:rPr>
                <w:b/>
                <w:bCs/>
                <w:color w:val="auto"/>
                <w:spacing w:val="-2"/>
                <w:highlight w:val="none"/>
              </w:rPr>
            </w:pPr>
            <w:r>
              <w:rPr>
                <w:b/>
                <w:bCs/>
                <w:color w:val="auto"/>
                <w:spacing w:val="-2"/>
                <w:highlight w:val="none"/>
              </w:rPr>
              <w:t>表4</w:t>
            </w:r>
            <w:r>
              <w:rPr>
                <w:rFonts w:hint="default"/>
                <w:b/>
                <w:bCs/>
                <w:color w:val="auto"/>
                <w:spacing w:val="-2"/>
                <w:highlight w:val="none"/>
                <w:lang w:val="en-US" w:eastAsia="zh-CN"/>
              </w:rPr>
              <w:t>-1</w:t>
            </w:r>
            <w:r>
              <w:rPr>
                <w:rFonts w:hint="eastAsia"/>
                <w:b/>
                <w:bCs/>
                <w:color w:val="auto"/>
                <w:spacing w:val="-2"/>
                <w:highlight w:val="none"/>
                <w:lang w:val="en-US" w:eastAsia="zh-CN"/>
              </w:rPr>
              <w:t>1</w:t>
            </w:r>
            <w:r>
              <w:rPr>
                <w:rFonts w:hint="default"/>
                <w:b/>
                <w:bCs/>
                <w:color w:val="auto"/>
                <w:spacing w:val="-2"/>
                <w:highlight w:val="none"/>
                <w:lang w:val="en-US" w:eastAsia="zh-CN"/>
              </w:rPr>
              <w:t>设备噪声声源强</w:t>
            </w:r>
          </w:p>
          <w:tbl>
            <w:tblPr>
              <w:tblStyle w:val="118"/>
              <w:tblW w:w="0" w:type="auto"/>
              <w:tblInd w:w="147"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387"/>
              <w:gridCol w:w="1254"/>
              <w:gridCol w:w="375"/>
              <w:gridCol w:w="794"/>
              <w:gridCol w:w="2554"/>
              <w:gridCol w:w="1250"/>
              <w:gridCol w:w="1588"/>
              <w:gridCol w:w="726"/>
            </w:tblGrid>
            <w:tr w14:paraId="485CDD1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2CFEE9D3">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序号</w:t>
                  </w:r>
                </w:p>
              </w:tc>
              <w:tc>
                <w:tcPr>
                  <w:tcW w:w="0" w:type="auto"/>
                  <w:vAlign w:val="center"/>
                </w:tcPr>
                <w:p w14:paraId="15AA85B2">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噪声源</w:t>
                  </w:r>
                </w:p>
              </w:tc>
              <w:tc>
                <w:tcPr>
                  <w:tcW w:w="0" w:type="auto"/>
                  <w:vAlign w:val="center"/>
                </w:tcPr>
                <w:p w14:paraId="354DD68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数量</w:t>
                  </w:r>
                </w:p>
              </w:tc>
              <w:tc>
                <w:tcPr>
                  <w:tcW w:w="794" w:type="dxa"/>
                  <w:vAlign w:val="center"/>
                </w:tcPr>
                <w:p w14:paraId="75440EC6">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噪声值/dB(A)</w:t>
                  </w:r>
                </w:p>
              </w:tc>
              <w:tc>
                <w:tcPr>
                  <w:tcW w:w="2554" w:type="dxa"/>
                  <w:vAlign w:val="center"/>
                </w:tcPr>
                <w:p w14:paraId="200ED1F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控制措施</w:t>
                  </w:r>
                </w:p>
              </w:tc>
              <w:tc>
                <w:tcPr>
                  <w:tcW w:w="0" w:type="auto"/>
                  <w:vAlign w:val="center"/>
                </w:tcPr>
                <w:p w14:paraId="54DB4C42">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降噪效果/dB(A)</w:t>
                  </w:r>
                </w:p>
              </w:tc>
              <w:tc>
                <w:tcPr>
                  <w:tcW w:w="0" w:type="auto"/>
                  <w:vAlign w:val="center"/>
                </w:tcPr>
                <w:p w14:paraId="02F5FE5E">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治理后声压级/dB(A)</w:t>
                  </w:r>
                </w:p>
              </w:tc>
              <w:tc>
                <w:tcPr>
                  <w:tcW w:w="0" w:type="auto"/>
                  <w:vAlign w:val="center"/>
                </w:tcPr>
                <w:p w14:paraId="122E4607">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运行时段</w:t>
                  </w:r>
                </w:p>
              </w:tc>
            </w:tr>
            <w:tr w14:paraId="77BEF22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0" w:type="auto"/>
                  <w:vAlign w:val="center"/>
                </w:tcPr>
                <w:p w14:paraId="19E847A2">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0" w:type="auto"/>
                  <w:vAlign w:val="center"/>
                </w:tcPr>
                <w:p w14:paraId="1FF5D4F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鼓泡清洗机</w:t>
                  </w:r>
                </w:p>
              </w:tc>
              <w:tc>
                <w:tcPr>
                  <w:tcW w:w="0" w:type="auto"/>
                  <w:vAlign w:val="center"/>
                </w:tcPr>
                <w:p w14:paraId="1F6DC109">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w:t>
                  </w:r>
                </w:p>
              </w:tc>
              <w:tc>
                <w:tcPr>
                  <w:tcW w:w="794" w:type="dxa"/>
                  <w:vAlign w:val="center"/>
                </w:tcPr>
                <w:p w14:paraId="397941F2">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80</w:t>
                  </w:r>
                </w:p>
              </w:tc>
              <w:tc>
                <w:tcPr>
                  <w:tcW w:w="2554" w:type="dxa"/>
                  <w:vAlign w:val="center"/>
                </w:tcPr>
                <w:p w14:paraId="239146CD">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6F28C01B">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136F933D">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60</w:t>
                  </w:r>
                </w:p>
              </w:tc>
              <w:tc>
                <w:tcPr>
                  <w:tcW w:w="0" w:type="auto"/>
                  <w:vAlign w:val="center"/>
                </w:tcPr>
                <w:p w14:paraId="5AB6DC3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1B1AD4E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2D4082B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w:t>
                  </w:r>
                </w:p>
              </w:tc>
              <w:tc>
                <w:tcPr>
                  <w:tcW w:w="0" w:type="auto"/>
                  <w:vAlign w:val="center"/>
                </w:tcPr>
                <w:p w14:paraId="6F44BD87">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锤式破碎机</w:t>
                  </w:r>
                </w:p>
              </w:tc>
              <w:tc>
                <w:tcPr>
                  <w:tcW w:w="0" w:type="auto"/>
                  <w:vAlign w:val="center"/>
                </w:tcPr>
                <w:p w14:paraId="4331A46E">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79FEE65E">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80</w:t>
                  </w:r>
                </w:p>
              </w:tc>
              <w:tc>
                <w:tcPr>
                  <w:tcW w:w="2554" w:type="dxa"/>
                  <w:vAlign w:val="center"/>
                </w:tcPr>
                <w:p w14:paraId="0FC00F7F">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764EDCC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2B9F469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60</w:t>
                  </w:r>
                </w:p>
              </w:tc>
              <w:tc>
                <w:tcPr>
                  <w:tcW w:w="0" w:type="auto"/>
                  <w:vAlign w:val="center"/>
                </w:tcPr>
                <w:p w14:paraId="34490478">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1B292C2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16B3F57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3</w:t>
                  </w:r>
                </w:p>
              </w:tc>
              <w:tc>
                <w:tcPr>
                  <w:tcW w:w="0" w:type="auto"/>
                  <w:vAlign w:val="center"/>
                </w:tcPr>
                <w:p w14:paraId="10DC3B0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双道打浆机</w:t>
                  </w:r>
                </w:p>
              </w:tc>
              <w:tc>
                <w:tcPr>
                  <w:tcW w:w="0" w:type="auto"/>
                  <w:vAlign w:val="center"/>
                </w:tcPr>
                <w:p w14:paraId="715E29C1">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60D07A88">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80</w:t>
                  </w:r>
                </w:p>
              </w:tc>
              <w:tc>
                <w:tcPr>
                  <w:tcW w:w="2554" w:type="dxa"/>
                  <w:vAlign w:val="center"/>
                </w:tcPr>
                <w:p w14:paraId="076F223D">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3B2C9D7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23A2B9A7">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60</w:t>
                  </w:r>
                </w:p>
              </w:tc>
              <w:tc>
                <w:tcPr>
                  <w:tcW w:w="0" w:type="auto"/>
                  <w:vAlign w:val="center"/>
                </w:tcPr>
                <w:p w14:paraId="61020489">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0108F8E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587E348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4</w:t>
                  </w:r>
                </w:p>
              </w:tc>
              <w:tc>
                <w:tcPr>
                  <w:tcW w:w="0" w:type="auto"/>
                  <w:vAlign w:val="center"/>
                </w:tcPr>
                <w:p w14:paraId="67E819B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带式榨汁机</w:t>
                  </w:r>
                </w:p>
              </w:tc>
              <w:tc>
                <w:tcPr>
                  <w:tcW w:w="0" w:type="auto"/>
                  <w:vAlign w:val="center"/>
                </w:tcPr>
                <w:p w14:paraId="5987C7F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5C8B4E8D">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80</w:t>
                  </w:r>
                </w:p>
              </w:tc>
              <w:tc>
                <w:tcPr>
                  <w:tcW w:w="2554" w:type="dxa"/>
                  <w:vAlign w:val="center"/>
                </w:tcPr>
                <w:p w14:paraId="4E2BDD97">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619F4DE9">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5162C42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60</w:t>
                  </w:r>
                </w:p>
              </w:tc>
              <w:tc>
                <w:tcPr>
                  <w:tcW w:w="0" w:type="auto"/>
                  <w:vAlign w:val="center"/>
                </w:tcPr>
                <w:p w14:paraId="0103FE9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79FAD46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77046D3E">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5</w:t>
                  </w:r>
                </w:p>
              </w:tc>
              <w:tc>
                <w:tcPr>
                  <w:tcW w:w="0" w:type="auto"/>
                  <w:vAlign w:val="center"/>
                </w:tcPr>
                <w:p w14:paraId="2C635F6A">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卧式离心机</w:t>
                  </w:r>
                </w:p>
              </w:tc>
              <w:tc>
                <w:tcPr>
                  <w:tcW w:w="0" w:type="auto"/>
                  <w:vAlign w:val="center"/>
                </w:tcPr>
                <w:p w14:paraId="689D08B7">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7D85453B">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85</w:t>
                  </w:r>
                </w:p>
              </w:tc>
              <w:tc>
                <w:tcPr>
                  <w:tcW w:w="2554" w:type="dxa"/>
                  <w:vAlign w:val="center"/>
                </w:tcPr>
                <w:p w14:paraId="69726BC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29566FC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316A903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65</w:t>
                  </w:r>
                </w:p>
              </w:tc>
              <w:tc>
                <w:tcPr>
                  <w:tcW w:w="0" w:type="auto"/>
                  <w:vAlign w:val="center"/>
                </w:tcPr>
                <w:p w14:paraId="24CD3B26">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7A7333B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45E1ED8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w:t>
                  </w:r>
                </w:p>
              </w:tc>
              <w:tc>
                <w:tcPr>
                  <w:tcW w:w="0" w:type="auto"/>
                  <w:vAlign w:val="center"/>
                </w:tcPr>
                <w:p w14:paraId="4CA3EDBD">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蝶式离心机</w:t>
                  </w:r>
                </w:p>
              </w:tc>
              <w:tc>
                <w:tcPr>
                  <w:tcW w:w="0" w:type="auto"/>
                  <w:vAlign w:val="center"/>
                </w:tcPr>
                <w:p w14:paraId="39321DD6">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7B9942BD">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85</w:t>
                  </w:r>
                </w:p>
              </w:tc>
              <w:tc>
                <w:tcPr>
                  <w:tcW w:w="2554" w:type="dxa"/>
                  <w:vAlign w:val="center"/>
                </w:tcPr>
                <w:p w14:paraId="6C8DE9DE">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68A7617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76119CB8">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65</w:t>
                  </w:r>
                </w:p>
              </w:tc>
              <w:tc>
                <w:tcPr>
                  <w:tcW w:w="0" w:type="auto"/>
                  <w:vAlign w:val="center"/>
                </w:tcPr>
                <w:p w14:paraId="0AF82BBA">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7FDD90D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1323E916">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7</w:t>
                  </w:r>
                </w:p>
              </w:tc>
              <w:tc>
                <w:tcPr>
                  <w:tcW w:w="0" w:type="auto"/>
                  <w:vAlign w:val="center"/>
                </w:tcPr>
                <w:p w14:paraId="1354DD41">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高压均质机</w:t>
                  </w:r>
                </w:p>
              </w:tc>
              <w:tc>
                <w:tcPr>
                  <w:tcW w:w="0" w:type="auto"/>
                  <w:vAlign w:val="center"/>
                </w:tcPr>
                <w:p w14:paraId="26309149">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331129F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82</w:t>
                  </w:r>
                </w:p>
              </w:tc>
              <w:tc>
                <w:tcPr>
                  <w:tcW w:w="2554" w:type="dxa"/>
                  <w:vAlign w:val="center"/>
                </w:tcPr>
                <w:p w14:paraId="3EA847A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57E949ED">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3E18461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62</w:t>
                  </w:r>
                </w:p>
              </w:tc>
              <w:tc>
                <w:tcPr>
                  <w:tcW w:w="0" w:type="auto"/>
                  <w:vAlign w:val="center"/>
                </w:tcPr>
                <w:p w14:paraId="27424053">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40B99F9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3315DC11">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w:t>
                  </w:r>
                </w:p>
              </w:tc>
              <w:tc>
                <w:tcPr>
                  <w:tcW w:w="0" w:type="auto"/>
                  <w:vAlign w:val="center"/>
                </w:tcPr>
                <w:p w14:paraId="008674FF">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UHT杀菌机</w:t>
                  </w:r>
                </w:p>
              </w:tc>
              <w:tc>
                <w:tcPr>
                  <w:tcW w:w="0" w:type="auto"/>
                  <w:vAlign w:val="center"/>
                </w:tcPr>
                <w:p w14:paraId="3320FE0A">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w:t>
                  </w:r>
                </w:p>
              </w:tc>
              <w:tc>
                <w:tcPr>
                  <w:tcW w:w="794" w:type="dxa"/>
                  <w:vAlign w:val="center"/>
                </w:tcPr>
                <w:p w14:paraId="6F1494A2">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70</w:t>
                  </w:r>
                </w:p>
              </w:tc>
              <w:tc>
                <w:tcPr>
                  <w:tcW w:w="2554" w:type="dxa"/>
                  <w:vAlign w:val="center"/>
                </w:tcPr>
                <w:p w14:paraId="59CCA32F">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2EBF2657">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7312C4B9">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50</w:t>
                  </w:r>
                </w:p>
              </w:tc>
              <w:tc>
                <w:tcPr>
                  <w:tcW w:w="0" w:type="auto"/>
                  <w:vAlign w:val="center"/>
                </w:tcPr>
                <w:p w14:paraId="3045D917">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0D72E7A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1E08293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9</w:t>
                  </w:r>
                </w:p>
              </w:tc>
              <w:tc>
                <w:tcPr>
                  <w:tcW w:w="0" w:type="auto"/>
                  <w:vAlign w:val="center"/>
                </w:tcPr>
                <w:p w14:paraId="1E14EF8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无菌灌装机</w:t>
                  </w:r>
                </w:p>
              </w:tc>
              <w:tc>
                <w:tcPr>
                  <w:tcW w:w="0" w:type="auto"/>
                  <w:vAlign w:val="center"/>
                </w:tcPr>
                <w:p w14:paraId="59484CF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3639CB0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70</w:t>
                  </w:r>
                </w:p>
              </w:tc>
              <w:tc>
                <w:tcPr>
                  <w:tcW w:w="2554" w:type="dxa"/>
                  <w:vAlign w:val="center"/>
                </w:tcPr>
                <w:p w14:paraId="7AF33BCD">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36DF93B2">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1D0338ED">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50</w:t>
                  </w:r>
                </w:p>
              </w:tc>
              <w:tc>
                <w:tcPr>
                  <w:tcW w:w="0" w:type="auto"/>
                  <w:vAlign w:val="center"/>
                </w:tcPr>
                <w:p w14:paraId="35D1B653">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1546CBD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507F93D3">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10</w:t>
                  </w:r>
                </w:p>
              </w:tc>
              <w:tc>
                <w:tcPr>
                  <w:tcW w:w="0" w:type="auto"/>
                  <w:vAlign w:val="center"/>
                </w:tcPr>
                <w:p w14:paraId="4A3248EF">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CIP清洗泵</w:t>
                  </w:r>
                </w:p>
              </w:tc>
              <w:tc>
                <w:tcPr>
                  <w:tcW w:w="0" w:type="auto"/>
                  <w:vAlign w:val="center"/>
                </w:tcPr>
                <w:p w14:paraId="3C8EDBA3">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w:t>
                  </w:r>
                </w:p>
              </w:tc>
              <w:tc>
                <w:tcPr>
                  <w:tcW w:w="794" w:type="dxa"/>
                  <w:vAlign w:val="center"/>
                </w:tcPr>
                <w:p w14:paraId="2087E4F3">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80</w:t>
                  </w:r>
                </w:p>
              </w:tc>
              <w:tc>
                <w:tcPr>
                  <w:tcW w:w="2554" w:type="dxa"/>
                  <w:vAlign w:val="center"/>
                </w:tcPr>
                <w:p w14:paraId="0ADBACF9">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61E17336">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32B5C8E1">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60</w:t>
                  </w:r>
                </w:p>
              </w:tc>
              <w:tc>
                <w:tcPr>
                  <w:tcW w:w="0" w:type="auto"/>
                  <w:vAlign w:val="center"/>
                </w:tcPr>
                <w:p w14:paraId="0D180061">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5CA5784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1F67900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11</w:t>
                  </w:r>
                </w:p>
              </w:tc>
              <w:tc>
                <w:tcPr>
                  <w:tcW w:w="0" w:type="auto"/>
                  <w:vAlign w:val="center"/>
                </w:tcPr>
                <w:p w14:paraId="4C826E9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果汁泵</w:t>
                  </w:r>
                </w:p>
              </w:tc>
              <w:tc>
                <w:tcPr>
                  <w:tcW w:w="0" w:type="auto"/>
                  <w:vAlign w:val="center"/>
                </w:tcPr>
                <w:p w14:paraId="139910D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4</w:t>
                  </w:r>
                </w:p>
              </w:tc>
              <w:tc>
                <w:tcPr>
                  <w:tcW w:w="794" w:type="dxa"/>
                  <w:vAlign w:val="center"/>
                </w:tcPr>
                <w:p w14:paraId="2220D09D">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75</w:t>
                  </w:r>
                </w:p>
              </w:tc>
              <w:tc>
                <w:tcPr>
                  <w:tcW w:w="2554" w:type="dxa"/>
                  <w:vAlign w:val="center"/>
                </w:tcPr>
                <w:p w14:paraId="1776555A">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116FF9C6">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7BF40042">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55</w:t>
                  </w:r>
                </w:p>
              </w:tc>
              <w:tc>
                <w:tcPr>
                  <w:tcW w:w="0" w:type="auto"/>
                  <w:vAlign w:val="center"/>
                </w:tcPr>
                <w:p w14:paraId="29CD2423">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4C2071E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0C546E0F">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12</w:t>
                  </w:r>
                </w:p>
              </w:tc>
              <w:tc>
                <w:tcPr>
                  <w:tcW w:w="0" w:type="auto"/>
                  <w:vAlign w:val="center"/>
                </w:tcPr>
                <w:p w14:paraId="2DBD34EE">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空压机</w:t>
                  </w:r>
                </w:p>
              </w:tc>
              <w:tc>
                <w:tcPr>
                  <w:tcW w:w="0" w:type="auto"/>
                  <w:vAlign w:val="center"/>
                </w:tcPr>
                <w:p w14:paraId="6AA8E38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w:t>
                  </w:r>
                </w:p>
              </w:tc>
              <w:tc>
                <w:tcPr>
                  <w:tcW w:w="794" w:type="dxa"/>
                  <w:vAlign w:val="center"/>
                </w:tcPr>
                <w:p w14:paraId="05114111">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90</w:t>
                  </w:r>
                </w:p>
              </w:tc>
              <w:tc>
                <w:tcPr>
                  <w:tcW w:w="2554" w:type="dxa"/>
                  <w:vAlign w:val="center"/>
                </w:tcPr>
                <w:p w14:paraId="5B382CE1">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密闭车间，基础减振，隔声罩</w:t>
                  </w:r>
                </w:p>
              </w:tc>
              <w:tc>
                <w:tcPr>
                  <w:tcW w:w="0" w:type="auto"/>
                  <w:vAlign w:val="center"/>
                </w:tcPr>
                <w:p w14:paraId="64DD288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25</w:t>
                  </w:r>
                </w:p>
              </w:tc>
              <w:tc>
                <w:tcPr>
                  <w:tcW w:w="0" w:type="auto"/>
                  <w:vAlign w:val="center"/>
                </w:tcPr>
                <w:p w14:paraId="247F932D">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65</w:t>
                  </w:r>
                </w:p>
              </w:tc>
              <w:tc>
                <w:tcPr>
                  <w:tcW w:w="0" w:type="auto"/>
                  <w:vAlign w:val="center"/>
                </w:tcPr>
                <w:p w14:paraId="30382CDE">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57A37FF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3D0EEB7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13</w:t>
                  </w:r>
                </w:p>
              </w:tc>
              <w:tc>
                <w:tcPr>
                  <w:tcW w:w="0" w:type="auto"/>
                  <w:vAlign w:val="center"/>
                </w:tcPr>
                <w:p w14:paraId="556A2E1F">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冷却塔</w:t>
                  </w:r>
                </w:p>
              </w:tc>
              <w:tc>
                <w:tcPr>
                  <w:tcW w:w="0" w:type="auto"/>
                  <w:vAlign w:val="center"/>
                </w:tcPr>
                <w:p w14:paraId="68558B4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4932F4B9">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88</w:t>
                  </w:r>
                </w:p>
              </w:tc>
              <w:tc>
                <w:tcPr>
                  <w:tcW w:w="2554" w:type="dxa"/>
                  <w:vAlign w:val="center"/>
                </w:tcPr>
                <w:p w14:paraId="59524A1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基础减振，进排风口消声器</w:t>
                  </w:r>
                </w:p>
              </w:tc>
              <w:tc>
                <w:tcPr>
                  <w:tcW w:w="0" w:type="auto"/>
                  <w:vAlign w:val="center"/>
                </w:tcPr>
                <w:p w14:paraId="76D59D1F">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3A37C309">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68</w:t>
                  </w:r>
                </w:p>
              </w:tc>
              <w:tc>
                <w:tcPr>
                  <w:tcW w:w="0" w:type="auto"/>
                  <w:vAlign w:val="center"/>
                </w:tcPr>
                <w:p w14:paraId="515E0252">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69CBA25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121A9143">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14</w:t>
                  </w:r>
                </w:p>
              </w:tc>
              <w:tc>
                <w:tcPr>
                  <w:tcW w:w="0" w:type="auto"/>
                  <w:vAlign w:val="center"/>
                </w:tcPr>
                <w:p w14:paraId="3715D2D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冰水机</w:t>
                  </w:r>
                </w:p>
              </w:tc>
              <w:tc>
                <w:tcPr>
                  <w:tcW w:w="0" w:type="auto"/>
                  <w:vAlign w:val="center"/>
                </w:tcPr>
                <w:p w14:paraId="6B4D336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2DFF803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82</w:t>
                  </w:r>
                </w:p>
              </w:tc>
              <w:tc>
                <w:tcPr>
                  <w:tcW w:w="2554" w:type="dxa"/>
                  <w:vAlign w:val="center"/>
                </w:tcPr>
                <w:p w14:paraId="261FF1D8">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6871A39B">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566A876C">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62</w:t>
                  </w:r>
                </w:p>
              </w:tc>
              <w:tc>
                <w:tcPr>
                  <w:tcW w:w="0" w:type="auto"/>
                  <w:vAlign w:val="center"/>
                </w:tcPr>
                <w:p w14:paraId="6D15DF1E">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0D9C688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400D309F">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15</w:t>
                  </w:r>
                </w:p>
              </w:tc>
              <w:tc>
                <w:tcPr>
                  <w:tcW w:w="0" w:type="auto"/>
                  <w:vAlign w:val="center"/>
                </w:tcPr>
                <w:p w14:paraId="54BECF46">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燃气锅炉</w:t>
                  </w:r>
                </w:p>
              </w:tc>
              <w:tc>
                <w:tcPr>
                  <w:tcW w:w="0" w:type="auto"/>
                  <w:vAlign w:val="center"/>
                </w:tcPr>
                <w:p w14:paraId="286BC37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3D17A9A6">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85</w:t>
                  </w:r>
                </w:p>
              </w:tc>
              <w:tc>
                <w:tcPr>
                  <w:tcW w:w="2554" w:type="dxa"/>
                  <w:vAlign w:val="center"/>
                </w:tcPr>
                <w:p w14:paraId="6873DBF6">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5017322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34E1090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65</w:t>
                  </w:r>
                </w:p>
              </w:tc>
              <w:tc>
                <w:tcPr>
                  <w:tcW w:w="0" w:type="auto"/>
                  <w:vAlign w:val="center"/>
                </w:tcPr>
                <w:p w14:paraId="748300C7">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62B7C35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28D7701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16</w:t>
                  </w:r>
                </w:p>
              </w:tc>
              <w:tc>
                <w:tcPr>
                  <w:tcW w:w="0" w:type="auto"/>
                  <w:vAlign w:val="center"/>
                </w:tcPr>
                <w:p w14:paraId="6CD0496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锅炉风机</w:t>
                  </w:r>
                </w:p>
              </w:tc>
              <w:tc>
                <w:tcPr>
                  <w:tcW w:w="0" w:type="auto"/>
                  <w:vAlign w:val="center"/>
                </w:tcPr>
                <w:p w14:paraId="13B5D3EB">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008A8BC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88</w:t>
                  </w:r>
                </w:p>
              </w:tc>
              <w:tc>
                <w:tcPr>
                  <w:tcW w:w="2554" w:type="dxa"/>
                  <w:vAlign w:val="center"/>
                </w:tcPr>
                <w:p w14:paraId="412FB20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密闭车间，基础减振，消声器</w:t>
                  </w:r>
                </w:p>
              </w:tc>
              <w:tc>
                <w:tcPr>
                  <w:tcW w:w="0" w:type="auto"/>
                  <w:vAlign w:val="center"/>
                </w:tcPr>
                <w:p w14:paraId="139010F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25</w:t>
                  </w:r>
                </w:p>
              </w:tc>
              <w:tc>
                <w:tcPr>
                  <w:tcW w:w="0" w:type="auto"/>
                  <w:vAlign w:val="center"/>
                </w:tcPr>
                <w:p w14:paraId="0CD12B46">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63</w:t>
                  </w:r>
                </w:p>
              </w:tc>
              <w:tc>
                <w:tcPr>
                  <w:tcW w:w="0" w:type="auto"/>
                  <w:vAlign w:val="center"/>
                </w:tcPr>
                <w:p w14:paraId="14907DB4">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r w14:paraId="1058F10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6B2E981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17</w:t>
                  </w:r>
                </w:p>
              </w:tc>
              <w:tc>
                <w:tcPr>
                  <w:tcW w:w="0" w:type="auto"/>
                  <w:vAlign w:val="center"/>
                </w:tcPr>
                <w:p w14:paraId="725FBD9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果品分选线主机</w:t>
                  </w:r>
                </w:p>
              </w:tc>
              <w:tc>
                <w:tcPr>
                  <w:tcW w:w="0" w:type="auto"/>
                  <w:vAlign w:val="center"/>
                </w:tcPr>
                <w:p w14:paraId="4E9DAFE5">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w:t>
                  </w:r>
                </w:p>
              </w:tc>
              <w:tc>
                <w:tcPr>
                  <w:tcW w:w="794" w:type="dxa"/>
                  <w:vAlign w:val="center"/>
                </w:tcPr>
                <w:p w14:paraId="247373D0">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75</w:t>
                  </w:r>
                </w:p>
              </w:tc>
              <w:tc>
                <w:tcPr>
                  <w:tcW w:w="2554" w:type="dxa"/>
                  <w:vAlign w:val="center"/>
                </w:tcPr>
                <w:p w14:paraId="136AF90E">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密闭车间，基础减振</w:t>
                  </w:r>
                </w:p>
              </w:tc>
              <w:tc>
                <w:tcPr>
                  <w:tcW w:w="0" w:type="auto"/>
                  <w:vAlign w:val="center"/>
                </w:tcPr>
                <w:p w14:paraId="4E5F4BEA">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20</w:t>
                  </w:r>
                </w:p>
              </w:tc>
              <w:tc>
                <w:tcPr>
                  <w:tcW w:w="0" w:type="auto"/>
                  <w:vAlign w:val="center"/>
                </w:tcPr>
                <w:p w14:paraId="5E99C8B9">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55</w:t>
                  </w:r>
                </w:p>
              </w:tc>
              <w:tc>
                <w:tcPr>
                  <w:tcW w:w="0" w:type="auto"/>
                  <w:vAlign w:val="center"/>
                </w:tcPr>
                <w:p w14:paraId="6E023C07">
                  <w:pPr>
                    <w:pStyle w:val="29"/>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全时段</w:t>
                  </w:r>
                </w:p>
              </w:tc>
            </w:tr>
          </w:tbl>
          <w:p w14:paraId="2F948CE3">
            <w:pPr>
              <w:pStyle w:val="29"/>
              <w:adjustRightInd w:val="0"/>
              <w:snapToGrid w:val="0"/>
              <w:spacing w:line="360" w:lineRule="auto"/>
              <w:rPr>
                <w:rFonts w:hint="default" w:ascii="Times New Roman" w:hAnsi="Times New Roman" w:eastAsia="宋体" w:cs="Times New Roman"/>
                <w:color w:val="auto"/>
                <w:highlight w:val="none"/>
                <w:lang w:val="en-US" w:eastAsia="zh-CN"/>
              </w:rPr>
            </w:pPr>
            <w:r>
              <w:rPr>
                <w:rFonts w:hint="default" w:cs="Times New Roman"/>
                <w:color w:val="auto"/>
                <w:highlight w:val="none"/>
                <w:lang w:val="en-US" w:eastAsia="zh-CN"/>
              </w:rPr>
              <w:t>2.噪声预测</w:t>
            </w:r>
          </w:p>
          <w:p w14:paraId="66C89D42">
            <w:pPr>
              <w:spacing w:line="360" w:lineRule="auto"/>
              <w:ind w:right="20" w:firstLine="480" w:firstLineChars="200"/>
              <w:rPr>
                <w:color w:val="auto"/>
                <w:sz w:val="24"/>
                <w:szCs w:val="24"/>
                <w:highlight w:val="none"/>
              </w:rPr>
            </w:pPr>
            <w:r>
              <w:rPr>
                <w:color w:val="auto"/>
                <w:sz w:val="24"/>
                <w:szCs w:val="24"/>
                <w:highlight w:val="none"/>
              </w:rPr>
              <w:t>根据项目建设内容及《环境影响评价技术导则声环境》（HJ2.4-2021）的要求，项目环评声预测模型采用HJ2.4-2021附录A（规范性附录）户外声传播的衰减和附录B（规范性附录）中“B.1工业噪声预测计算模型”。</w:t>
            </w:r>
          </w:p>
          <w:p w14:paraId="50EE3CD7">
            <w:pPr>
              <w:spacing w:line="360" w:lineRule="auto"/>
              <w:ind w:right="20" w:firstLine="482" w:firstLineChars="200"/>
              <w:rPr>
                <w:b/>
                <w:color w:val="auto"/>
                <w:sz w:val="24"/>
                <w:szCs w:val="24"/>
                <w:highlight w:val="none"/>
              </w:rPr>
            </w:pPr>
            <w:r>
              <w:rPr>
                <w:b/>
                <w:color w:val="auto"/>
                <w:sz w:val="24"/>
                <w:szCs w:val="24"/>
                <w:highlight w:val="none"/>
              </w:rPr>
              <w:t>室内声源预测模型：</w:t>
            </w:r>
          </w:p>
          <w:p w14:paraId="79E9596F">
            <w:pPr>
              <w:spacing w:line="360" w:lineRule="auto"/>
              <w:ind w:right="20" w:firstLine="480" w:firstLineChars="200"/>
              <w:rPr>
                <w:color w:val="auto"/>
                <w:sz w:val="24"/>
                <w:szCs w:val="24"/>
                <w:highlight w:val="none"/>
              </w:rPr>
            </w:pPr>
            <w:r>
              <w:rPr>
                <w:color w:val="auto"/>
                <w:sz w:val="24"/>
                <w:szCs w:val="24"/>
                <w:highlight w:val="none"/>
              </w:rPr>
              <w:t>根据《环境影响评价技术导则声环境》（HJ2.4-2021）对室内声源的预测方法，声源位于室内，室内声源可采用等效室外声源声功率级法进行计算。</w:t>
            </w:r>
          </w:p>
          <w:p w14:paraId="60AA018B">
            <w:pPr>
              <w:spacing w:line="360" w:lineRule="auto"/>
              <w:ind w:right="20" w:firstLine="480" w:firstLineChars="200"/>
              <w:rPr>
                <w:color w:val="auto"/>
                <w:sz w:val="24"/>
                <w:szCs w:val="24"/>
                <w:highlight w:val="none"/>
              </w:rPr>
            </w:pPr>
            <w:r>
              <w:rPr>
                <w:rFonts w:hint="default" w:ascii="Times New Roman" w:hAnsi="Times New Roman" w:cs="Times New Roman"/>
                <w:color w:val="auto"/>
                <w:sz w:val="24"/>
                <w:szCs w:val="24"/>
                <w:highlight w:val="none"/>
              </w:rPr>
              <w:t>①</w:t>
            </w:r>
            <w:r>
              <w:rPr>
                <w:color w:val="auto"/>
                <w:sz w:val="24"/>
                <w:szCs w:val="24"/>
                <w:highlight w:val="none"/>
              </w:rPr>
              <w:t>计算某一室内声源靠近围护结构处产生的倍频带声压级：</w:t>
            </w:r>
          </w:p>
          <w:p w14:paraId="1FC9B61A">
            <w:pPr>
              <w:spacing w:line="360" w:lineRule="auto"/>
              <w:ind w:right="20"/>
              <w:jc w:val="center"/>
              <w:rPr>
                <w:color w:val="auto"/>
                <w:sz w:val="24"/>
                <w:szCs w:val="24"/>
                <w:highlight w:val="none"/>
              </w:rPr>
            </w:pPr>
            <w:r>
              <w:rPr>
                <w:color w:val="auto"/>
                <w:sz w:val="24"/>
                <w:szCs w:val="24"/>
                <w:highlight w:val="none"/>
              </w:rPr>
              <w:drawing>
                <wp:inline distT="0" distB="0" distL="114300" distR="114300">
                  <wp:extent cx="1621155" cy="425450"/>
                  <wp:effectExtent l="0" t="0" r="9525" b="1270"/>
                  <wp:docPr id="10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
                          <pic:cNvPicPr>
                            <a:picLocks noChangeAspect="1"/>
                          </pic:cNvPicPr>
                        </pic:nvPicPr>
                        <pic:blipFill>
                          <a:blip r:embed="rId19"/>
                          <a:stretch>
                            <a:fillRect/>
                          </a:stretch>
                        </pic:blipFill>
                        <pic:spPr>
                          <a:xfrm>
                            <a:off x="0" y="0"/>
                            <a:ext cx="1621155" cy="425450"/>
                          </a:xfrm>
                          <a:prstGeom prst="rect">
                            <a:avLst/>
                          </a:prstGeom>
                          <a:noFill/>
                          <a:ln>
                            <a:noFill/>
                          </a:ln>
                        </pic:spPr>
                      </pic:pic>
                    </a:graphicData>
                  </a:graphic>
                </wp:inline>
              </w:drawing>
            </w:r>
          </w:p>
          <w:p w14:paraId="1E789843">
            <w:pPr>
              <w:spacing w:line="360" w:lineRule="auto"/>
              <w:ind w:right="20" w:firstLine="480" w:firstLineChars="200"/>
              <w:rPr>
                <w:color w:val="auto"/>
                <w:sz w:val="24"/>
                <w:szCs w:val="24"/>
                <w:highlight w:val="none"/>
              </w:rPr>
            </w:pPr>
            <w:r>
              <w:rPr>
                <w:color w:val="auto"/>
                <w:sz w:val="24"/>
                <w:szCs w:val="24"/>
                <w:highlight w:val="none"/>
              </w:rPr>
              <w:t>式中：L</w:t>
            </w:r>
            <w:r>
              <w:rPr>
                <w:color w:val="auto"/>
                <w:sz w:val="24"/>
                <w:szCs w:val="24"/>
                <w:highlight w:val="none"/>
                <w:vertAlign w:val="subscript"/>
              </w:rPr>
              <w:t>p1</w:t>
            </w:r>
            <w:r>
              <w:rPr>
                <w:color w:val="auto"/>
                <w:sz w:val="24"/>
                <w:szCs w:val="24"/>
                <w:highlight w:val="none"/>
              </w:rPr>
              <w:t>-靠近开口处（或窗户）室内某倍频带的声压级或A声级，dB；</w:t>
            </w:r>
          </w:p>
          <w:p w14:paraId="1DA40595">
            <w:pPr>
              <w:spacing w:line="360" w:lineRule="auto"/>
              <w:ind w:right="20" w:firstLine="1200" w:firstLineChars="500"/>
              <w:rPr>
                <w:color w:val="auto"/>
                <w:sz w:val="24"/>
                <w:szCs w:val="24"/>
                <w:highlight w:val="none"/>
              </w:rPr>
            </w:pPr>
            <w:r>
              <w:rPr>
                <w:color w:val="auto"/>
                <w:sz w:val="24"/>
                <w:szCs w:val="24"/>
                <w:highlight w:val="none"/>
              </w:rPr>
              <w:t>L</w:t>
            </w:r>
            <w:r>
              <w:rPr>
                <w:color w:val="auto"/>
                <w:sz w:val="24"/>
                <w:szCs w:val="24"/>
                <w:highlight w:val="none"/>
                <w:vertAlign w:val="subscript"/>
              </w:rPr>
              <w:t>w</w:t>
            </w:r>
            <w:r>
              <w:rPr>
                <w:color w:val="auto"/>
                <w:sz w:val="24"/>
                <w:szCs w:val="24"/>
                <w:highlight w:val="none"/>
              </w:rPr>
              <w:t>-点声源声功率级（A计权或倍频带），dB；</w:t>
            </w:r>
          </w:p>
          <w:p w14:paraId="42E57EC9">
            <w:pPr>
              <w:spacing w:line="360" w:lineRule="auto"/>
              <w:ind w:right="20" w:firstLine="1200" w:firstLineChars="500"/>
              <w:rPr>
                <w:color w:val="auto"/>
                <w:sz w:val="24"/>
                <w:szCs w:val="24"/>
                <w:highlight w:val="none"/>
              </w:rPr>
            </w:pPr>
            <w:r>
              <w:rPr>
                <w:color w:val="auto"/>
                <w:sz w:val="24"/>
                <w:szCs w:val="24"/>
                <w:highlight w:val="none"/>
              </w:rPr>
              <w:t>Q-指向性因子：通常对无指向性声源，当声源放在房间中心时，Q=1；当放在一面墙的中心时，Q=2；当放在两面墙夹角时，Q=4；当放在三面墙夹角处时，Q=8；</w:t>
            </w:r>
          </w:p>
          <w:p w14:paraId="2E27C3ED">
            <w:pPr>
              <w:spacing w:line="360" w:lineRule="auto"/>
              <w:ind w:right="20" w:firstLine="1200" w:firstLineChars="500"/>
              <w:rPr>
                <w:color w:val="auto"/>
                <w:sz w:val="24"/>
                <w:szCs w:val="24"/>
                <w:highlight w:val="none"/>
              </w:rPr>
            </w:pPr>
            <w:r>
              <w:rPr>
                <w:color w:val="auto"/>
                <w:sz w:val="24"/>
                <w:szCs w:val="24"/>
                <w:highlight w:val="none"/>
              </w:rPr>
              <w:t>R-房间常数：R=Sa/（1-a），S为房间内表面面积，m²；a为平均吸声系数（混凝土刷漆，取值为0.07）；</w:t>
            </w:r>
          </w:p>
          <w:p w14:paraId="3C47D894">
            <w:pPr>
              <w:spacing w:line="360" w:lineRule="auto"/>
              <w:ind w:right="20" w:firstLine="1200" w:firstLineChars="500"/>
              <w:rPr>
                <w:color w:val="auto"/>
                <w:sz w:val="24"/>
                <w:szCs w:val="24"/>
                <w:highlight w:val="none"/>
              </w:rPr>
            </w:pPr>
            <w:r>
              <w:rPr>
                <w:color w:val="auto"/>
                <w:sz w:val="24"/>
                <w:szCs w:val="24"/>
                <w:highlight w:val="none"/>
              </w:rPr>
              <w:t>r-声源到靠近围护结构某点处的距离，m。</w:t>
            </w:r>
          </w:p>
          <w:p w14:paraId="40651C2C">
            <w:pPr>
              <w:spacing w:line="360" w:lineRule="auto"/>
              <w:ind w:right="20" w:firstLine="480" w:firstLineChars="200"/>
              <w:rPr>
                <w:color w:val="auto"/>
                <w:sz w:val="24"/>
                <w:szCs w:val="24"/>
                <w:highlight w:val="none"/>
              </w:rPr>
            </w:pPr>
            <w:r>
              <w:rPr>
                <w:rFonts w:hint="default" w:ascii="Times New Roman" w:hAnsi="Times New Roman" w:cs="Times New Roman"/>
                <w:color w:val="auto"/>
                <w:sz w:val="24"/>
                <w:szCs w:val="24"/>
                <w:highlight w:val="none"/>
              </w:rPr>
              <w:t>②</w:t>
            </w:r>
            <w:r>
              <w:rPr>
                <w:color w:val="auto"/>
                <w:sz w:val="24"/>
                <w:szCs w:val="24"/>
                <w:highlight w:val="none"/>
              </w:rPr>
              <w:t>计算出所有室内声源在围护结构处产生的i倍频带叠加声压级：</w:t>
            </w:r>
          </w:p>
          <w:p w14:paraId="3D8801DD">
            <w:pPr>
              <w:spacing w:line="360" w:lineRule="auto"/>
              <w:ind w:right="20" w:firstLine="2160" w:firstLineChars="900"/>
              <w:rPr>
                <w:color w:val="auto"/>
                <w:sz w:val="24"/>
                <w:szCs w:val="24"/>
                <w:highlight w:val="none"/>
              </w:rPr>
            </w:pPr>
            <w:r>
              <w:rPr>
                <w:color w:val="auto"/>
                <w:sz w:val="24"/>
                <w:szCs w:val="24"/>
                <w:highlight w:val="none"/>
              </w:rPr>
              <w:object>
                <v:shape id="_x0000_i1025" o:spt="75" type="#_x0000_t75" style="height:34.95pt;width:128.95pt;" o:ole="t" filled="f" o:preferrelative="t" stroked="f" coordsize="21600,21600">
                  <v:path/>
                  <v:fill on="f" focussize="0,0"/>
                  <v:stroke on="f" joinstyle="miter"/>
                  <v:imagedata r:id="rId21" o:title=""/>
                  <o:lock v:ext="edit" aspectratio="t"/>
                  <w10:wrap type="none"/>
                  <w10:anchorlock/>
                </v:shape>
                <o:OLEObject Type="Embed" ProgID="Equation.3" ShapeID="_x0000_i1025" DrawAspect="Content" ObjectID="_1468075725" r:id="rId20">
                  <o:LockedField>false</o:LockedField>
                </o:OLEObject>
              </w:object>
            </w:r>
          </w:p>
          <w:p w14:paraId="2711FBB4">
            <w:pPr>
              <w:spacing w:line="360" w:lineRule="auto"/>
              <w:ind w:right="20" w:firstLine="480" w:firstLineChars="200"/>
              <w:rPr>
                <w:color w:val="auto"/>
                <w:sz w:val="24"/>
                <w:szCs w:val="24"/>
                <w:highlight w:val="none"/>
              </w:rPr>
            </w:pPr>
            <w:r>
              <w:rPr>
                <w:color w:val="auto"/>
                <w:sz w:val="24"/>
                <w:szCs w:val="24"/>
                <w:highlight w:val="none"/>
              </w:rPr>
              <w:t>式中：L</w:t>
            </w:r>
            <w:r>
              <w:rPr>
                <w:color w:val="auto"/>
                <w:sz w:val="24"/>
                <w:szCs w:val="24"/>
                <w:highlight w:val="none"/>
                <w:vertAlign w:val="subscript"/>
              </w:rPr>
              <w:t>p1i</w:t>
            </w:r>
            <w:r>
              <w:rPr>
                <w:color w:val="auto"/>
                <w:sz w:val="24"/>
                <w:szCs w:val="24"/>
                <w:highlight w:val="none"/>
              </w:rPr>
              <w:t>（T）-靠近围护结构处室内N个声源i倍频带的叠加声压级，dB；</w:t>
            </w:r>
          </w:p>
          <w:p w14:paraId="4445A298">
            <w:pPr>
              <w:spacing w:line="360" w:lineRule="auto"/>
              <w:ind w:right="20" w:firstLine="1200" w:firstLineChars="500"/>
              <w:rPr>
                <w:color w:val="auto"/>
                <w:sz w:val="24"/>
                <w:szCs w:val="24"/>
                <w:highlight w:val="none"/>
              </w:rPr>
            </w:pPr>
            <w:r>
              <w:rPr>
                <w:color w:val="auto"/>
                <w:sz w:val="24"/>
                <w:szCs w:val="24"/>
                <w:highlight w:val="none"/>
              </w:rPr>
              <w:t>Lp</w:t>
            </w:r>
            <w:r>
              <w:rPr>
                <w:color w:val="auto"/>
                <w:sz w:val="24"/>
                <w:szCs w:val="24"/>
                <w:highlight w:val="none"/>
                <w:vertAlign w:val="subscript"/>
              </w:rPr>
              <w:t>1ij</w:t>
            </w:r>
            <w:r>
              <w:rPr>
                <w:color w:val="auto"/>
                <w:sz w:val="24"/>
                <w:szCs w:val="24"/>
                <w:highlight w:val="none"/>
              </w:rPr>
              <w:t>-室内j声源i倍频带的声压级，dB；</w:t>
            </w:r>
          </w:p>
          <w:p w14:paraId="476F4D7D">
            <w:pPr>
              <w:spacing w:line="360" w:lineRule="auto"/>
              <w:ind w:right="20" w:firstLine="1200" w:firstLineChars="500"/>
              <w:rPr>
                <w:color w:val="auto"/>
                <w:sz w:val="24"/>
                <w:szCs w:val="24"/>
                <w:highlight w:val="none"/>
              </w:rPr>
            </w:pPr>
            <w:r>
              <w:rPr>
                <w:color w:val="auto"/>
                <w:sz w:val="24"/>
                <w:szCs w:val="24"/>
                <w:highlight w:val="none"/>
              </w:rPr>
              <w:t>N-室内声源总数。</w:t>
            </w:r>
          </w:p>
          <w:p w14:paraId="39DC5ABA">
            <w:pPr>
              <w:spacing w:line="360" w:lineRule="auto"/>
              <w:ind w:right="20" w:firstLine="480" w:firstLineChars="200"/>
              <w:rPr>
                <w:color w:val="auto"/>
                <w:sz w:val="24"/>
                <w:szCs w:val="24"/>
                <w:highlight w:val="none"/>
              </w:rPr>
            </w:pPr>
            <w:r>
              <w:rPr>
                <w:rFonts w:hint="default" w:ascii="Times New Roman" w:hAnsi="Times New Roman" w:cs="Times New Roman"/>
                <w:color w:val="auto"/>
                <w:sz w:val="24"/>
                <w:szCs w:val="24"/>
                <w:highlight w:val="none"/>
              </w:rPr>
              <w:t>③</w:t>
            </w:r>
            <w:r>
              <w:rPr>
                <w:color w:val="auto"/>
                <w:sz w:val="24"/>
                <w:szCs w:val="24"/>
                <w:highlight w:val="none"/>
              </w:rPr>
              <w:t>在室内近似为扩散声场地，按下式计算出靠近室外围护结构处的声压级：</w:t>
            </w:r>
          </w:p>
          <w:p w14:paraId="413D054C">
            <w:pPr>
              <w:spacing w:line="360" w:lineRule="auto"/>
              <w:ind w:right="20" w:firstLine="1920" w:firstLineChars="800"/>
              <w:rPr>
                <w:color w:val="auto"/>
                <w:sz w:val="24"/>
                <w:szCs w:val="24"/>
                <w:highlight w:val="none"/>
              </w:rPr>
            </w:pPr>
            <w:r>
              <w:rPr>
                <w:color w:val="auto"/>
                <w:sz w:val="24"/>
                <w:szCs w:val="24"/>
                <w:highlight w:val="none"/>
              </w:rPr>
              <w:object>
                <v:shape id="_x0000_i1026" o:spt="75" type="#_x0000_t75" style="height:19.9pt;width:133.25pt;" o:ole="t" filled="f" o:preferrelative="t" stroked="f" coordsize="21600,21600">
                  <v:path/>
                  <v:fill on="f" focussize="0,0"/>
                  <v:stroke on="f" joinstyle="miter"/>
                  <v:imagedata r:id="rId23" o:title=""/>
                  <o:lock v:ext="edit" aspectratio="t"/>
                  <w10:wrap type="none"/>
                  <w10:anchorlock/>
                </v:shape>
                <o:OLEObject Type="Embed" ProgID="Equation.3" ShapeID="_x0000_i1026" DrawAspect="Content" ObjectID="_1468075726" r:id="rId22">
                  <o:LockedField>false</o:LockedField>
                </o:OLEObject>
              </w:object>
            </w:r>
          </w:p>
          <w:p w14:paraId="6AE6F7B0">
            <w:pPr>
              <w:spacing w:line="360" w:lineRule="auto"/>
              <w:ind w:right="20" w:firstLine="480" w:firstLineChars="200"/>
              <w:rPr>
                <w:color w:val="auto"/>
                <w:sz w:val="24"/>
                <w:szCs w:val="24"/>
                <w:highlight w:val="none"/>
              </w:rPr>
            </w:pPr>
            <w:r>
              <w:rPr>
                <w:color w:val="auto"/>
                <w:sz w:val="24"/>
                <w:szCs w:val="24"/>
                <w:highlight w:val="none"/>
              </w:rPr>
              <w:t>式中：L</w:t>
            </w:r>
            <w:r>
              <w:rPr>
                <w:color w:val="auto"/>
                <w:sz w:val="24"/>
                <w:szCs w:val="24"/>
                <w:highlight w:val="none"/>
                <w:vertAlign w:val="subscript"/>
              </w:rPr>
              <w:t>p2i</w:t>
            </w:r>
            <w:r>
              <w:rPr>
                <w:color w:val="auto"/>
                <w:sz w:val="24"/>
                <w:szCs w:val="24"/>
                <w:highlight w:val="none"/>
              </w:rPr>
              <w:t>（T）-靠近围护结构处室外N个声源i倍频带的叠加声压级，dB；</w:t>
            </w:r>
          </w:p>
          <w:p w14:paraId="1FFB2737">
            <w:pPr>
              <w:spacing w:line="360" w:lineRule="auto"/>
              <w:ind w:right="20" w:firstLine="1200" w:firstLineChars="500"/>
              <w:rPr>
                <w:color w:val="auto"/>
                <w:sz w:val="24"/>
                <w:szCs w:val="24"/>
                <w:highlight w:val="none"/>
              </w:rPr>
            </w:pPr>
            <w:r>
              <w:rPr>
                <w:color w:val="auto"/>
                <w:sz w:val="24"/>
                <w:szCs w:val="24"/>
                <w:highlight w:val="none"/>
              </w:rPr>
              <w:t>L</w:t>
            </w:r>
            <w:r>
              <w:rPr>
                <w:color w:val="auto"/>
                <w:sz w:val="24"/>
                <w:szCs w:val="24"/>
                <w:highlight w:val="none"/>
                <w:vertAlign w:val="subscript"/>
              </w:rPr>
              <w:t>p1i</w:t>
            </w:r>
            <w:r>
              <w:rPr>
                <w:color w:val="auto"/>
                <w:sz w:val="24"/>
                <w:szCs w:val="24"/>
                <w:highlight w:val="none"/>
              </w:rPr>
              <w:t>（T）-靠近围护结构处室内N个声源i倍频带的叠加声压级，dB；</w:t>
            </w:r>
          </w:p>
          <w:p w14:paraId="04EB2AE0">
            <w:pPr>
              <w:spacing w:line="360" w:lineRule="auto"/>
              <w:ind w:right="20" w:firstLine="1200" w:firstLineChars="500"/>
              <w:rPr>
                <w:color w:val="auto"/>
                <w:sz w:val="24"/>
                <w:szCs w:val="24"/>
                <w:highlight w:val="none"/>
              </w:rPr>
            </w:pPr>
            <w:r>
              <w:rPr>
                <w:color w:val="auto"/>
                <w:sz w:val="24"/>
                <w:szCs w:val="24"/>
                <w:highlight w:val="none"/>
              </w:rPr>
              <w:t>TL</w:t>
            </w:r>
            <w:r>
              <w:rPr>
                <w:color w:val="auto"/>
                <w:sz w:val="24"/>
                <w:szCs w:val="24"/>
                <w:highlight w:val="none"/>
                <w:vertAlign w:val="subscript"/>
              </w:rPr>
              <w:t>i</w:t>
            </w:r>
            <w:r>
              <w:rPr>
                <w:color w:val="auto"/>
                <w:sz w:val="24"/>
                <w:szCs w:val="24"/>
                <w:highlight w:val="none"/>
              </w:rPr>
              <w:t>-围护结构i倍频带的隔声量，dB。</w:t>
            </w:r>
          </w:p>
          <w:p w14:paraId="5926D711">
            <w:pPr>
              <w:spacing w:line="360" w:lineRule="auto"/>
              <w:ind w:right="20" w:firstLine="480" w:firstLineChars="200"/>
              <w:rPr>
                <w:color w:val="auto"/>
                <w:sz w:val="24"/>
                <w:szCs w:val="24"/>
                <w:highlight w:val="none"/>
              </w:rPr>
            </w:pPr>
            <w:r>
              <w:rPr>
                <w:rFonts w:hint="default" w:ascii="Times New Roman" w:hAnsi="Times New Roman" w:cs="Times New Roman"/>
                <w:color w:val="auto"/>
                <w:sz w:val="24"/>
                <w:szCs w:val="24"/>
                <w:highlight w:val="none"/>
              </w:rPr>
              <w:t>④</w:t>
            </w:r>
            <w:r>
              <w:rPr>
                <w:color w:val="auto"/>
                <w:sz w:val="24"/>
                <w:szCs w:val="24"/>
                <w:highlight w:val="none"/>
              </w:rPr>
              <w:t>将室外声源的声压级和透过面积换算成等效的室外声源，计算出中心位置位地透声面积（S）处的等效声源的倍频带声功率级。</w:t>
            </w:r>
          </w:p>
          <w:p w14:paraId="08200981">
            <w:pPr>
              <w:spacing w:line="360" w:lineRule="auto"/>
              <w:ind w:right="20"/>
              <w:jc w:val="center"/>
              <w:rPr>
                <w:color w:val="auto"/>
                <w:sz w:val="24"/>
                <w:szCs w:val="24"/>
                <w:highlight w:val="none"/>
              </w:rPr>
            </w:pPr>
            <w:r>
              <w:rPr>
                <w:color w:val="auto"/>
                <w:sz w:val="24"/>
                <w:szCs w:val="24"/>
                <w:highlight w:val="none"/>
              </w:rPr>
              <w:object>
                <v:shape id="_x0000_i1027" o:spt="75" type="#_x0000_t75" style="height:17.2pt;width:103.15pt;" o:ole="t" filled="f" o:preferrelative="t" stroked="f" coordsize="21600,21600">
                  <v:path/>
                  <v:fill on="f" focussize="0,0"/>
                  <v:stroke on="f" joinstyle="miter"/>
                  <v:imagedata r:id="rId25" o:title=""/>
                  <o:lock v:ext="edit" aspectratio="t"/>
                  <w10:wrap type="none"/>
                  <w10:anchorlock/>
                </v:shape>
                <o:OLEObject Type="Embed" ProgID="Equation.3" ShapeID="_x0000_i1027" DrawAspect="Content" ObjectID="_1468075727" r:id="rId24">
                  <o:LockedField>false</o:LockedField>
                </o:OLEObject>
              </w:object>
            </w:r>
          </w:p>
          <w:p w14:paraId="03B91D23">
            <w:pPr>
              <w:spacing w:line="360" w:lineRule="auto"/>
              <w:ind w:right="20" w:firstLine="480" w:firstLineChars="200"/>
              <w:rPr>
                <w:color w:val="auto"/>
                <w:sz w:val="24"/>
                <w:szCs w:val="24"/>
                <w:highlight w:val="none"/>
              </w:rPr>
            </w:pPr>
            <w:r>
              <w:rPr>
                <w:color w:val="auto"/>
                <w:sz w:val="24"/>
                <w:szCs w:val="24"/>
                <w:highlight w:val="none"/>
              </w:rPr>
              <w:t>式中：L</w:t>
            </w:r>
            <w:r>
              <w:rPr>
                <w:color w:val="auto"/>
                <w:sz w:val="24"/>
                <w:szCs w:val="24"/>
                <w:highlight w:val="none"/>
                <w:vertAlign w:val="subscript"/>
              </w:rPr>
              <w:t>w</w:t>
            </w:r>
            <w:r>
              <w:rPr>
                <w:color w:val="auto"/>
                <w:sz w:val="24"/>
                <w:szCs w:val="24"/>
                <w:highlight w:val="none"/>
              </w:rPr>
              <w:t>-中心位置位于透声面积（S）处的等效声源的倍频带声功率级，dB；</w:t>
            </w:r>
          </w:p>
          <w:p w14:paraId="7A67E85F">
            <w:pPr>
              <w:spacing w:line="360" w:lineRule="auto"/>
              <w:ind w:right="20" w:firstLine="1200" w:firstLineChars="500"/>
              <w:rPr>
                <w:color w:val="auto"/>
                <w:sz w:val="24"/>
                <w:szCs w:val="24"/>
                <w:highlight w:val="none"/>
              </w:rPr>
            </w:pPr>
            <w:r>
              <w:rPr>
                <w:color w:val="auto"/>
                <w:sz w:val="24"/>
                <w:szCs w:val="24"/>
                <w:highlight w:val="none"/>
              </w:rPr>
              <w:t>L</w:t>
            </w:r>
            <w:r>
              <w:rPr>
                <w:color w:val="auto"/>
                <w:sz w:val="24"/>
                <w:szCs w:val="24"/>
                <w:highlight w:val="none"/>
                <w:vertAlign w:val="subscript"/>
              </w:rPr>
              <w:t>p2</w:t>
            </w:r>
            <w:r>
              <w:rPr>
                <w:color w:val="auto"/>
                <w:sz w:val="24"/>
                <w:szCs w:val="24"/>
                <w:highlight w:val="none"/>
              </w:rPr>
              <w:t>(T)-靠近围护结构处室外声源的声压级，dB；</w:t>
            </w:r>
          </w:p>
          <w:p w14:paraId="1F89DC30">
            <w:pPr>
              <w:spacing w:line="360" w:lineRule="auto"/>
              <w:ind w:right="20" w:firstLine="1200" w:firstLineChars="500"/>
              <w:rPr>
                <w:color w:val="auto"/>
                <w:sz w:val="24"/>
                <w:szCs w:val="24"/>
                <w:highlight w:val="none"/>
              </w:rPr>
            </w:pPr>
            <w:r>
              <w:rPr>
                <w:color w:val="auto"/>
                <w:sz w:val="24"/>
                <w:szCs w:val="24"/>
                <w:highlight w:val="none"/>
              </w:rPr>
              <w:t>S-透声面积，m²。</w:t>
            </w:r>
          </w:p>
          <w:p w14:paraId="78261323">
            <w:pPr>
              <w:spacing w:line="360" w:lineRule="auto"/>
              <w:ind w:right="20" w:firstLine="480" w:firstLineChars="200"/>
              <w:rPr>
                <w:color w:val="auto"/>
                <w:sz w:val="24"/>
                <w:szCs w:val="24"/>
                <w:highlight w:val="none"/>
              </w:rPr>
            </w:pPr>
            <w:r>
              <w:rPr>
                <w:rFonts w:hint="default" w:ascii="Times New Roman" w:hAnsi="Times New Roman" w:cs="Times New Roman"/>
                <w:color w:val="auto"/>
                <w:sz w:val="24"/>
                <w:szCs w:val="24"/>
                <w:highlight w:val="none"/>
              </w:rPr>
              <w:t>⑤</w:t>
            </w:r>
            <w:r>
              <w:rPr>
                <w:color w:val="auto"/>
                <w:sz w:val="24"/>
                <w:szCs w:val="24"/>
                <w:highlight w:val="none"/>
              </w:rPr>
              <w:t>按室外声源预测方法计算预测点处的A声级。</w:t>
            </w:r>
          </w:p>
          <w:p w14:paraId="1F266B51">
            <w:pPr>
              <w:spacing w:line="360" w:lineRule="auto"/>
              <w:ind w:right="20" w:firstLine="480" w:firstLineChars="200"/>
              <w:rPr>
                <w:color w:val="auto"/>
                <w:sz w:val="24"/>
                <w:szCs w:val="24"/>
                <w:highlight w:val="none"/>
              </w:rPr>
            </w:pPr>
            <w:r>
              <w:rPr>
                <w:color w:val="auto"/>
                <w:sz w:val="24"/>
                <w:szCs w:val="24"/>
                <w:highlight w:val="none"/>
              </w:rPr>
              <w:t>设第i个室外声源在预测点产生的A声级为L</w:t>
            </w:r>
            <w:r>
              <w:rPr>
                <w:color w:val="auto"/>
                <w:sz w:val="24"/>
                <w:szCs w:val="24"/>
                <w:highlight w:val="none"/>
                <w:vertAlign w:val="subscript"/>
              </w:rPr>
              <w:t>Ai</w:t>
            </w:r>
            <w:r>
              <w:rPr>
                <w:color w:val="auto"/>
                <w:sz w:val="24"/>
                <w:szCs w:val="24"/>
                <w:highlight w:val="none"/>
              </w:rPr>
              <w:t>，在T时间内该声源工作时间为ti；第j个等效室外声源在预测点产生的A声级为L</w:t>
            </w:r>
            <w:r>
              <w:rPr>
                <w:color w:val="auto"/>
                <w:sz w:val="24"/>
                <w:szCs w:val="24"/>
                <w:highlight w:val="none"/>
                <w:vertAlign w:val="subscript"/>
              </w:rPr>
              <w:t>Aj</w:t>
            </w:r>
            <w:r>
              <w:rPr>
                <w:color w:val="auto"/>
                <w:sz w:val="24"/>
                <w:szCs w:val="24"/>
                <w:highlight w:val="none"/>
              </w:rPr>
              <w:t>，在T时间内该声源工作时间为t</w:t>
            </w:r>
            <w:r>
              <w:rPr>
                <w:color w:val="auto"/>
                <w:sz w:val="24"/>
                <w:szCs w:val="24"/>
                <w:highlight w:val="none"/>
                <w:vertAlign w:val="subscript"/>
              </w:rPr>
              <w:t>j</w:t>
            </w:r>
            <w:r>
              <w:rPr>
                <w:color w:val="auto"/>
                <w:sz w:val="24"/>
                <w:szCs w:val="24"/>
                <w:highlight w:val="none"/>
              </w:rPr>
              <w:t>，则拟建工程声源对预测点产生的贡献值（L</w:t>
            </w:r>
            <w:r>
              <w:rPr>
                <w:color w:val="auto"/>
                <w:sz w:val="24"/>
                <w:szCs w:val="24"/>
                <w:highlight w:val="none"/>
                <w:vertAlign w:val="subscript"/>
              </w:rPr>
              <w:t>eqg</w:t>
            </w:r>
            <w:r>
              <w:rPr>
                <w:color w:val="auto"/>
                <w:sz w:val="24"/>
                <w:szCs w:val="24"/>
                <w:highlight w:val="none"/>
              </w:rPr>
              <w:t>）为：</w:t>
            </w:r>
          </w:p>
          <w:p w14:paraId="4240A660">
            <w:pPr>
              <w:tabs>
                <w:tab w:val="left" w:pos="1930"/>
              </w:tabs>
              <w:spacing w:line="360" w:lineRule="auto"/>
              <w:ind w:right="20" w:firstLine="1920" w:firstLineChars="800"/>
              <w:rPr>
                <w:color w:val="auto"/>
                <w:sz w:val="24"/>
                <w:szCs w:val="24"/>
                <w:highlight w:val="none"/>
              </w:rPr>
            </w:pPr>
            <w:r>
              <w:rPr>
                <w:color w:val="auto"/>
                <w:sz w:val="24"/>
                <w:szCs w:val="24"/>
                <w:highlight w:val="none"/>
              </w:rPr>
              <w:object>
                <v:shape id="_x0000_i1028" o:spt="75" type="#_x0000_t75" style="height:38.7pt;width:196.1pt;" o:ole="t" filled="f" o:preferrelative="t" stroked="f" coordsize="21600,21600">
                  <v:path/>
                  <v:fill on="f" focussize="0,0"/>
                  <v:stroke on="f" joinstyle="miter"/>
                  <v:imagedata r:id="rId26" o:title=""/>
                  <o:lock v:ext="edit" aspectratio="t"/>
                  <w10:wrap type="none"/>
                  <w10:anchorlock/>
                </v:shape>
                <o:OLEObject Type="Embed" ProgID="Visio.Drawing.11" ShapeID="_x0000_i1028" DrawAspect="Content" ObjectID="_1468075728">
                  <o:LockedField>false</o:LockedField>
                </o:OLEObject>
              </w:object>
            </w:r>
          </w:p>
          <w:p w14:paraId="7A31D35A">
            <w:pPr>
              <w:spacing w:line="360" w:lineRule="auto"/>
              <w:ind w:right="20" w:firstLine="480" w:firstLineChars="200"/>
              <w:rPr>
                <w:color w:val="auto"/>
                <w:sz w:val="24"/>
                <w:szCs w:val="24"/>
                <w:highlight w:val="none"/>
              </w:rPr>
            </w:pPr>
            <w:r>
              <w:rPr>
                <w:color w:val="auto"/>
                <w:sz w:val="24"/>
                <w:szCs w:val="24"/>
                <w:highlight w:val="none"/>
              </w:rPr>
              <w:t>式中：L</w:t>
            </w:r>
            <w:r>
              <w:rPr>
                <w:color w:val="auto"/>
                <w:sz w:val="24"/>
                <w:szCs w:val="24"/>
                <w:highlight w:val="none"/>
                <w:vertAlign w:val="subscript"/>
              </w:rPr>
              <w:t>eqg</w:t>
            </w:r>
            <w:r>
              <w:rPr>
                <w:color w:val="auto"/>
                <w:sz w:val="24"/>
                <w:szCs w:val="24"/>
                <w:highlight w:val="none"/>
              </w:rPr>
              <w:t>-建设项目声源在预测点产生的噪声贡献值，dB；</w:t>
            </w:r>
          </w:p>
          <w:p w14:paraId="05DEF53F">
            <w:pPr>
              <w:spacing w:line="360" w:lineRule="auto"/>
              <w:ind w:right="20" w:firstLine="1200" w:firstLineChars="500"/>
              <w:rPr>
                <w:color w:val="auto"/>
                <w:sz w:val="24"/>
                <w:szCs w:val="24"/>
                <w:highlight w:val="none"/>
              </w:rPr>
            </w:pPr>
            <w:r>
              <w:rPr>
                <w:color w:val="auto"/>
                <w:sz w:val="24"/>
                <w:szCs w:val="24"/>
                <w:highlight w:val="none"/>
              </w:rPr>
              <w:t>T-用于计算等效声级的时间，s；</w:t>
            </w:r>
          </w:p>
          <w:p w14:paraId="349DBB56">
            <w:pPr>
              <w:spacing w:line="360" w:lineRule="auto"/>
              <w:ind w:right="20" w:firstLine="1200" w:firstLineChars="500"/>
              <w:rPr>
                <w:color w:val="auto"/>
                <w:sz w:val="24"/>
                <w:szCs w:val="24"/>
                <w:highlight w:val="none"/>
              </w:rPr>
            </w:pPr>
            <w:r>
              <w:rPr>
                <w:color w:val="auto"/>
                <w:sz w:val="24"/>
                <w:szCs w:val="24"/>
                <w:highlight w:val="none"/>
              </w:rPr>
              <w:t>N-室外声源个数；</w:t>
            </w:r>
          </w:p>
          <w:p w14:paraId="1259C3A2">
            <w:pPr>
              <w:spacing w:line="360" w:lineRule="auto"/>
              <w:ind w:right="20" w:firstLine="1200" w:firstLineChars="500"/>
              <w:rPr>
                <w:color w:val="auto"/>
                <w:sz w:val="24"/>
                <w:szCs w:val="24"/>
                <w:highlight w:val="none"/>
              </w:rPr>
            </w:pPr>
            <w:r>
              <w:rPr>
                <w:color w:val="auto"/>
                <w:sz w:val="24"/>
                <w:szCs w:val="24"/>
                <w:highlight w:val="none"/>
              </w:rPr>
              <w:t>t-在T时间内i声源工作时间，s；</w:t>
            </w:r>
          </w:p>
          <w:p w14:paraId="53370AF9">
            <w:pPr>
              <w:spacing w:line="360" w:lineRule="auto"/>
              <w:ind w:right="20" w:firstLine="1200" w:firstLineChars="500"/>
              <w:rPr>
                <w:color w:val="auto"/>
                <w:sz w:val="24"/>
                <w:szCs w:val="24"/>
                <w:highlight w:val="none"/>
              </w:rPr>
            </w:pPr>
            <w:r>
              <w:rPr>
                <w:color w:val="auto"/>
                <w:sz w:val="24"/>
                <w:szCs w:val="24"/>
                <w:highlight w:val="none"/>
              </w:rPr>
              <w:t>M-等效室外声源个数；</w:t>
            </w:r>
          </w:p>
          <w:p w14:paraId="1AF7D8A3">
            <w:pPr>
              <w:spacing w:line="360" w:lineRule="auto"/>
              <w:ind w:right="20" w:firstLine="1200" w:firstLineChars="500"/>
              <w:rPr>
                <w:color w:val="auto"/>
                <w:sz w:val="24"/>
                <w:szCs w:val="24"/>
                <w:highlight w:val="none"/>
              </w:rPr>
            </w:pPr>
            <w:r>
              <w:rPr>
                <w:color w:val="auto"/>
                <w:sz w:val="24"/>
                <w:szCs w:val="24"/>
                <w:highlight w:val="none"/>
              </w:rPr>
              <w:t>T</w:t>
            </w:r>
            <w:r>
              <w:rPr>
                <w:color w:val="auto"/>
                <w:sz w:val="24"/>
                <w:szCs w:val="24"/>
                <w:highlight w:val="none"/>
                <w:vertAlign w:val="subscript"/>
              </w:rPr>
              <w:t>j</w:t>
            </w:r>
            <w:r>
              <w:rPr>
                <w:color w:val="auto"/>
                <w:sz w:val="24"/>
                <w:szCs w:val="24"/>
                <w:highlight w:val="none"/>
              </w:rPr>
              <w:t>-在T时间内j声源工作时间，s。</w:t>
            </w:r>
          </w:p>
          <w:p w14:paraId="493FE3B7">
            <w:pPr>
              <w:spacing w:line="360" w:lineRule="auto"/>
              <w:ind w:right="20" w:firstLine="480" w:firstLineChars="200"/>
              <w:rPr>
                <w:color w:val="auto"/>
                <w:sz w:val="24"/>
                <w:szCs w:val="24"/>
                <w:highlight w:val="none"/>
              </w:rPr>
            </w:pPr>
            <w:r>
              <w:rPr>
                <w:rFonts w:hint="default" w:ascii="Times New Roman" w:hAnsi="Times New Roman" w:cs="Times New Roman"/>
                <w:color w:val="auto"/>
                <w:sz w:val="24"/>
                <w:szCs w:val="24"/>
                <w:highlight w:val="none"/>
              </w:rPr>
              <w:t>⑥</w:t>
            </w:r>
            <w:r>
              <w:rPr>
                <w:color w:val="auto"/>
                <w:sz w:val="24"/>
                <w:szCs w:val="24"/>
                <w:highlight w:val="none"/>
              </w:rPr>
              <w:t>预测点的预测等效声级（Leq）计算：</w:t>
            </w:r>
          </w:p>
          <w:p w14:paraId="785E5406">
            <w:pPr>
              <w:tabs>
                <w:tab w:val="left" w:pos="1828"/>
              </w:tabs>
              <w:spacing w:line="360" w:lineRule="auto"/>
              <w:ind w:right="20" w:firstLine="1920" w:firstLineChars="800"/>
              <w:rPr>
                <w:color w:val="auto"/>
                <w:sz w:val="24"/>
                <w:szCs w:val="24"/>
                <w:highlight w:val="none"/>
              </w:rPr>
            </w:pPr>
            <w:r>
              <w:rPr>
                <w:color w:val="auto"/>
                <w:sz w:val="24"/>
                <w:szCs w:val="24"/>
                <w:highlight w:val="none"/>
              </w:rPr>
              <w:drawing>
                <wp:inline distT="0" distB="0" distL="114300" distR="114300">
                  <wp:extent cx="2519680" cy="276225"/>
                  <wp:effectExtent l="0" t="0" r="10160" b="13335"/>
                  <wp:docPr id="1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5"/>
                          <pic:cNvPicPr>
                            <a:picLocks noChangeAspect="1"/>
                          </pic:cNvPicPr>
                        </pic:nvPicPr>
                        <pic:blipFill>
                          <a:blip r:embed="rId27"/>
                          <a:stretch>
                            <a:fillRect/>
                          </a:stretch>
                        </pic:blipFill>
                        <pic:spPr>
                          <a:xfrm>
                            <a:off x="0" y="0"/>
                            <a:ext cx="2519680" cy="276225"/>
                          </a:xfrm>
                          <a:prstGeom prst="rect">
                            <a:avLst/>
                          </a:prstGeom>
                          <a:noFill/>
                          <a:ln>
                            <a:noFill/>
                          </a:ln>
                        </pic:spPr>
                      </pic:pic>
                    </a:graphicData>
                  </a:graphic>
                </wp:inline>
              </w:drawing>
            </w:r>
          </w:p>
          <w:p w14:paraId="3A994BF4">
            <w:pPr>
              <w:spacing w:line="360" w:lineRule="auto"/>
              <w:ind w:right="20" w:firstLine="480" w:firstLineChars="200"/>
              <w:rPr>
                <w:color w:val="auto"/>
                <w:sz w:val="24"/>
                <w:szCs w:val="24"/>
                <w:highlight w:val="none"/>
              </w:rPr>
            </w:pPr>
            <w:r>
              <w:rPr>
                <w:color w:val="auto"/>
                <w:sz w:val="24"/>
                <w:szCs w:val="24"/>
                <w:highlight w:val="none"/>
              </w:rPr>
              <w:t>式中：Leq（A）贡-建设项目声源在预测点的等效声级贡献量，dB（A）；</w:t>
            </w:r>
          </w:p>
          <w:p w14:paraId="68FAE400">
            <w:pPr>
              <w:spacing w:line="360" w:lineRule="auto"/>
              <w:ind w:right="20" w:firstLine="1200" w:firstLineChars="500"/>
              <w:rPr>
                <w:color w:val="auto"/>
                <w:sz w:val="24"/>
                <w:szCs w:val="24"/>
                <w:highlight w:val="none"/>
              </w:rPr>
            </w:pPr>
            <w:r>
              <w:rPr>
                <w:color w:val="auto"/>
                <w:sz w:val="24"/>
                <w:szCs w:val="24"/>
                <w:highlight w:val="none"/>
              </w:rPr>
              <w:t>Leq（A）现-预测点背景值，dB（A）。</w:t>
            </w:r>
          </w:p>
          <w:p w14:paraId="570ECE63">
            <w:pPr>
              <w:spacing w:line="360" w:lineRule="auto"/>
              <w:ind w:right="20" w:firstLine="482" w:firstLineChars="200"/>
              <w:rPr>
                <w:b/>
                <w:color w:val="auto"/>
                <w:sz w:val="24"/>
                <w:szCs w:val="24"/>
                <w:highlight w:val="none"/>
              </w:rPr>
            </w:pPr>
            <w:r>
              <w:rPr>
                <w:b/>
                <w:color w:val="auto"/>
                <w:sz w:val="24"/>
                <w:szCs w:val="24"/>
                <w:highlight w:val="none"/>
              </w:rPr>
              <w:t>室外声源预测模型：</w:t>
            </w:r>
          </w:p>
          <w:p w14:paraId="6260EC88">
            <w:pPr>
              <w:spacing w:line="360" w:lineRule="auto"/>
              <w:ind w:right="20" w:firstLine="480" w:firstLineChars="200"/>
              <w:rPr>
                <w:color w:val="auto"/>
                <w:sz w:val="24"/>
                <w:szCs w:val="24"/>
                <w:highlight w:val="none"/>
              </w:rPr>
            </w:pPr>
            <w:r>
              <w:rPr>
                <w:color w:val="auto"/>
                <w:sz w:val="24"/>
                <w:szCs w:val="24"/>
                <w:highlight w:val="none"/>
              </w:rPr>
              <w:t>为了定量描述室外噪声对外环境的影响，本环评采用点声源几何发散模式进行预测，预测模式如下：</w:t>
            </w:r>
          </w:p>
          <w:p w14:paraId="70B7FE83">
            <w:pPr>
              <w:spacing w:line="360" w:lineRule="auto"/>
              <w:ind w:right="20" w:firstLine="1920" w:firstLineChars="800"/>
              <w:rPr>
                <w:color w:val="auto"/>
                <w:sz w:val="24"/>
                <w:szCs w:val="24"/>
                <w:highlight w:val="none"/>
              </w:rPr>
            </w:pPr>
            <w:r>
              <w:rPr>
                <w:color w:val="auto"/>
                <w:sz w:val="24"/>
                <w:szCs w:val="24"/>
                <w:highlight w:val="none"/>
              </w:rPr>
              <w:object>
                <v:shape id="_x0000_i1029" o:spt="75" type="#_x0000_t75" style="height:32.8pt;width:126.8pt;" o:ole="t" filled="f" o:preferrelative="t" stroked="f" coordsize="21600,21600">
                  <v:path/>
                  <v:fill on="f" focussize="0,0"/>
                  <v:stroke on="f" joinstyle="miter"/>
                  <v:imagedata r:id="rId29" o:title=""/>
                  <o:lock v:ext="edit" aspectratio="t"/>
                  <w10:wrap type="none"/>
                  <w10:anchorlock/>
                </v:shape>
                <o:OLEObject Type="Embed" ProgID="Equation.3" ShapeID="_x0000_i1029" DrawAspect="Content" ObjectID="_1468075729" r:id="rId28">
                  <o:LockedField>false</o:LockedField>
                </o:OLEObject>
              </w:object>
            </w:r>
          </w:p>
          <w:p w14:paraId="7D18123C">
            <w:pPr>
              <w:spacing w:line="360" w:lineRule="auto"/>
              <w:ind w:right="20" w:firstLine="480" w:firstLineChars="200"/>
              <w:rPr>
                <w:color w:val="auto"/>
                <w:sz w:val="24"/>
                <w:szCs w:val="24"/>
                <w:highlight w:val="none"/>
              </w:rPr>
            </w:pPr>
            <w:r>
              <w:rPr>
                <w:color w:val="auto"/>
                <w:sz w:val="24"/>
                <w:szCs w:val="24"/>
                <w:highlight w:val="none"/>
              </w:rPr>
              <w:t>式中：L</w:t>
            </w:r>
            <w:r>
              <w:rPr>
                <w:color w:val="auto"/>
                <w:sz w:val="24"/>
                <w:szCs w:val="24"/>
                <w:highlight w:val="none"/>
                <w:vertAlign w:val="subscript"/>
              </w:rPr>
              <w:t>oct（r）</w:t>
            </w:r>
            <w:r>
              <w:rPr>
                <w:color w:val="auto"/>
                <w:sz w:val="24"/>
                <w:szCs w:val="24"/>
                <w:highlight w:val="none"/>
              </w:rPr>
              <w:t>-点声源在预测点产生的倍频带声压级；</w:t>
            </w:r>
          </w:p>
          <w:p w14:paraId="7A447D29">
            <w:pPr>
              <w:spacing w:line="360" w:lineRule="auto"/>
              <w:ind w:right="20" w:firstLine="1200" w:firstLineChars="500"/>
              <w:rPr>
                <w:color w:val="auto"/>
                <w:sz w:val="24"/>
                <w:szCs w:val="24"/>
                <w:highlight w:val="none"/>
              </w:rPr>
            </w:pPr>
            <w:r>
              <w:rPr>
                <w:color w:val="auto"/>
                <w:sz w:val="24"/>
                <w:szCs w:val="24"/>
                <w:highlight w:val="none"/>
              </w:rPr>
              <w:t>L</w:t>
            </w:r>
            <w:r>
              <w:rPr>
                <w:color w:val="auto"/>
                <w:sz w:val="24"/>
                <w:szCs w:val="24"/>
                <w:highlight w:val="none"/>
                <w:vertAlign w:val="subscript"/>
              </w:rPr>
              <w:t>oct（r0）</w:t>
            </w:r>
            <w:r>
              <w:rPr>
                <w:color w:val="auto"/>
                <w:sz w:val="24"/>
                <w:szCs w:val="24"/>
                <w:highlight w:val="none"/>
              </w:rPr>
              <w:t>-参考位置r</w:t>
            </w:r>
            <w:r>
              <w:rPr>
                <w:color w:val="auto"/>
                <w:sz w:val="24"/>
                <w:szCs w:val="24"/>
                <w:highlight w:val="none"/>
                <w:vertAlign w:val="subscript"/>
              </w:rPr>
              <w:t>0</w:t>
            </w:r>
            <w:r>
              <w:rPr>
                <w:color w:val="auto"/>
                <w:sz w:val="24"/>
                <w:szCs w:val="24"/>
                <w:highlight w:val="none"/>
              </w:rPr>
              <w:t>处的倍频带声压级；</w:t>
            </w:r>
          </w:p>
          <w:p w14:paraId="427A892F">
            <w:pPr>
              <w:spacing w:line="360" w:lineRule="auto"/>
              <w:ind w:right="20" w:firstLine="1200" w:firstLineChars="500"/>
              <w:rPr>
                <w:color w:val="auto"/>
                <w:sz w:val="24"/>
                <w:szCs w:val="24"/>
                <w:highlight w:val="none"/>
              </w:rPr>
            </w:pPr>
            <w:r>
              <w:rPr>
                <w:color w:val="auto"/>
                <w:sz w:val="24"/>
                <w:szCs w:val="24"/>
                <w:highlight w:val="none"/>
              </w:rPr>
              <w:t>r-预测点距声源的距离，m；</w:t>
            </w:r>
          </w:p>
          <w:p w14:paraId="1466CCB8">
            <w:pPr>
              <w:spacing w:line="360" w:lineRule="auto"/>
              <w:ind w:right="20" w:firstLine="1200" w:firstLineChars="500"/>
              <w:rPr>
                <w:color w:val="auto"/>
                <w:sz w:val="24"/>
                <w:szCs w:val="24"/>
                <w:highlight w:val="none"/>
              </w:rPr>
            </w:pPr>
            <w:r>
              <w:rPr>
                <w:color w:val="auto"/>
                <w:sz w:val="24"/>
                <w:szCs w:val="24"/>
                <w:highlight w:val="none"/>
              </w:rPr>
              <w:t>r</w:t>
            </w:r>
            <w:r>
              <w:rPr>
                <w:color w:val="auto"/>
                <w:sz w:val="24"/>
                <w:szCs w:val="24"/>
                <w:highlight w:val="none"/>
                <w:vertAlign w:val="subscript"/>
              </w:rPr>
              <w:t>0</w:t>
            </w:r>
            <w:r>
              <w:rPr>
                <w:color w:val="auto"/>
                <w:sz w:val="24"/>
                <w:szCs w:val="24"/>
                <w:highlight w:val="none"/>
              </w:rPr>
              <w:t>-参考位置距声源的距离，m；r</w:t>
            </w:r>
            <w:r>
              <w:rPr>
                <w:color w:val="auto"/>
                <w:sz w:val="24"/>
                <w:szCs w:val="24"/>
                <w:highlight w:val="none"/>
                <w:vertAlign w:val="subscript"/>
              </w:rPr>
              <w:t>0</w:t>
            </w:r>
            <w:r>
              <w:rPr>
                <w:color w:val="auto"/>
                <w:sz w:val="24"/>
                <w:szCs w:val="24"/>
                <w:highlight w:val="none"/>
              </w:rPr>
              <w:t>=1。</w:t>
            </w:r>
          </w:p>
          <w:p w14:paraId="7081CB5B">
            <w:pPr>
              <w:spacing w:line="360" w:lineRule="auto"/>
              <w:ind w:right="20" w:firstLine="482" w:firstLineChars="200"/>
              <w:rPr>
                <w:color w:val="auto"/>
                <w:sz w:val="24"/>
                <w:szCs w:val="24"/>
                <w:highlight w:val="none"/>
              </w:rPr>
            </w:pPr>
            <w:r>
              <w:rPr>
                <w:b/>
                <w:bCs/>
                <w:color w:val="auto"/>
                <w:sz w:val="24"/>
                <w:szCs w:val="24"/>
                <w:highlight w:val="none"/>
              </w:rPr>
              <w:t>预测内容：</w:t>
            </w:r>
          </w:p>
          <w:p w14:paraId="16442C85">
            <w:pPr>
              <w:spacing w:line="360" w:lineRule="auto"/>
              <w:ind w:right="20" w:firstLine="480" w:firstLineChars="200"/>
              <w:rPr>
                <w:color w:val="auto"/>
                <w:sz w:val="24"/>
                <w:szCs w:val="24"/>
                <w:highlight w:val="none"/>
              </w:rPr>
            </w:pPr>
            <w:r>
              <w:rPr>
                <w:color w:val="auto"/>
                <w:sz w:val="24"/>
                <w:szCs w:val="24"/>
                <w:highlight w:val="none"/>
              </w:rPr>
              <w:t>按《环境影响评价技术导则</w:t>
            </w:r>
            <w:r>
              <w:rPr>
                <w:rFonts w:hint="eastAsia"/>
                <w:color w:val="auto"/>
                <w:sz w:val="24"/>
                <w:szCs w:val="24"/>
                <w:highlight w:val="none"/>
                <w:lang w:val="en-US" w:eastAsia="zh-CN"/>
              </w:rPr>
              <w:t xml:space="preserve"> </w:t>
            </w:r>
            <w:r>
              <w:rPr>
                <w:color w:val="auto"/>
                <w:sz w:val="24"/>
                <w:szCs w:val="24"/>
                <w:highlight w:val="none"/>
              </w:rPr>
              <w:t>声环境》（HJ2.4-2021）要求，须预测运营期所有声环境保护目标处的噪声贡献值和预测值，评价其超标和达标情况，并对其厂界（场界、边界）噪声贡献值，评价其超标和达标情况。</w:t>
            </w:r>
          </w:p>
          <w:p w14:paraId="3F8C3A23">
            <w:pPr>
              <w:spacing w:line="360" w:lineRule="auto"/>
              <w:ind w:right="20" w:firstLine="480" w:firstLineChars="200"/>
              <w:rPr>
                <w:color w:val="auto"/>
                <w:sz w:val="24"/>
                <w:szCs w:val="24"/>
                <w:highlight w:val="none"/>
              </w:rPr>
            </w:pPr>
            <w:r>
              <w:rPr>
                <w:color w:val="auto"/>
                <w:sz w:val="24"/>
                <w:szCs w:val="24"/>
                <w:highlight w:val="none"/>
              </w:rPr>
              <w:t>根据现场调查，本项目50m范围内无居民、学校、医院等环境敏感点，本次评价预测项目运营期厂界噪声超标和达标情况。</w:t>
            </w:r>
          </w:p>
          <w:p w14:paraId="06C3F67E">
            <w:pPr>
              <w:spacing w:line="360" w:lineRule="auto"/>
              <w:ind w:right="20" w:firstLine="482" w:firstLineChars="200"/>
              <w:rPr>
                <w:rFonts w:hint="default" w:eastAsia="宋体"/>
                <w:b/>
                <w:bCs/>
                <w:color w:val="auto"/>
                <w:sz w:val="24"/>
                <w:szCs w:val="24"/>
                <w:highlight w:val="none"/>
                <w:lang w:eastAsia="zh-CN"/>
              </w:rPr>
            </w:pPr>
            <w:r>
              <w:rPr>
                <w:b/>
                <w:bCs/>
                <w:color w:val="auto"/>
                <w:sz w:val="24"/>
                <w:szCs w:val="24"/>
                <w:highlight w:val="none"/>
              </w:rPr>
              <w:t>预测结果</w:t>
            </w:r>
            <w:r>
              <w:rPr>
                <w:rFonts w:hint="default"/>
                <w:b/>
                <w:bCs/>
                <w:color w:val="auto"/>
                <w:sz w:val="24"/>
                <w:szCs w:val="24"/>
                <w:highlight w:val="none"/>
                <w:lang w:eastAsia="zh-CN"/>
              </w:rPr>
              <w:t>：</w:t>
            </w:r>
          </w:p>
          <w:p w14:paraId="2D7930E9">
            <w:pPr>
              <w:spacing w:line="360" w:lineRule="auto"/>
              <w:ind w:right="20" w:firstLine="480" w:firstLineChars="200"/>
              <w:rPr>
                <w:color w:val="auto"/>
                <w:sz w:val="24"/>
                <w:szCs w:val="24"/>
                <w:highlight w:val="none"/>
              </w:rPr>
            </w:pPr>
            <w:r>
              <w:rPr>
                <w:color w:val="auto"/>
                <w:sz w:val="24"/>
                <w:szCs w:val="24"/>
                <w:highlight w:val="none"/>
              </w:rPr>
              <w:t>厂界噪声预测结果见下表：</w:t>
            </w:r>
          </w:p>
          <w:p w14:paraId="06B08FDE">
            <w:pPr>
              <w:adjustRightInd w:val="0"/>
              <w:snapToGrid w:val="0"/>
              <w:spacing w:line="440" w:lineRule="exact"/>
              <w:ind w:left="0" w:leftChars="0" w:firstLine="0" w:firstLineChars="0"/>
              <w:jc w:val="center"/>
              <w:rPr>
                <w:b/>
                <w:bCs/>
                <w:color w:val="auto"/>
                <w:spacing w:val="-2"/>
                <w:highlight w:val="none"/>
              </w:rPr>
            </w:pPr>
            <w:r>
              <w:rPr>
                <w:b/>
                <w:bCs/>
                <w:color w:val="auto"/>
                <w:spacing w:val="-2"/>
                <w:highlight w:val="none"/>
              </w:rPr>
              <w:t>表4</w:t>
            </w:r>
            <w:r>
              <w:rPr>
                <w:rFonts w:hint="default"/>
                <w:b/>
                <w:bCs/>
                <w:color w:val="auto"/>
                <w:spacing w:val="-2"/>
                <w:highlight w:val="none"/>
                <w:lang w:val="en-US" w:eastAsia="zh-CN"/>
              </w:rPr>
              <w:t>-1</w:t>
            </w:r>
            <w:r>
              <w:rPr>
                <w:rFonts w:hint="eastAsia"/>
                <w:b/>
                <w:bCs/>
                <w:color w:val="auto"/>
                <w:spacing w:val="-2"/>
                <w:highlight w:val="none"/>
                <w:lang w:val="en-US" w:eastAsia="zh-CN"/>
              </w:rPr>
              <w:t>2</w:t>
            </w:r>
            <w:r>
              <w:rPr>
                <w:b/>
                <w:bCs/>
                <w:color w:val="auto"/>
                <w:spacing w:val="-2"/>
                <w:highlight w:val="none"/>
              </w:rPr>
              <w:t>厂界噪声预测结果单位：dB（A）</w:t>
            </w:r>
          </w:p>
          <w:tbl>
            <w:tblPr>
              <w:tblStyle w:val="118"/>
              <w:tblW w:w="4998" w:type="pct"/>
              <w:tblInd w:w="0"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0" w:type="dxa"/>
                <w:bottom w:w="0" w:type="dxa"/>
                <w:right w:w="0" w:type="dxa"/>
              </w:tblCellMar>
            </w:tblPr>
            <w:tblGrid>
              <w:gridCol w:w="1591"/>
              <w:gridCol w:w="806"/>
              <w:gridCol w:w="806"/>
              <w:gridCol w:w="1463"/>
              <w:gridCol w:w="1463"/>
              <w:gridCol w:w="1463"/>
              <w:gridCol w:w="1479"/>
            </w:tblGrid>
            <w:tr w14:paraId="4A2FD60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877" w:type="pct"/>
                  <w:vMerge w:val="restart"/>
                  <w:tcBorders>
                    <w:bottom w:val="nil"/>
                  </w:tcBorders>
                  <w:vAlign w:val="center"/>
                </w:tcPr>
                <w:p w14:paraId="26292339">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b/>
                      <w:bCs/>
                      <w:color w:val="auto"/>
                      <w:spacing w:val="3"/>
                      <w:sz w:val="20"/>
                      <w:szCs w:val="20"/>
                      <w:highlight w:val="none"/>
                    </w:rPr>
                    <w:t>位置</w:t>
                  </w:r>
                </w:p>
              </w:tc>
              <w:tc>
                <w:tcPr>
                  <w:tcW w:w="888" w:type="pct"/>
                  <w:gridSpan w:val="2"/>
                  <w:vAlign w:val="center"/>
                </w:tcPr>
                <w:p w14:paraId="69009474">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b/>
                      <w:bCs/>
                      <w:color w:val="auto"/>
                      <w:spacing w:val="4"/>
                      <w:sz w:val="20"/>
                      <w:szCs w:val="20"/>
                      <w:highlight w:val="none"/>
                    </w:rPr>
                    <w:t>预测值</w:t>
                  </w:r>
                </w:p>
              </w:tc>
              <w:tc>
                <w:tcPr>
                  <w:tcW w:w="1612" w:type="pct"/>
                  <w:gridSpan w:val="2"/>
                  <w:vAlign w:val="center"/>
                </w:tcPr>
                <w:p w14:paraId="6030BCD5">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b/>
                      <w:bCs/>
                      <w:color w:val="auto"/>
                      <w:spacing w:val="4"/>
                      <w:sz w:val="20"/>
                      <w:szCs w:val="20"/>
                      <w:highlight w:val="none"/>
                    </w:rPr>
                    <w:t>昼间</w:t>
                  </w:r>
                </w:p>
              </w:tc>
              <w:tc>
                <w:tcPr>
                  <w:tcW w:w="1621" w:type="pct"/>
                  <w:gridSpan w:val="2"/>
                  <w:vAlign w:val="center"/>
                </w:tcPr>
                <w:p w14:paraId="42349523">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b/>
                      <w:bCs/>
                      <w:color w:val="auto"/>
                      <w:spacing w:val="2"/>
                      <w:sz w:val="20"/>
                      <w:szCs w:val="20"/>
                      <w:highlight w:val="none"/>
                    </w:rPr>
                    <w:t>夜间</w:t>
                  </w:r>
                </w:p>
              </w:tc>
            </w:tr>
            <w:tr w14:paraId="246D843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877" w:type="pct"/>
                  <w:vMerge w:val="continue"/>
                  <w:tcBorders>
                    <w:top w:val="nil"/>
                  </w:tcBorders>
                  <w:vAlign w:val="center"/>
                </w:tcPr>
                <w:p w14:paraId="70E25F52">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p>
              </w:tc>
              <w:tc>
                <w:tcPr>
                  <w:tcW w:w="444" w:type="pct"/>
                  <w:vAlign w:val="center"/>
                </w:tcPr>
                <w:p w14:paraId="41D3B36A">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b/>
                      <w:bCs/>
                      <w:color w:val="auto"/>
                      <w:spacing w:val="4"/>
                      <w:sz w:val="20"/>
                      <w:szCs w:val="20"/>
                      <w:highlight w:val="none"/>
                    </w:rPr>
                    <w:t>昼间</w:t>
                  </w:r>
                </w:p>
              </w:tc>
              <w:tc>
                <w:tcPr>
                  <w:tcW w:w="444" w:type="pct"/>
                  <w:vAlign w:val="center"/>
                </w:tcPr>
                <w:p w14:paraId="4C40E902">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b/>
                      <w:bCs/>
                      <w:color w:val="auto"/>
                      <w:spacing w:val="2"/>
                      <w:sz w:val="20"/>
                      <w:szCs w:val="20"/>
                      <w:highlight w:val="none"/>
                    </w:rPr>
                    <w:t>夜间</w:t>
                  </w:r>
                </w:p>
              </w:tc>
              <w:tc>
                <w:tcPr>
                  <w:tcW w:w="806" w:type="pct"/>
                  <w:vAlign w:val="center"/>
                </w:tcPr>
                <w:p w14:paraId="6277FE09">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b/>
                      <w:bCs/>
                      <w:color w:val="auto"/>
                      <w:spacing w:val="6"/>
                      <w:sz w:val="20"/>
                      <w:szCs w:val="20"/>
                      <w:highlight w:val="none"/>
                    </w:rPr>
                    <w:t>标准限值</w:t>
                  </w:r>
                </w:p>
              </w:tc>
              <w:tc>
                <w:tcPr>
                  <w:tcW w:w="806" w:type="pct"/>
                  <w:vAlign w:val="center"/>
                </w:tcPr>
                <w:p w14:paraId="6BF2C725">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b/>
                      <w:bCs/>
                      <w:color w:val="auto"/>
                      <w:spacing w:val="6"/>
                      <w:sz w:val="20"/>
                      <w:szCs w:val="20"/>
                      <w:highlight w:val="none"/>
                    </w:rPr>
                    <w:t>达标判断</w:t>
                  </w:r>
                </w:p>
              </w:tc>
              <w:tc>
                <w:tcPr>
                  <w:tcW w:w="806" w:type="pct"/>
                  <w:vAlign w:val="center"/>
                </w:tcPr>
                <w:p w14:paraId="0E0B0B51">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b/>
                      <w:bCs/>
                      <w:color w:val="auto"/>
                      <w:spacing w:val="6"/>
                      <w:sz w:val="20"/>
                      <w:szCs w:val="20"/>
                      <w:highlight w:val="none"/>
                    </w:rPr>
                    <w:t>标准限值</w:t>
                  </w:r>
                </w:p>
              </w:tc>
              <w:tc>
                <w:tcPr>
                  <w:tcW w:w="815" w:type="pct"/>
                  <w:vAlign w:val="center"/>
                </w:tcPr>
                <w:p w14:paraId="57F205E8">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b/>
                      <w:bCs/>
                      <w:color w:val="auto"/>
                      <w:spacing w:val="6"/>
                      <w:sz w:val="20"/>
                      <w:szCs w:val="20"/>
                      <w:highlight w:val="none"/>
                    </w:rPr>
                    <w:t>达标判断</w:t>
                  </w:r>
                </w:p>
              </w:tc>
            </w:tr>
            <w:tr w14:paraId="1834776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877" w:type="pct"/>
                  <w:vAlign w:val="center"/>
                </w:tcPr>
                <w:p w14:paraId="76FF06D3">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z w:val="20"/>
                      <w:szCs w:val="20"/>
                      <w:highlight w:val="none"/>
                    </w:rPr>
                  </w:pPr>
                  <w:r>
                    <w:rPr>
                      <w:color w:val="auto"/>
                      <w:sz w:val="20"/>
                      <w:szCs w:val="20"/>
                      <w:highlight w:val="none"/>
                    </w:rPr>
                    <w:t>东场界</w:t>
                  </w:r>
                  <w:r>
                    <w:rPr>
                      <w:rFonts w:ascii="Times New Roman" w:hAnsi="Times New Roman" w:eastAsia="Times New Roman" w:cs="Times New Roman"/>
                      <w:color w:val="auto"/>
                      <w:sz w:val="20"/>
                      <w:szCs w:val="20"/>
                      <w:highlight w:val="none"/>
                    </w:rPr>
                    <w:t>1m</w:t>
                  </w:r>
                </w:p>
              </w:tc>
              <w:tc>
                <w:tcPr>
                  <w:tcW w:w="444" w:type="pct"/>
                  <w:vAlign w:val="center"/>
                </w:tcPr>
                <w:p w14:paraId="49C6BB78">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pacing w:val="-1"/>
                      <w:sz w:val="20"/>
                      <w:szCs w:val="20"/>
                      <w:highlight w:val="none"/>
                    </w:rPr>
                  </w:pPr>
                  <w:r>
                    <w:rPr>
                      <w:rFonts w:hint="eastAsia" w:ascii="Times New Roman" w:hAnsi="Times New Roman" w:eastAsia="Times New Roman" w:cs="Times New Roman"/>
                      <w:color w:val="auto"/>
                      <w:spacing w:val="-1"/>
                      <w:sz w:val="20"/>
                      <w:szCs w:val="20"/>
                      <w:highlight w:val="none"/>
                    </w:rPr>
                    <w:t>44.54</w:t>
                  </w:r>
                </w:p>
              </w:tc>
              <w:tc>
                <w:tcPr>
                  <w:tcW w:w="444" w:type="pct"/>
                  <w:vAlign w:val="center"/>
                </w:tcPr>
                <w:p w14:paraId="65B3C87C">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pacing w:val="-1"/>
                      <w:sz w:val="20"/>
                      <w:szCs w:val="20"/>
                      <w:highlight w:val="none"/>
                    </w:rPr>
                  </w:pPr>
                  <w:r>
                    <w:rPr>
                      <w:rFonts w:hint="eastAsia" w:ascii="Times New Roman" w:hAnsi="Times New Roman" w:eastAsia="Times New Roman" w:cs="Times New Roman"/>
                      <w:color w:val="auto"/>
                      <w:spacing w:val="-1"/>
                      <w:sz w:val="20"/>
                      <w:szCs w:val="20"/>
                      <w:highlight w:val="none"/>
                    </w:rPr>
                    <w:t>44.54</w:t>
                  </w:r>
                </w:p>
              </w:tc>
              <w:tc>
                <w:tcPr>
                  <w:tcW w:w="806" w:type="pct"/>
                  <w:vMerge w:val="restart"/>
                  <w:tcBorders>
                    <w:bottom w:val="nil"/>
                  </w:tcBorders>
                  <w:vAlign w:val="center"/>
                </w:tcPr>
                <w:p w14:paraId="3BFC6369">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1"/>
                      <w:sz w:val="20"/>
                      <w:szCs w:val="20"/>
                      <w:highlight w:val="none"/>
                    </w:rPr>
                    <w:t>65</w:t>
                  </w:r>
                </w:p>
              </w:tc>
              <w:tc>
                <w:tcPr>
                  <w:tcW w:w="806" w:type="pct"/>
                  <w:vAlign w:val="center"/>
                </w:tcPr>
                <w:p w14:paraId="40F3E96C">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5"/>
                      <w:sz w:val="20"/>
                      <w:szCs w:val="20"/>
                      <w:highlight w:val="none"/>
                    </w:rPr>
                    <w:t>达标</w:t>
                  </w:r>
                </w:p>
              </w:tc>
              <w:tc>
                <w:tcPr>
                  <w:tcW w:w="806" w:type="pct"/>
                  <w:vMerge w:val="restart"/>
                  <w:tcBorders>
                    <w:bottom w:val="nil"/>
                  </w:tcBorders>
                  <w:vAlign w:val="center"/>
                </w:tcPr>
                <w:p w14:paraId="23BC8A68">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55</w:t>
                  </w:r>
                </w:p>
              </w:tc>
              <w:tc>
                <w:tcPr>
                  <w:tcW w:w="815" w:type="pct"/>
                  <w:vAlign w:val="center"/>
                </w:tcPr>
                <w:p w14:paraId="7DE1C764">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5"/>
                      <w:sz w:val="20"/>
                      <w:szCs w:val="20"/>
                      <w:highlight w:val="none"/>
                    </w:rPr>
                    <w:t>达标</w:t>
                  </w:r>
                </w:p>
              </w:tc>
            </w:tr>
            <w:tr w14:paraId="38AAF9C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877" w:type="pct"/>
                  <w:vAlign w:val="center"/>
                </w:tcPr>
                <w:p w14:paraId="2EF3F1FA">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z w:val="20"/>
                      <w:szCs w:val="20"/>
                      <w:highlight w:val="none"/>
                    </w:rPr>
                  </w:pPr>
                  <w:r>
                    <w:rPr>
                      <w:color w:val="auto"/>
                      <w:spacing w:val="1"/>
                      <w:sz w:val="20"/>
                      <w:szCs w:val="20"/>
                      <w:highlight w:val="none"/>
                    </w:rPr>
                    <w:t>北场界</w:t>
                  </w:r>
                  <w:r>
                    <w:rPr>
                      <w:rFonts w:ascii="Times New Roman" w:hAnsi="Times New Roman" w:eastAsia="Times New Roman" w:cs="Times New Roman"/>
                      <w:color w:val="auto"/>
                      <w:spacing w:val="1"/>
                      <w:sz w:val="20"/>
                      <w:szCs w:val="20"/>
                      <w:highlight w:val="none"/>
                    </w:rPr>
                    <w:t>1m</w:t>
                  </w:r>
                </w:p>
              </w:tc>
              <w:tc>
                <w:tcPr>
                  <w:tcW w:w="444" w:type="pct"/>
                  <w:vAlign w:val="center"/>
                </w:tcPr>
                <w:p w14:paraId="4B1C5605">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pacing w:val="-1"/>
                      <w:sz w:val="20"/>
                      <w:szCs w:val="20"/>
                      <w:highlight w:val="none"/>
                    </w:rPr>
                  </w:pPr>
                  <w:r>
                    <w:rPr>
                      <w:rFonts w:hint="eastAsia" w:ascii="Times New Roman" w:hAnsi="Times New Roman" w:eastAsia="Times New Roman" w:cs="Times New Roman"/>
                      <w:color w:val="auto"/>
                      <w:spacing w:val="-1"/>
                      <w:sz w:val="20"/>
                      <w:szCs w:val="20"/>
                      <w:highlight w:val="none"/>
                    </w:rPr>
                    <w:t>38.44</w:t>
                  </w:r>
                </w:p>
              </w:tc>
              <w:tc>
                <w:tcPr>
                  <w:tcW w:w="444" w:type="pct"/>
                  <w:vAlign w:val="center"/>
                </w:tcPr>
                <w:p w14:paraId="3738124C">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pacing w:val="-1"/>
                      <w:sz w:val="20"/>
                      <w:szCs w:val="20"/>
                      <w:highlight w:val="none"/>
                    </w:rPr>
                  </w:pPr>
                  <w:r>
                    <w:rPr>
                      <w:rFonts w:hint="eastAsia" w:ascii="Times New Roman" w:hAnsi="Times New Roman" w:eastAsia="Times New Roman" w:cs="Times New Roman"/>
                      <w:color w:val="auto"/>
                      <w:spacing w:val="-1"/>
                      <w:sz w:val="20"/>
                      <w:szCs w:val="20"/>
                      <w:highlight w:val="none"/>
                    </w:rPr>
                    <w:t>38.44</w:t>
                  </w:r>
                </w:p>
              </w:tc>
              <w:tc>
                <w:tcPr>
                  <w:tcW w:w="806" w:type="pct"/>
                  <w:vMerge w:val="continue"/>
                  <w:tcBorders>
                    <w:top w:val="nil"/>
                    <w:bottom w:val="nil"/>
                  </w:tcBorders>
                  <w:vAlign w:val="center"/>
                </w:tcPr>
                <w:p w14:paraId="560603E7">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p>
              </w:tc>
              <w:tc>
                <w:tcPr>
                  <w:tcW w:w="806" w:type="pct"/>
                  <w:vAlign w:val="center"/>
                </w:tcPr>
                <w:p w14:paraId="1F65CDD0">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5"/>
                      <w:sz w:val="20"/>
                      <w:szCs w:val="20"/>
                      <w:highlight w:val="none"/>
                    </w:rPr>
                    <w:t>达标</w:t>
                  </w:r>
                </w:p>
              </w:tc>
              <w:tc>
                <w:tcPr>
                  <w:tcW w:w="806" w:type="pct"/>
                  <w:vMerge w:val="continue"/>
                  <w:tcBorders>
                    <w:top w:val="nil"/>
                    <w:bottom w:val="nil"/>
                  </w:tcBorders>
                  <w:vAlign w:val="center"/>
                </w:tcPr>
                <w:p w14:paraId="4D71E2BD">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p>
              </w:tc>
              <w:tc>
                <w:tcPr>
                  <w:tcW w:w="815" w:type="pct"/>
                  <w:vAlign w:val="center"/>
                </w:tcPr>
                <w:p w14:paraId="2F0C2AC3">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5"/>
                      <w:sz w:val="20"/>
                      <w:szCs w:val="20"/>
                      <w:highlight w:val="none"/>
                    </w:rPr>
                    <w:t>达标</w:t>
                  </w:r>
                </w:p>
              </w:tc>
            </w:tr>
            <w:tr w14:paraId="3E9EAF3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877" w:type="pct"/>
                  <w:vAlign w:val="center"/>
                </w:tcPr>
                <w:p w14:paraId="652EDE21">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z w:val="20"/>
                      <w:szCs w:val="20"/>
                      <w:highlight w:val="none"/>
                    </w:rPr>
                  </w:pPr>
                  <w:r>
                    <w:rPr>
                      <w:color w:val="auto"/>
                      <w:spacing w:val="1"/>
                      <w:sz w:val="20"/>
                      <w:szCs w:val="20"/>
                      <w:highlight w:val="none"/>
                    </w:rPr>
                    <w:t>南场界</w:t>
                  </w:r>
                  <w:r>
                    <w:rPr>
                      <w:rFonts w:ascii="Times New Roman" w:hAnsi="Times New Roman" w:eastAsia="Times New Roman" w:cs="Times New Roman"/>
                      <w:color w:val="auto"/>
                      <w:spacing w:val="1"/>
                      <w:sz w:val="20"/>
                      <w:szCs w:val="20"/>
                      <w:highlight w:val="none"/>
                    </w:rPr>
                    <w:t>1m</w:t>
                  </w:r>
                </w:p>
              </w:tc>
              <w:tc>
                <w:tcPr>
                  <w:tcW w:w="444" w:type="pct"/>
                  <w:vAlign w:val="center"/>
                </w:tcPr>
                <w:p w14:paraId="5AD1ECAF">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pacing w:val="-1"/>
                      <w:sz w:val="20"/>
                      <w:szCs w:val="20"/>
                      <w:highlight w:val="none"/>
                    </w:rPr>
                  </w:pPr>
                  <w:r>
                    <w:rPr>
                      <w:rFonts w:hint="eastAsia" w:ascii="Times New Roman" w:hAnsi="Times New Roman" w:eastAsia="Times New Roman" w:cs="Times New Roman"/>
                      <w:color w:val="auto"/>
                      <w:spacing w:val="-1"/>
                      <w:sz w:val="20"/>
                      <w:szCs w:val="20"/>
                      <w:highlight w:val="none"/>
                    </w:rPr>
                    <w:t>35.36</w:t>
                  </w:r>
                </w:p>
              </w:tc>
              <w:tc>
                <w:tcPr>
                  <w:tcW w:w="444" w:type="pct"/>
                  <w:vAlign w:val="center"/>
                </w:tcPr>
                <w:p w14:paraId="6A4B0AE7">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pacing w:val="-1"/>
                      <w:sz w:val="20"/>
                      <w:szCs w:val="20"/>
                      <w:highlight w:val="none"/>
                    </w:rPr>
                  </w:pPr>
                  <w:r>
                    <w:rPr>
                      <w:rFonts w:hint="eastAsia" w:ascii="Times New Roman" w:hAnsi="Times New Roman" w:eastAsia="Times New Roman" w:cs="Times New Roman"/>
                      <w:color w:val="auto"/>
                      <w:spacing w:val="-1"/>
                      <w:sz w:val="20"/>
                      <w:szCs w:val="20"/>
                      <w:highlight w:val="none"/>
                    </w:rPr>
                    <w:t>35.36</w:t>
                  </w:r>
                </w:p>
              </w:tc>
              <w:tc>
                <w:tcPr>
                  <w:tcW w:w="806" w:type="pct"/>
                  <w:vMerge w:val="continue"/>
                  <w:tcBorders>
                    <w:top w:val="nil"/>
                    <w:bottom w:val="nil"/>
                  </w:tcBorders>
                  <w:vAlign w:val="center"/>
                </w:tcPr>
                <w:p w14:paraId="1B97F360">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p>
              </w:tc>
              <w:tc>
                <w:tcPr>
                  <w:tcW w:w="806" w:type="pct"/>
                  <w:vAlign w:val="center"/>
                </w:tcPr>
                <w:p w14:paraId="5D66B4C2">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5"/>
                      <w:sz w:val="20"/>
                      <w:szCs w:val="20"/>
                      <w:highlight w:val="none"/>
                    </w:rPr>
                    <w:t>达标</w:t>
                  </w:r>
                </w:p>
              </w:tc>
              <w:tc>
                <w:tcPr>
                  <w:tcW w:w="806" w:type="pct"/>
                  <w:vMerge w:val="continue"/>
                  <w:tcBorders>
                    <w:top w:val="nil"/>
                    <w:bottom w:val="nil"/>
                  </w:tcBorders>
                  <w:vAlign w:val="center"/>
                </w:tcPr>
                <w:p w14:paraId="3892510A">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p>
              </w:tc>
              <w:tc>
                <w:tcPr>
                  <w:tcW w:w="815" w:type="pct"/>
                  <w:vAlign w:val="center"/>
                </w:tcPr>
                <w:p w14:paraId="2D8838D5">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5"/>
                      <w:sz w:val="20"/>
                      <w:szCs w:val="20"/>
                      <w:highlight w:val="none"/>
                    </w:rPr>
                    <w:t>达标</w:t>
                  </w:r>
                </w:p>
              </w:tc>
            </w:tr>
            <w:tr w14:paraId="5501DB8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877" w:type="pct"/>
                  <w:vAlign w:val="center"/>
                </w:tcPr>
                <w:p w14:paraId="2873E8DB">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z w:val="20"/>
                      <w:szCs w:val="20"/>
                      <w:highlight w:val="none"/>
                    </w:rPr>
                  </w:pPr>
                  <w:r>
                    <w:rPr>
                      <w:color w:val="auto"/>
                      <w:sz w:val="20"/>
                      <w:szCs w:val="20"/>
                      <w:highlight w:val="none"/>
                    </w:rPr>
                    <w:t>西场界</w:t>
                  </w:r>
                  <w:r>
                    <w:rPr>
                      <w:rFonts w:ascii="Times New Roman" w:hAnsi="Times New Roman" w:eastAsia="Times New Roman" w:cs="Times New Roman"/>
                      <w:color w:val="auto"/>
                      <w:sz w:val="20"/>
                      <w:szCs w:val="20"/>
                      <w:highlight w:val="none"/>
                    </w:rPr>
                    <w:t>1m</w:t>
                  </w:r>
                </w:p>
              </w:tc>
              <w:tc>
                <w:tcPr>
                  <w:tcW w:w="444" w:type="pct"/>
                  <w:vAlign w:val="center"/>
                </w:tcPr>
                <w:p w14:paraId="13EC10F2">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pacing w:val="-1"/>
                      <w:sz w:val="20"/>
                      <w:szCs w:val="20"/>
                      <w:highlight w:val="none"/>
                    </w:rPr>
                  </w:pPr>
                  <w:r>
                    <w:rPr>
                      <w:rFonts w:hint="eastAsia" w:ascii="Times New Roman" w:hAnsi="Times New Roman" w:eastAsia="Times New Roman" w:cs="Times New Roman"/>
                      <w:color w:val="auto"/>
                      <w:spacing w:val="-1"/>
                      <w:sz w:val="20"/>
                      <w:szCs w:val="20"/>
                      <w:highlight w:val="none"/>
                    </w:rPr>
                    <w:t>40.42</w:t>
                  </w:r>
                </w:p>
              </w:tc>
              <w:tc>
                <w:tcPr>
                  <w:tcW w:w="444" w:type="pct"/>
                  <w:vAlign w:val="center"/>
                </w:tcPr>
                <w:p w14:paraId="098CDF6A">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hAnsi="Times New Roman" w:eastAsia="Times New Roman" w:cs="Times New Roman"/>
                      <w:color w:val="auto"/>
                      <w:spacing w:val="-1"/>
                      <w:sz w:val="20"/>
                      <w:szCs w:val="20"/>
                      <w:highlight w:val="none"/>
                    </w:rPr>
                  </w:pPr>
                  <w:r>
                    <w:rPr>
                      <w:rFonts w:hint="eastAsia" w:ascii="Times New Roman" w:hAnsi="Times New Roman" w:eastAsia="Times New Roman" w:cs="Times New Roman"/>
                      <w:color w:val="auto"/>
                      <w:spacing w:val="-1"/>
                      <w:sz w:val="20"/>
                      <w:szCs w:val="20"/>
                      <w:highlight w:val="none"/>
                    </w:rPr>
                    <w:t>40.42</w:t>
                  </w:r>
                </w:p>
              </w:tc>
              <w:tc>
                <w:tcPr>
                  <w:tcW w:w="806" w:type="pct"/>
                  <w:vMerge w:val="continue"/>
                  <w:tcBorders>
                    <w:top w:val="nil"/>
                  </w:tcBorders>
                  <w:vAlign w:val="center"/>
                </w:tcPr>
                <w:p w14:paraId="604CA677">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p>
              </w:tc>
              <w:tc>
                <w:tcPr>
                  <w:tcW w:w="806" w:type="pct"/>
                  <w:vAlign w:val="center"/>
                </w:tcPr>
                <w:p w14:paraId="5AC948B5">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hint="default" w:eastAsia="宋体"/>
                      <w:color w:val="auto"/>
                      <w:sz w:val="20"/>
                      <w:szCs w:val="20"/>
                      <w:highlight w:val="none"/>
                      <w:lang w:val="en-US" w:eastAsia="zh-CN"/>
                    </w:rPr>
                  </w:pPr>
                  <w:r>
                    <w:rPr>
                      <w:color w:val="auto"/>
                      <w:spacing w:val="1"/>
                      <w:sz w:val="20"/>
                      <w:szCs w:val="20"/>
                      <w:highlight w:val="none"/>
                    </w:rPr>
                    <w:t>达</w:t>
                  </w:r>
                  <w:r>
                    <w:rPr>
                      <w:rFonts w:hint="default" w:eastAsia="宋体"/>
                      <w:color w:val="auto"/>
                      <w:spacing w:val="1"/>
                      <w:sz w:val="20"/>
                      <w:szCs w:val="20"/>
                      <w:highlight w:val="none"/>
                      <w:lang w:val="en-US" w:eastAsia="zh-CN"/>
                    </w:rPr>
                    <w:t>标</w:t>
                  </w:r>
                </w:p>
              </w:tc>
              <w:tc>
                <w:tcPr>
                  <w:tcW w:w="806" w:type="pct"/>
                  <w:vMerge w:val="continue"/>
                  <w:tcBorders>
                    <w:top w:val="nil"/>
                  </w:tcBorders>
                  <w:vAlign w:val="center"/>
                </w:tcPr>
                <w:p w14:paraId="70C0D927">
                  <w:pPr>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rFonts w:ascii="Times New Roman"/>
                      <w:color w:val="auto"/>
                      <w:sz w:val="21"/>
                      <w:highlight w:val="none"/>
                    </w:rPr>
                  </w:pPr>
                </w:p>
              </w:tc>
              <w:tc>
                <w:tcPr>
                  <w:tcW w:w="815" w:type="pct"/>
                  <w:vAlign w:val="center"/>
                </w:tcPr>
                <w:p w14:paraId="20628ADD">
                  <w:pPr>
                    <w:pStyle w:val="119"/>
                    <w:keepNext w:val="0"/>
                    <w:keepLines w:val="0"/>
                    <w:pageBreakBefore w:val="0"/>
                    <w:widowControl w:val="0"/>
                    <w:kinsoku/>
                    <w:wordWrap/>
                    <w:overflowPunct/>
                    <w:topLinePunct w:val="0"/>
                    <w:autoSpaceDE/>
                    <w:autoSpaceDN/>
                    <w:bidi w:val="0"/>
                    <w:adjustRightInd/>
                    <w:snapToGrid/>
                    <w:spacing w:line="200" w:lineRule="exact"/>
                    <w:ind w:left="0"/>
                    <w:jc w:val="center"/>
                    <w:textAlignment w:val="auto"/>
                    <w:rPr>
                      <w:color w:val="auto"/>
                      <w:sz w:val="20"/>
                      <w:szCs w:val="20"/>
                      <w:highlight w:val="none"/>
                    </w:rPr>
                  </w:pPr>
                  <w:r>
                    <w:rPr>
                      <w:color w:val="auto"/>
                      <w:spacing w:val="5"/>
                      <w:sz w:val="20"/>
                      <w:szCs w:val="20"/>
                      <w:highlight w:val="none"/>
                    </w:rPr>
                    <w:t>达标</w:t>
                  </w:r>
                </w:p>
              </w:tc>
            </w:tr>
          </w:tbl>
          <w:p w14:paraId="7F5745D1">
            <w:pPr>
              <w:pStyle w:val="64"/>
              <w:ind w:firstLine="480"/>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由此可见，项目厂界昼、夜间噪声预测值能达到《工业企业厂界环境噪声排放标准》（GB12348-2008）3类标准要求，满足相应功能区要求。</w:t>
            </w:r>
          </w:p>
          <w:p w14:paraId="683C0405">
            <w:pPr>
              <w:pStyle w:val="29"/>
              <w:adjustRightInd w:val="0"/>
              <w:snapToGrid w:val="0"/>
              <w:spacing w:line="360" w:lineRule="auto"/>
              <w:rPr>
                <w:rFonts w:hint="default" w:cs="Times New Roman"/>
                <w:color w:val="auto"/>
                <w:highlight w:val="none"/>
                <w:lang w:val="en-US" w:eastAsia="zh-CN"/>
              </w:rPr>
            </w:pPr>
            <w:r>
              <w:rPr>
                <w:rFonts w:hint="default" w:cs="Times New Roman"/>
                <w:color w:val="auto"/>
                <w:highlight w:val="none"/>
                <w:lang w:val="en-US" w:eastAsia="zh-CN"/>
              </w:rPr>
              <w:t>3.噪声污染防治措施</w:t>
            </w:r>
          </w:p>
          <w:p w14:paraId="6ACF9632">
            <w:pPr>
              <w:adjustRightInd w:val="0"/>
              <w:snapToGrid w:val="0"/>
              <w:spacing w:line="360" w:lineRule="auto"/>
              <w:ind w:firstLine="480" w:firstLineChars="200"/>
              <w:rPr>
                <w:bCs/>
                <w:color w:val="auto"/>
                <w:sz w:val="24"/>
                <w:szCs w:val="24"/>
                <w:highlight w:val="none"/>
              </w:rPr>
            </w:pPr>
            <w:r>
              <w:rPr>
                <w:bCs/>
                <w:color w:val="auto"/>
                <w:sz w:val="24"/>
                <w:szCs w:val="24"/>
                <w:highlight w:val="none"/>
              </w:rPr>
              <w:fldChar w:fldCharType="begin"/>
            </w:r>
            <w:r>
              <w:rPr>
                <w:bCs/>
                <w:color w:val="auto"/>
                <w:sz w:val="24"/>
                <w:szCs w:val="24"/>
                <w:highlight w:val="none"/>
              </w:rPr>
              <w:instrText xml:space="preserve"> </w:instrText>
            </w:r>
            <w:r>
              <w:rPr>
                <w:rFonts w:hint="default"/>
                <w:bCs/>
                <w:color w:val="auto"/>
                <w:sz w:val="24"/>
                <w:szCs w:val="24"/>
                <w:highlight w:val="none"/>
              </w:rPr>
              <w:instrText xml:space="preserve">= 1 \* GB3</w:instrText>
            </w:r>
            <w:r>
              <w:rPr>
                <w:bCs/>
                <w:color w:val="auto"/>
                <w:sz w:val="24"/>
                <w:szCs w:val="24"/>
                <w:highlight w:val="none"/>
              </w:rPr>
              <w:instrText xml:space="preserve"> </w:instrText>
            </w:r>
            <w:r>
              <w:rPr>
                <w:bCs/>
                <w:color w:val="auto"/>
                <w:sz w:val="24"/>
                <w:szCs w:val="24"/>
                <w:highlight w:val="none"/>
              </w:rPr>
              <w:fldChar w:fldCharType="separate"/>
            </w:r>
            <w:r>
              <w:rPr>
                <w:rFonts w:hint="default"/>
                <w:bCs/>
                <w:color w:val="auto"/>
                <w:sz w:val="24"/>
                <w:szCs w:val="24"/>
                <w:highlight w:val="none"/>
              </w:rPr>
              <w:t>①</w:t>
            </w:r>
            <w:r>
              <w:rPr>
                <w:bCs/>
                <w:color w:val="auto"/>
                <w:sz w:val="24"/>
                <w:szCs w:val="24"/>
                <w:highlight w:val="none"/>
              </w:rPr>
              <w:fldChar w:fldCharType="end"/>
            </w:r>
            <w:r>
              <w:rPr>
                <w:bCs/>
                <w:color w:val="auto"/>
                <w:sz w:val="24"/>
                <w:szCs w:val="24"/>
                <w:highlight w:val="none"/>
              </w:rPr>
              <w:t>从治理声源入手，</w:t>
            </w:r>
            <w:r>
              <w:rPr>
                <w:rFonts w:hint="default"/>
                <w:bCs/>
                <w:color w:val="auto"/>
                <w:sz w:val="24"/>
                <w:szCs w:val="24"/>
                <w:highlight w:val="none"/>
              </w:rPr>
              <w:t>选用低噪声型水泵和冷却塔，</w:t>
            </w:r>
            <w:r>
              <w:rPr>
                <w:bCs/>
                <w:color w:val="auto"/>
                <w:sz w:val="24"/>
                <w:szCs w:val="24"/>
                <w:highlight w:val="none"/>
              </w:rPr>
              <w:t>在设备</w:t>
            </w:r>
            <w:r>
              <w:rPr>
                <w:rFonts w:hint="default"/>
                <w:bCs/>
                <w:color w:val="auto"/>
                <w:sz w:val="24"/>
                <w:szCs w:val="24"/>
                <w:highlight w:val="none"/>
                <w:lang w:eastAsia="zh-CN"/>
              </w:rPr>
              <w:t>订货时</w:t>
            </w:r>
            <w:r>
              <w:rPr>
                <w:bCs/>
                <w:color w:val="auto"/>
                <w:sz w:val="24"/>
                <w:szCs w:val="24"/>
                <w:highlight w:val="none"/>
              </w:rPr>
              <w:t>要求厂家在设备上加装消声、隔声装置；主要噪声设备集中布置在隔声效果好的建筑内。将高噪声设备所在厂房进行吸声降噪处理，选用有较高隔声性能的隔音门窗，并控制厂界一侧的门窗面积，确保建筑墙外1m处噪声值低于65dB(A)；</w:t>
            </w:r>
          </w:p>
          <w:p w14:paraId="062428F0">
            <w:pPr>
              <w:adjustRightInd w:val="0"/>
              <w:snapToGrid w:val="0"/>
              <w:spacing w:line="360" w:lineRule="auto"/>
              <w:ind w:firstLine="480" w:firstLineChars="200"/>
              <w:rPr>
                <w:rFonts w:hint="default" w:eastAsia="宋体"/>
                <w:bCs/>
                <w:color w:val="auto"/>
                <w:sz w:val="24"/>
                <w:szCs w:val="24"/>
                <w:highlight w:val="none"/>
                <w:lang w:eastAsia="zh-CN"/>
              </w:rPr>
            </w:pPr>
            <w:r>
              <w:rPr>
                <w:bCs/>
                <w:color w:val="auto"/>
                <w:sz w:val="24"/>
                <w:szCs w:val="24"/>
                <w:highlight w:val="none"/>
              </w:rPr>
              <w:fldChar w:fldCharType="begin"/>
            </w:r>
            <w:r>
              <w:rPr>
                <w:bCs/>
                <w:color w:val="auto"/>
                <w:sz w:val="24"/>
                <w:szCs w:val="24"/>
                <w:highlight w:val="none"/>
              </w:rPr>
              <w:instrText xml:space="preserve"> </w:instrText>
            </w:r>
            <w:r>
              <w:rPr>
                <w:rFonts w:hint="default"/>
                <w:bCs/>
                <w:color w:val="auto"/>
                <w:sz w:val="24"/>
                <w:szCs w:val="24"/>
                <w:highlight w:val="none"/>
              </w:rPr>
              <w:instrText xml:space="preserve">= 2 \* GB3</w:instrText>
            </w:r>
            <w:r>
              <w:rPr>
                <w:bCs/>
                <w:color w:val="auto"/>
                <w:sz w:val="24"/>
                <w:szCs w:val="24"/>
                <w:highlight w:val="none"/>
              </w:rPr>
              <w:instrText xml:space="preserve"> </w:instrText>
            </w:r>
            <w:r>
              <w:rPr>
                <w:bCs/>
                <w:color w:val="auto"/>
                <w:sz w:val="24"/>
                <w:szCs w:val="24"/>
                <w:highlight w:val="none"/>
              </w:rPr>
              <w:fldChar w:fldCharType="separate"/>
            </w:r>
            <w:r>
              <w:rPr>
                <w:rFonts w:hint="default"/>
                <w:bCs/>
                <w:color w:val="auto"/>
                <w:sz w:val="24"/>
                <w:szCs w:val="24"/>
                <w:highlight w:val="none"/>
              </w:rPr>
              <w:t>②</w:t>
            </w:r>
            <w:r>
              <w:rPr>
                <w:bCs/>
                <w:color w:val="auto"/>
                <w:sz w:val="24"/>
                <w:szCs w:val="24"/>
                <w:highlight w:val="none"/>
              </w:rPr>
              <w:fldChar w:fldCharType="end"/>
            </w:r>
            <w:r>
              <w:rPr>
                <w:bCs/>
                <w:color w:val="auto"/>
                <w:sz w:val="24"/>
                <w:szCs w:val="24"/>
                <w:highlight w:val="none"/>
              </w:rPr>
              <w:t>在厂房建筑设计中将操作室与噪声源隔离，操作室墙壁应采取隔音处理，使值班室的噪声不要超过60dB(A)，使其满足《工业企业设计卫生标准》）（GBZ1-2002）非噪声车间办公室声环境质量的要求，以保护操作控制人员的身心健康</w:t>
            </w:r>
            <w:r>
              <w:rPr>
                <w:rFonts w:hint="default"/>
                <w:bCs/>
                <w:color w:val="auto"/>
                <w:sz w:val="24"/>
                <w:szCs w:val="24"/>
                <w:highlight w:val="none"/>
                <w:lang w:eastAsia="zh-CN"/>
              </w:rPr>
              <w:t>；</w:t>
            </w:r>
          </w:p>
          <w:p w14:paraId="22E404DB">
            <w:pPr>
              <w:adjustRightInd w:val="0"/>
              <w:snapToGrid w:val="0"/>
              <w:spacing w:line="360" w:lineRule="auto"/>
              <w:ind w:firstLine="480" w:firstLineChars="200"/>
              <w:rPr>
                <w:rFonts w:hint="default" w:eastAsia="宋体"/>
                <w:bCs/>
                <w:color w:val="auto"/>
                <w:sz w:val="24"/>
                <w:szCs w:val="24"/>
                <w:highlight w:val="none"/>
                <w:lang w:eastAsia="zh-CN"/>
              </w:rPr>
            </w:pPr>
            <w:r>
              <w:rPr>
                <w:bCs/>
                <w:color w:val="auto"/>
                <w:sz w:val="24"/>
                <w:szCs w:val="24"/>
                <w:highlight w:val="none"/>
              </w:rPr>
              <w:fldChar w:fldCharType="begin"/>
            </w:r>
            <w:r>
              <w:rPr>
                <w:bCs/>
                <w:color w:val="auto"/>
                <w:sz w:val="24"/>
                <w:szCs w:val="24"/>
                <w:highlight w:val="none"/>
              </w:rPr>
              <w:instrText xml:space="preserve"> </w:instrText>
            </w:r>
            <w:r>
              <w:rPr>
                <w:rFonts w:hint="default"/>
                <w:bCs/>
                <w:color w:val="auto"/>
                <w:sz w:val="24"/>
                <w:szCs w:val="24"/>
                <w:highlight w:val="none"/>
              </w:rPr>
              <w:instrText xml:space="preserve">= 3 \* GB3</w:instrText>
            </w:r>
            <w:r>
              <w:rPr>
                <w:bCs/>
                <w:color w:val="auto"/>
                <w:sz w:val="24"/>
                <w:szCs w:val="24"/>
                <w:highlight w:val="none"/>
              </w:rPr>
              <w:instrText xml:space="preserve"> </w:instrText>
            </w:r>
            <w:r>
              <w:rPr>
                <w:bCs/>
                <w:color w:val="auto"/>
                <w:sz w:val="24"/>
                <w:szCs w:val="24"/>
                <w:highlight w:val="none"/>
              </w:rPr>
              <w:fldChar w:fldCharType="separate"/>
            </w:r>
            <w:r>
              <w:rPr>
                <w:rFonts w:hint="default"/>
                <w:bCs/>
                <w:color w:val="auto"/>
                <w:sz w:val="24"/>
                <w:szCs w:val="24"/>
                <w:highlight w:val="none"/>
              </w:rPr>
              <w:t>③</w:t>
            </w:r>
            <w:r>
              <w:rPr>
                <w:bCs/>
                <w:color w:val="auto"/>
                <w:sz w:val="24"/>
                <w:szCs w:val="24"/>
                <w:highlight w:val="none"/>
              </w:rPr>
              <w:fldChar w:fldCharType="end"/>
            </w:r>
            <w:r>
              <w:rPr>
                <w:bCs/>
                <w:color w:val="auto"/>
                <w:sz w:val="24"/>
                <w:szCs w:val="24"/>
                <w:highlight w:val="none"/>
              </w:rPr>
              <w:t>在车间总体布置中统筹规划、合理布局、注重防噪声间距。进一步加强厂内绿化，种植高大乔木，进一步降低工厂噪声对周围环境的影响</w:t>
            </w:r>
            <w:r>
              <w:rPr>
                <w:rFonts w:hint="default"/>
                <w:bCs/>
                <w:color w:val="auto"/>
                <w:sz w:val="24"/>
                <w:szCs w:val="24"/>
                <w:highlight w:val="none"/>
                <w:lang w:eastAsia="zh-CN"/>
              </w:rPr>
              <w:t>；</w:t>
            </w:r>
          </w:p>
          <w:p w14:paraId="43B46097">
            <w:pPr>
              <w:adjustRightInd w:val="0"/>
              <w:snapToGrid w:val="0"/>
              <w:spacing w:line="360" w:lineRule="auto"/>
              <w:ind w:firstLine="480" w:firstLineChars="200"/>
              <w:rPr>
                <w:rFonts w:hint="default" w:eastAsia="宋体"/>
                <w:bCs/>
                <w:color w:val="auto"/>
                <w:sz w:val="24"/>
                <w:szCs w:val="24"/>
                <w:highlight w:val="none"/>
                <w:lang w:eastAsia="zh-CN"/>
              </w:rPr>
            </w:pPr>
            <w:r>
              <w:rPr>
                <w:rFonts w:hint="default"/>
                <w:bCs/>
                <w:color w:val="auto"/>
                <w:sz w:val="24"/>
                <w:szCs w:val="24"/>
                <w:highlight w:val="none"/>
              </w:rPr>
              <w:t>④加强管理，提高职工的环保意识教育，提倡文明生产，降低人为噪声；建立设备定期维护、保养的管理制度，以防止设备故障形成的非正常生产噪声；对经常性接触高噪声源的劳动人员、值班人员或检修人员应加强个体防护，</w:t>
            </w:r>
            <w:r>
              <w:rPr>
                <w:rFonts w:hint="default"/>
                <w:bCs/>
                <w:color w:val="auto"/>
                <w:sz w:val="24"/>
                <w:szCs w:val="24"/>
                <w:highlight w:val="none"/>
                <w:lang w:eastAsia="zh-CN"/>
              </w:rPr>
              <w:t>佩戴</w:t>
            </w:r>
            <w:r>
              <w:rPr>
                <w:rFonts w:hint="default"/>
                <w:bCs/>
                <w:color w:val="auto"/>
                <w:sz w:val="24"/>
                <w:szCs w:val="24"/>
                <w:highlight w:val="none"/>
              </w:rPr>
              <w:t>防噪耳塞、耳罩等劳保用品</w:t>
            </w:r>
            <w:r>
              <w:rPr>
                <w:rFonts w:hint="default"/>
                <w:bCs/>
                <w:color w:val="auto"/>
                <w:sz w:val="24"/>
                <w:szCs w:val="24"/>
                <w:highlight w:val="none"/>
                <w:lang w:eastAsia="zh-CN"/>
              </w:rPr>
              <w:t>；</w:t>
            </w:r>
          </w:p>
          <w:p w14:paraId="35D08636">
            <w:pPr>
              <w:adjustRightInd w:val="0"/>
              <w:snapToGrid w:val="0"/>
              <w:spacing w:line="360" w:lineRule="auto"/>
              <w:ind w:firstLine="480" w:firstLineChars="200"/>
              <w:rPr>
                <w:bCs/>
                <w:color w:val="auto"/>
                <w:sz w:val="24"/>
                <w:szCs w:val="24"/>
                <w:highlight w:val="none"/>
              </w:rPr>
            </w:pPr>
            <w:r>
              <w:rPr>
                <w:bCs/>
                <w:color w:val="auto"/>
                <w:sz w:val="24"/>
                <w:szCs w:val="24"/>
                <w:highlight w:val="none"/>
              </w:rPr>
              <w:fldChar w:fldCharType="begin"/>
            </w:r>
            <w:r>
              <w:rPr>
                <w:bCs/>
                <w:color w:val="auto"/>
                <w:sz w:val="24"/>
                <w:szCs w:val="24"/>
                <w:highlight w:val="none"/>
              </w:rPr>
              <w:instrText xml:space="preserve"> </w:instrText>
            </w:r>
            <w:r>
              <w:rPr>
                <w:rFonts w:hint="default"/>
                <w:bCs/>
                <w:color w:val="auto"/>
                <w:sz w:val="24"/>
                <w:szCs w:val="24"/>
                <w:highlight w:val="none"/>
              </w:rPr>
              <w:instrText xml:space="preserve">= 5 \* GB3</w:instrText>
            </w:r>
            <w:r>
              <w:rPr>
                <w:bCs/>
                <w:color w:val="auto"/>
                <w:sz w:val="24"/>
                <w:szCs w:val="24"/>
                <w:highlight w:val="none"/>
              </w:rPr>
              <w:instrText xml:space="preserve"> </w:instrText>
            </w:r>
            <w:r>
              <w:rPr>
                <w:bCs/>
                <w:color w:val="auto"/>
                <w:sz w:val="24"/>
                <w:szCs w:val="24"/>
                <w:highlight w:val="none"/>
              </w:rPr>
              <w:fldChar w:fldCharType="separate"/>
            </w:r>
            <w:r>
              <w:rPr>
                <w:rFonts w:hint="default"/>
                <w:bCs/>
                <w:color w:val="auto"/>
                <w:sz w:val="24"/>
                <w:szCs w:val="24"/>
                <w:highlight w:val="none"/>
              </w:rPr>
              <w:t>⑤</w:t>
            </w:r>
            <w:r>
              <w:rPr>
                <w:bCs/>
                <w:color w:val="auto"/>
                <w:sz w:val="24"/>
                <w:szCs w:val="24"/>
                <w:highlight w:val="none"/>
              </w:rPr>
              <w:fldChar w:fldCharType="end"/>
            </w:r>
            <w:r>
              <w:rPr>
                <w:rFonts w:hint="default"/>
                <w:bCs/>
                <w:color w:val="auto"/>
                <w:sz w:val="24"/>
                <w:szCs w:val="24"/>
                <w:highlight w:val="none"/>
              </w:rPr>
              <w:t>对于厂内的流动声源（汽车），应强化行车管理制度，严禁鸣号，厂区内限速行驶等，同时对运输车辆加强管理和维护，保持车辆有良好的车况，要求机动车驾驶人员经过噪声敏感区地段时限制车速，尽量避免夜间运输。</w:t>
            </w:r>
          </w:p>
          <w:p w14:paraId="2EE40859">
            <w:pPr>
              <w:pStyle w:val="29"/>
              <w:adjustRightInd w:val="0"/>
              <w:snapToGrid w:val="0"/>
              <w:spacing w:line="360" w:lineRule="auto"/>
              <w:rPr>
                <w:rFonts w:hint="default" w:cs="Times New Roman"/>
                <w:color w:val="auto"/>
                <w:highlight w:val="none"/>
                <w:lang w:val="en-US" w:eastAsia="zh-CN"/>
              </w:rPr>
            </w:pPr>
            <w:r>
              <w:rPr>
                <w:rFonts w:hint="default" w:cs="Times New Roman"/>
                <w:color w:val="auto"/>
                <w:highlight w:val="none"/>
                <w:lang w:val="en-US" w:eastAsia="zh-CN"/>
              </w:rPr>
              <w:t>4.噪声监测计划</w:t>
            </w:r>
          </w:p>
          <w:p w14:paraId="3F6523F7">
            <w:pPr>
              <w:adjustRightInd w:val="0"/>
              <w:snapToGrid w:val="0"/>
              <w:spacing w:line="360" w:lineRule="auto"/>
              <w:ind w:firstLine="480" w:firstLineChars="200"/>
              <w:rPr>
                <w:bCs/>
                <w:color w:val="auto"/>
                <w:sz w:val="24"/>
                <w:szCs w:val="24"/>
                <w:highlight w:val="none"/>
              </w:rPr>
            </w:pPr>
            <w:r>
              <w:rPr>
                <w:rFonts w:hint="default"/>
                <w:bCs/>
                <w:color w:val="auto"/>
                <w:sz w:val="24"/>
                <w:szCs w:val="24"/>
                <w:highlight w:val="none"/>
              </w:rPr>
              <w:t>根据《排污单位自行监测技术指南总则》</w:t>
            </w:r>
            <w:r>
              <w:rPr>
                <w:rFonts w:hint="default"/>
                <w:bCs/>
                <w:color w:val="auto"/>
                <w:sz w:val="24"/>
                <w:szCs w:val="24"/>
                <w:highlight w:val="none"/>
                <w:lang w:eastAsia="zh-CN"/>
              </w:rPr>
              <w:t>（</w:t>
            </w:r>
            <w:r>
              <w:rPr>
                <w:rFonts w:hint="default"/>
                <w:bCs/>
                <w:color w:val="auto"/>
                <w:sz w:val="24"/>
                <w:szCs w:val="24"/>
                <w:highlight w:val="none"/>
              </w:rPr>
              <w:t>HJ819-2017</w:t>
            </w:r>
            <w:r>
              <w:rPr>
                <w:rFonts w:hint="default"/>
                <w:bCs/>
                <w:color w:val="auto"/>
                <w:sz w:val="24"/>
                <w:szCs w:val="24"/>
                <w:highlight w:val="none"/>
                <w:lang w:eastAsia="zh-CN"/>
              </w:rPr>
              <w:t>）</w:t>
            </w:r>
            <w:r>
              <w:rPr>
                <w:rFonts w:hint="default"/>
                <w:bCs/>
                <w:color w:val="auto"/>
                <w:sz w:val="24"/>
                <w:szCs w:val="24"/>
                <w:highlight w:val="none"/>
              </w:rPr>
              <w:t>中的相关规定开展本项目的自行监测工作。噪声污染源监测点位、监测项目及监测频率见下表。</w:t>
            </w:r>
          </w:p>
          <w:p w14:paraId="7F5E3A55">
            <w:pPr>
              <w:adjustRightInd w:val="0"/>
              <w:snapToGrid w:val="0"/>
              <w:spacing w:line="440" w:lineRule="exact"/>
              <w:ind w:left="0" w:leftChars="0" w:firstLine="0" w:firstLineChars="0"/>
              <w:jc w:val="center"/>
              <w:rPr>
                <w:b/>
                <w:bCs/>
                <w:color w:val="auto"/>
                <w:spacing w:val="-2"/>
                <w:highlight w:val="none"/>
              </w:rPr>
            </w:pPr>
            <w:r>
              <w:rPr>
                <w:b/>
                <w:bCs/>
                <w:color w:val="auto"/>
                <w:spacing w:val="-2"/>
                <w:highlight w:val="none"/>
              </w:rPr>
              <w:t>表4-</w:t>
            </w:r>
            <w:r>
              <w:rPr>
                <w:rFonts w:hint="default"/>
                <w:b/>
                <w:bCs/>
                <w:color w:val="auto"/>
                <w:spacing w:val="-2"/>
                <w:highlight w:val="none"/>
                <w:lang w:val="en-US" w:eastAsia="zh-CN"/>
              </w:rPr>
              <w:t>1</w:t>
            </w:r>
            <w:r>
              <w:rPr>
                <w:rFonts w:hint="eastAsia"/>
                <w:b/>
                <w:bCs/>
                <w:color w:val="auto"/>
                <w:spacing w:val="-2"/>
                <w:highlight w:val="none"/>
                <w:lang w:val="en-US" w:eastAsia="zh-CN"/>
              </w:rPr>
              <w:t>3</w:t>
            </w:r>
            <w:r>
              <w:rPr>
                <w:b/>
                <w:bCs/>
                <w:color w:val="auto"/>
                <w:spacing w:val="-2"/>
                <w:highlight w:val="none"/>
              </w:rPr>
              <w:t>噪声环境监测计划</w:t>
            </w:r>
          </w:p>
          <w:tbl>
            <w:tblPr>
              <w:tblStyle w:val="30"/>
              <w:tblW w:w="0" w:type="auto"/>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929"/>
              <w:gridCol w:w="968"/>
              <w:gridCol w:w="1865"/>
              <w:gridCol w:w="1498"/>
              <w:gridCol w:w="3327"/>
            </w:tblGrid>
            <w:tr w14:paraId="58EEB2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36B0AEF3">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bCs/>
                      <w:color w:val="auto"/>
                      <w:sz w:val="18"/>
                      <w:szCs w:val="21"/>
                      <w:highlight w:val="none"/>
                    </w:rPr>
                    <w:t>序号</w:t>
                  </w:r>
                </w:p>
              </w:tc>
              <w:tc>
                <w:tcPr>
                  <w:tcW w:w="0" w:type="auto"/>
                  <w:vAlign w:val="center"/>
                </w:tcPr>
                <w:p w14:paraId="42921741">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bCs/>
                      <w:color w:val="auto"/>
                      <w:sz w:val="18"/>
                      <w:szCs w:val="21"/>
                      <w:highlight w:val="none"/>
                    </w:rPr>
                    <w:t>监测点位</w:t>
                  </w:r>
                </w:p>
              </w:tc>
              <w:tc>
                <w:tcPr>
                  <w:tcW w:w="0" w:type="auto"/>
                  <w:vAlign w:val="center"/>
                </w:tcPr>
                <w:p w14:paraId="44E779C8">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bCs/>
                      <w:color w:val="auto"/>
                      <w:sz w:val="18"/>
                      <w:szCs w:val="21"/>
                      <w:highlight w:val="none"/>
                    </w:rPr>
                    <w:t>监测项目</w:t>
                  </w:r>
                </w:p>
              </w:tc>
              <w:tc>
                <w:tcPr>
                  <w:tcW w:w="0" w:type="auto"/>
                  <w:vAlign w:val="center"/>
                </w:tcPr>
                <w:p w14:paraId="7AEE96CA">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bCs/>
                      <w:color w:val="auto"/>
                      <w:sz w:val="18"/>
                      <w:szCs w:val="21"/>
                      <w:highlight w:val="none"/>
                    </w:rPr>
                    <w:t>监测时间、频次</w:t>
                  </w:r>
                </w:p>
              </w:tc>
              <w:tc>
                <w:tcPr>
                  <w:tcW w:w="0" w:type="auto"/>
                  <w:vAlign w:val="center"/>
                </w:tcPr>
                <w:p w14:paraId="5D6018D0">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bCs/>
                      <w:color w:val="auto"/>
                      <w:sz w:val="18"/>
                      <w:szCs w:val="21"/>
                      <w:highlight w:val="none"/>
                    </w:rPr>
                    <w:t>监测单位</w:t>
                  </w:r>
                </w:p>
              </w:tc>
              <w:tc>
                <w:tcPr>
                  <w:tcW w:w="0" w:type="auto"/>
                  <w:vAlign w:val="center"/>
                </w:tcPr>
                <w:p w14:paraId="623ABFC0">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bCs/>
                      <w:color w:val="auto"/>
                      <w:sz w:val="18"/>
                      <w:szCs w:val="21"/>
                      <w:highlight w:val="none"/>
                    </w:rPr>
                    <w:t>执行标准</w:t>
                  </w:r>
                </w:p>
              </w:tc>
            </w:tr>
            <w:tr w14:paraId="734EB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14:paraId="134CC336">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bCs/>
                      <w:color w:val="auto"/>
                      <w:sz w:val="18"/>
                      <w:szCs w:val="21"/>
                      <w:highlight w:val="none"/>
                    </w:rPr>
                    <w:t>1</w:t>
                  </w:r>
                </w:p>
              </w:tc>
              <w:tc>
                <w:tcPr>
                  <w:tcW w:w="0" w:type="auto"/>
                  <w:vAlign w:val="center"/>
                </w:tcPr>
                <w:p w14:paraId="70768D59">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bCs/>
                      <w:color w:val="auto"/>
                      <w:sz w:val="18"/>
                      <w:szCs w:val="21"/>
                      <w:highlight w:val="none"/>
                    </w:rPr>
                    <w:t>厂界四周外1m</w:t>
                  </w:r>
                </w:p>
              </w:tc>
              <w:tc>
                <w:tcPr>
                  <w:tcW w:w="0" w:type="auto"/>
                  <w:vAlign w:val="center"/>
                </w:tcPr>
                <w:p w14:paraId="6B26FBB6">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bCs/>
                      <w:color w:val="auto"/>
                      <w:sz w:val="18"/>
                      <w:szCs w:val="21"/>
                      <w:highlight w:val="none"/>
                    </w:rPr>
                    <w:t>连续等效A声级</w:t>
                  </w:r>
                </w:p>
              </w:tc>
              <w:tc>
                <w:tcPr>
                  <w:tcW w:w="0" w:type="auto"/>
                  <w:vAlign w:val="center"/>
                </w:tcPr>
                <w:p w14:paraId="5EC6C9C6">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bCs/>
                      <w:color w:val="auto"/>
                      <w:sz w:val="18"/>
                      <w:szCs w:val="21"/>
                      <w:highlight w:val="none"/>
                    </w:rPr>
                    <w:t>1次</w:t>
                  </w:r>
                  <w:r>
                    <w:rPr>
                      <w:rFonts w:hint="default"/>
                      <w:bCs/>
                      <w:color w:val="auto"/>
                      <w:sz w:val="18"/>
                      <w:szCs w:val="21"/>
                      <w:highlight w:val="none"/>
                    </w:rPr>
                    <w:t>/季</w:t>
                  </w:r>
                  <w:r>
                    <w:rPr>
                      <w:bCs/>
                      <w:color w:val="auto"/>
                      <w:sz w:val="18"/>
                      <w:szCs w:val="21"/>
                      <w:highlight w:val="none"/>
                    </w:rPr>
                    <w:t>，每次昼间</w:t>
                  </w:r>
                  <w:r>
                    <w:rPr>
                      <w:rFonts w:hint="default"/>
                      <w:bCs/>
                      <w:color w:val="auto"/>
                      <w:sz w:val="18"/>
                      <w:szCs w:val="21"/>
                      <w:highlight w:val="none"/>
                    </w:rPr>
                    <w:t>、夜间各</w:t>
                  </w:r>
                  <w:r>
                    <w:rPr>
                      <w:bCs/>
                      <w:color w:val="auto"/>
                      <w:sz w:val="18"/>
                      <w:szCs w:val="21"/>
                      <w:highlight w:val="none"/>
                    </w:rPr>
                    <w:t>监测1次</w:t>
                  </w:r>
                </w:p>
              </w:tc>
              <w:tc>
                <w:tcPr>
                  <w:tcW w:w="0" w:type="auto"/>
                  <w:vAlign w:val="center"/>
                </w:tcPr>
                <w:p w14:paraId="1F0C629C">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bCs/>
                      <w:color w:val="auto"/>
                      <w:sz w:val="18"/>
                      <w:szCs w:val="21"/>
                      <w:highlight w:val="none"/>
                    </w:rPr>
                    <w:t>委托有</w:t>
                  </w:r>
                  <w:r>
                    <w:rPr>
                      <w:rFonts w:hint="default"/>
                      <w:bCs/>
                      <w:color w:val="auto"/>
                      <w:sz w:val="18"/>
                      <w:szCs w:val="21"/>
                      <w:highlight w:val="none"/>
                      <w:lang w:eastAsia="zh-CN"/>
                    </w:rPr>
                    <w:t>资质的第三方</w:t>
                  </w:r>
                  <w:r>
                    <w:rPr>
                      <w:bCs/>
                      <w:color w:val="auto"/>
                      <w:sz w:val="18"/>
                      <w:szCs w:val="21"/>
                      <w:highlight w:val="none"/>
                    </w:rPr>
                    <w:t>单位监测</w:t>
                  </w:r>
                </w:p>
              </w:tc>
              <w:tc>
                <w:tcPr>
                  <w:tcW w:w="0" w:type="auto"/>
                  <w:vAlign w:val="center"/>
                </w:tcPr>
                <w:p w14:paraId="0E061E07">
                  <w:pPr>
                    <w:keepNext w:val="0"/>
                    <w:keepLines w:val="0"/>
                    <w:pageBreakBefore w:val="0"/>
                    <w:widowControl w:val="0"/>
                    <w:kinsoku/>
                    <w:wordWrap/>
                    <w:overflowPunct/>
                    <w:topLinePunct w:val="0"/>
                    <w:autoSpaceDE/>
                    <w:autoSpaceDN/>
                    <w:bidi w:val="0"/>
                    <w:adjustRightInd w:val="0"/>
                    <w:snapToGrid w:val="0"/>
                    <w:spacing w:line="200" w:lineRule="exact"/>
                    <w:jc w:val="center"/>
                    <w:textAlignment w:val="auto"/>
                    <w:rPr>
                      <w:bCs/>
                      <w:color w:val="auto"/>
                      <w:sz w:val="18"/>
                      <w:szCs w:val="21"/>
                      <w:highlight w:val="none"/>
                    </w:rPr>
                  </w:pPr>
                  <w:r>
                    <w:rPr>
                      <w:rFonts w:hint="default"/>
                      <w:bCs/>
                      <w:color w:val="auto"/>
                      <w:sz w:val="18"/>
                      <w:szCs w:val="21"/>
                      <w:highlight w:val="none"/>
                    </w:rPr>
                    <w:t>《工业企业厂界环境噪声排放标准》（GB12348-2008）3类</w:t>
                  </w:r>
                </w:p>
              </w:tc>
            </w:tr>
          </w:tbl>
          <w:p w14:paraId="0A914F98">
            <w:pPr>
              <w:pStyle w:val="64"/>
              <w:ind w:left="0" w:leftChars="0" w:firstLine="0" w:firstLineChars="0"/>
              <w:rPr>
                <w:rFonts w:hint="default" w:ascii="Times New Roman" w:hAnsi="Times New Roman" w:cs="Times New Roman"/>
                <w:color w:val="auto"/>
                <w:highlight w:val="none"/>
              </w:rPr>
            </w:pPr>
            <w:bookmarkStart w:id="30" w:name="_Hlk198136886"/>
            <w:r>
              <w:rPr>
                <w:rFonts w:hint="default" w:cs="Times New Roman"/>
                <w:color w:val="auto"/>
                <w:highlight w:val="none"/>
                <w:lang w:val="en-US" w:eastAsia="zh-CN"/>
              </w:rPr>
              <w:t>四、</w:t>
            </w:r>
            <w:r>
              <w:rPr>
                <w:rFonts w:hint="default" w:ascii="Times New Roman" w:hAnsi="Times New Roman" w:cs="Times New Roman"/>
                <w:color w:val="auto"/>
                <w:highlight w:val="none"/>
              </w:rPr>
              <w:t>固体废物影响分析</w:t>
            </w:r>
          </w:p>
          <w:p w14:paraId="376EDB17">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本项目产生的固废主要包括生活垃圾、一般工业固废和危险废物。</w:t>
            </w:r>
          </w:p>
          <w:p w14:paraId="64D3AED0">
            <w:pPr>
              <w:adjustRightInd w:val="0"/>
              <w:snapToGrid w:val="0"/>
              <w:spacing w:line="360" w:lineRule="auto"/>
              <w:rPr>
                <w:rFonts w:hint="default"/>
                <w:bCs/>
                <w:color w:val="auto"/>
                <w:sz w:val="24"/>
                <w:szCs w:val="24"/>
                <w:highlight w:val="none"/>
              </w:rPr>
            </w:pPr>
            <w:r>
              <w:rPr>
                <w:rFonts w:hint="default"/>
                <w:bCs/>
                <w:color w:val="auto"/>
                <w:sz w:val="24"/>
                <w:szCs w:val="24"/>
                <w:highlight w:val="none"/>
              </w:rPr>
              <w:t>1.生活垃圾</w:t>
            </w:r>
          </w:p>
          <w:p w14:paraId="4A204B11">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本项目劳动定员</w:t>
            </w:r>
            <w:r>
              <w:rPr>
                <w:rFonts w:hint="default"/>
                <w:bCs/>
                <w:color w:val="auto"/>
                <w:sz w:val="24"/>
                <w:szCs w:val="24"/>
                <w:highlight w:val="none"/>
                <w:lang w:val="en-US" w:eastAsia="zh-CN"/>
              </w:rPr>
              <w:t>51</w:t>
            </w:r>
            <w:r>
              <w:rPr>
                <w:rFonts w:hint="default"/>
                <w:bCs/>
                <w:color w:val="auto"/>
                <w:sz w:val="24"/>
                <w:szCs w:val="24"/>
                <w:highlight w:val="none"/>
              </w:rPr>
              <w:t>人，生活垃圾的产生系数按照0.5kg/人d计算，年工作</w:t>
            </w:r>
            <w:r>
              <w:rPr>
                <w:rFonts w:hint="default"/>
                <w:bCs/>
                <w:color w:val="auto"/>
                <w:sz w:val="24"/>
                <w:szCs w:val="24"/>
                <w:highlight w:val="none"/>
                <w:lang w:val="en-US" w:eastAsia="zh-CN"/>
              </w:rPr>
              <w:t>60</w:t>
            </w:r>
            <w:r>
              <w:rPr>
                <w:rFonts w:hint="default"/>
                <w:bCs/>
                <w:color w:val="auto"/>
                <w:sz w:val="24"/>
                <w:szCs w:val="24"/>
                <w:highlight w:val="none"/>
              </w:rPr>
              <w:t>天，则生活垃圾产生量为</w:t>
            </w:r>
            <w:r>
              <w:rPr>
                <w:rFonts w:hint="default"/>
                <w:bCs/>
                <w:color w:val="auto"/>
                <w:sz w:val="24"/>
                <w:szCs w:val="24"/>
                <w:highlight w:val="none"/>
                <w:lang w:val="en-US" w:eastAsia="zh-CN"/>
              </w:rPr>
              <w:t>1.53</w:t>
            </w:r>
            <w:r>
              <w:rPr>
                <w:rFonts w:hint="default"/>
                <w:bCs/>
                <w:color w:val="auto"/>
                <w:sz w:val="24"/>
                <w:szCs w:val="24"/>
                <w:highlight w:val="none"/>
              </w:rPr>
              <w:t>t/a。生活垃圾收集后由环卫部门定期清运。</w:t>
            </w:r>
          </w:p>
          <w:p w14:paraId="59B0D9B4">
            <w:pPr>
              <w:adjustRightInd w:val="0"/>
              <w:snapToGrid w:val="0"/>
              <w:spacing w:line="360" w:lineRule="auto"/>
              <w:rPr>
                <w:rFonts w:hint="default"/>
                <w:bCs/>
                <w:color w:val="auto"/>
                <w:sz w:val="24"/>
                <w:szCs w:val="24"/>
                <w:highlight w:val="none"/>
              </w:rPr>
            </w:pPr>
            <w:r>
              <w:rPr>
                <w:rFonts w:hint="default"/>
                <w:bCs/>
                <w:color w:val="auto"/>
                <w:sz w:val="24"/>
                <w:szCs w:val="24"/>
                <w:highlight w:val="none"/>
              </w:rPr>
              <w:t>2.一般工业固废</w:t>
            </w:r>
          </w:p>
          <w:p w14:paraId="1CF9DAE4">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本项目产生的一般固废主要为生产过程中产生的废包装材料、坏果及果渣、不合格品。</w:t>
            </w:r>
          </w:p>
          <w:p w14:paraId="3A7FA610">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废包装材料：项目原料使用后的包装材料，产生量0.2t/a。</w:t>
            </w:r>
          </w:p>
          <w:p w14:paraId="4E682A9D">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坏果及果渣：项目清洗挑选出的坏果及榨汁产生的果渣，产生量</w:t>
            </w:r>
            <w:r>
              <w:rPr>
                <w:rFonts w:hint="default"/>
                <w:bCs/>
                <w:color w:val="auto"/>
                <w:sz w:val="24"/>
                <w:szCs w:val="24"/>
                <w:highlight w:val="none"/>
                <w:lang w:val="en-US" w:eastAsia="zh-CN"/>
              </w:rPr>
              <w:t>810</w:t>
            </w:r>
            <w:r>
              <w:rPr>
                <w:rFonts w:hint="default"/>
                <w:bCs/>
                <w:color w:val="auto"/>
                <w:sz w:val="24"/>
                <w:szCs w:val="24"/>
                <w:highlight w:val="none"/>
              </w:rPr>
              <w:t>t/a。</w:t>
            </w:r>
          </w:p>
          <w:p w14:paraId="0CA4CBF9">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不合格品：项目灌装封盖后，通过压力检测产生的不合格品，产生量0.6t/a。</w:t>
            </w:r>
          </w:p>
          <w:p w14:paraId="50F59F44">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一般工业固废单独存放，统一收集后选择有资格、有能力的单位进行处置。根据《固体废物分类与代码目录》（生态环境部公告2024年第4号），一般固体废物情况见下表。</w:t>
            </w:r>
          </w:p>
          <w:p w14:paraId="5DC34E7B">
            <w:pPr>
              <w:adjustRightInd w:val="0"/>
              <w:snapToGrid w:val="0"/>
              <w:spacing w:line="440" w:lineRule="exact"/>
              <w:ind w:left="0" w:leftChars="0" w:firstLine="0" w:firstLineChars="0"/>
              <w:jc w:val="center"/>
              <w:rPr>
                <w:rFonts w:hint="default"/>
                <w:bCs/>
                <w:color w:val="auto"/>
                <w:sz w:val="24"/>
                <w:szCs w:val="24"/>
                <w:highlight w:val="none"/>
              </w:rPr>
            </w:pPr>
            <w:r>
              <w:rPr>
                <w:b/>
                <w:bCs/>
                <w:color w:val="auto"/>
                <w:spacing w:val="-2"/>
                <w:highlight w:val="none"/>
              </w:rPr>
              <w:t>表4-</w:t>
            </w:r>
            <w:r>
              <w:rPr>
                <w:rFonts w:hint="default"/>
                <w:b/>
                <w:bCs/>
                <w:color w:val="auto"/>
                <w:spacing w:val="-2"/>
                <w:highlight w:val="none"/>
                <w:lang w:val="en-US" w:eastAsia="zh-CN"/>
              </w:rPr>
              <w:t>1</w:t>
            </w:r>
            <w:r>
              <w:rPr>
                <w:rFonts w:hint="eastAsia"/>
                <w:b/>
                <w:bCs/>
                <w:color w:val="auto"/>
                <w:spacing w:val="-2"/>
                <w:highlight w:val="none"/>
                <w:lang w:val="en-US" w:eastAsia="zh-CN"/>
              </w:rPr>
              <w:t>4</w:t>
            </w:r>
            <w:r>
              <w:rPr>
                <w:rFonts w:hint="default"/>
                <w:b/>
                <w:bCs/>
                <w:color w:val="auto"/>
                <w:spacing w:val="-2"/>
                <w:highlight w:val="none"/>
                <w:lang w:val="en-US" w:eastAsia="zh-CN"/>
              </w:rPr>
              <w:t>一般固体废物处理</w:t>
            </w:r>
            <w:r>
              <w:rPr>
                <w:b/>
                <w:bCs/>
                <w:color w:val="auto"/>
                <w:spacing w:val="-2"/>
                <w:highlight w:val="none"/>
              </w:rPr>
              <w:t>计划</w:t>
            </w:r>
          </w:p>
          <w:tbl>
            <w:tblPr>
              <w:tblStyle w:val="118"/>
              <w:tblW w:w="4998"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225"/>
              <w:gridCol w:w="1327"/>
              <w:gridCol w:w="1102"/>
              <w:gridCol w:w="1923"/>
              <w:gridCol w:w="1131"/>
              <w:gridCol w:w="1565"/>
              <w:gridCol w:w="1798"/>
            </w:tblGrid>
            <w:tr w14:paraId="4E48392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4" w:type="pct"/>
                  <w:textDirection w:val="tbRlV"/>
                  <w:vAlign w:val="center"/>
                </w:tcPr>
                <w:p w14:paraId="26D43790">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9"/>
                      <w:sz w:val="20"/>
                      <w:szCs w:val="20"/>
                      <w:highlight w:val="none"/>
                    </w:rPr>
                    <w:t>序号</w:t>
                  </w:r>
                </w:p>
              </w:tc>
              <w:tc>
                <w:tcPr>
                  <w:tcW w:w="731" w:type="pct"/>
                  <w:vAlign w:val="center"/>
                </w:tcPr>
                <w:p w14:paraId="6D017F24">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7"/>
                      <w:sz w:val="20"/>
                      <w:szCs w:val="20"/>
                      <w:highlight w:val="none"/>
                    </w:rPr>
                    <w:t>一般固废名</w:t>
                  </w:r>
                  <w:r>
                    <w:rPr>
                      <w:color w:val="auto"/>
                      <w:spacing w:val="1"/>
                      <w:sz w:val="20"/>
                      <w:szCs w:val="20"/>
                      <w:highlight w:val="none"/>
                    </w:rPr>
                    <w:t>称</w:t>
                  </w:r>
                </w:p>
              </w:tc>
              <w:tc>
                <w:tcPr>
                  <w:tcW w:w="607" w:type="pct"/>
                  <w:vAlign w:val="center"/>
                </w:tcPr>
                <w:p w14:paraId="71327115">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7"/>
                      <w:sz w:val="20"/>
                      <w:szCs w:val="20"/>
                      <w:highlight w:val="none"/>
                    </w:rPr>
                    <w:t>产污环节</w:t>
                  </w:r>
                </w:p>
              </w:tc>
              <w:tc>
                <w:tcPr>
                  <w:tcW w:w="1059" w:type="pct"/>
                  <w:vAlign w:val="center"/>
                </w:tcPr>
                <w:p w14:paraId="5C70A95C">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7"/>
                      <w:sz w:val="20"/>
                      <w:szCs w:val="20"/>
                      <w:highlight w:val="none"/>
                    </w:rPr>
                    <w:t>废物种类</w:t>
                  </w:r>
                </w:p>
              </w:tc>
              <w:tc>
                <w:tcPr>
                  <w:tcW w:w="623" w:type="pct"/>
                  <w:vAlign w:val="center"/>
                </w:tcPr>
                <w:p w14:paraId="38F3EB3A">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7"/>
                      <w:sz w:val="20"/>
                      <w:szCs w:val="20"/>
                      <w:highlight w:val="none"/>
                    </w:rPr>
                    <w:t>废物代码</w:t>
                  </w:r>
                </w:p>
              </w:tc>
              <w:tc>
                <w:tcPr>
                  <w:tcW w:w="862" w:type="pct"/>
                  <w:vAlign w:val="center"/>
                </w:tcPr>
                <w:p w14:paraId="0B78E73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产生量</w:t>
                  </w:r>
                  <w:r>
                    <w:rPr>
                      <w:color w:val="auto"/>
                      <w:spacing w:val="1"/>
                      <w:sz w:val="20"/>
                      <w:szCs w:val="20"/>
                      <w:highlight w:val="none"/>
                    </w:rPr>
                    <w:t>（吨</w:t>
                  </w:r>
                  <w:r>
                    <w:rPr>
                      <w:rFonts w:ascii="Times New Roman" w:hAnsi="Times New Roman" w:eastAsia="Times New Roman" w:cs="Times New Roman"/>
                      <w:color w:val="auto"/>
                      <w:spacing w:val="1"/>
                      <w:sz w:val="20"/>
                      <w:szCs w:val="20"/>
                      <w:highlight w:val="none"/>
                    </w:rPr>
                    <w:t>/</w:t>
                  </w:r>
                  <w:r>
                    <w:rPr>
                      <w:color w:val="auto"/>
                      <w:spacing w:val="1"/>
                      <w:sz w:val="20"/>
                      <w:szCs w:val="20"/>
                      <w:highlight w:val="none"/>
                    </w:rPr>
                    <w:t>年）</w:t>
                  </w:r>
                </w:p>
              </w:tc>
              <w:tc>
                <w:tcPr>
                  <w:tcW w:w="990" w:type="pct"/>
                  <w:vAlign w:val="center"/>
                </w:tcPr>
                <w:p w14:paraId="5D89F75C">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污染防治</w:t>
                  </w:r>
                  <w:r>
                    <w:rPr>
                      <w:color w:val="auto"/>
                      <w:spacing w:val="4"/>
                      <w:sz w:val="20"/>
                      <w:szCs w:val="20"/>
                      <w:highlight w:val="none"/>
                    </w:rPr>
                    <w:t>措施</w:t>
                  </w:r>
                </w:p>
              </w:tc>
            </w:tr>
            <w:tr w14:paraId="5C01899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4" w:type="pct"/>
                  <w:vAlign w:val="center"/>
                </w:tcPr>
                <w:p w14:paraId="1E16A3B0">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position w:val="1"/>
                      <w:sz w:val="20"/>
                      <w:szCs w:val="20"/>
                      <w:highlight w:val="none"/>
                    </w:rPr>
                    <w:t>1</w:t>
                  </w:r>
                </w:p>
              </w:tc>
              <w:tc>
                <w:tcPr>
                  <w:tcW w:w="731" w:type="pct"/>
                  <w:vAlign w:val="center"/>
                </w:tcPr>
                <w:p w14:paraId="148B9CAE">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8"/>
                      <w:sz w:val="20"/>
                      <w:szCs w:val="20"/>
                      <w:highlight w:val="none"/>
                    </w:rPr>
                    <w:t>废包装材料</w:t>
                  </w:r>
                </w:p>
              </w:tc>
              <w:tc>
                <w:tcPr>
                  <w:tcW w:w="607" w:type="pct"/>
                  <w:vAlign w:val="center"/>
                </w:tcPr>
                <w:p w14:paraId="16E9E898">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原料包装</w:t>
                  </w:r>
                </w:p>
              </w:tc>
              <w:tc>
                <w:tcPr>
                  <w:tcW w:w="1059" w:type="pct"/>
                  <w:vAlign w:val="center"/>
                </w:tcPr>
                <w:p w14:paraId="688E5793">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position w:val="2"/>
                      <w:sz w:val="20"/>
                      <w:szCs w:val="20"/>
                      <w:highlight w:val="none"/>
                    </w:rPr>
                    <w:t>SW</w:t>
                  </w:r>
                  <w:r>
                    <w:rPr>
                      <w:rFonts w:ascii="Times New Roman" w:hAnsi="Times New Roman" w:eastAsia="Times New Roman" w:cs="Times New Roman"/>
                      <w:color w:val="auto"/>
                      <w:spacing w:val="4"/>
                      <w:position w:val="2"/>
                      <w:sz w:val="20"/>
                      <w:szCs w:val="20"/>
                      <w:highlight w:val="none"/>
                    </w:rPr>
                    <w:t>17</w:t>
                  </w:r>
                  <w:r>
                    <w:rPr>
                      <w:color w:val="auto"/>
                      <w:spacing w:val="7"/>
                      <w:sz w:val="20"/>
                      <w:szCs w:val="20"/>
                      <w:highlight w:val="none"/>
                    </w:rPr>
                    <w:t>可再生类废物</w:t>
                  </w:r>
                </w:p>
              </w:tc>
              <w:tc>
                <w:tcPr>
                  <w:tcW w:w="623" w:type="pct"/>
                  <w:vAlign w:val="center"/>
                </w:tcPr>
                <w:p w14:paraId="71977F14">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1"/>
                      <w:position w:val="2"/>
                      <w:sz w:val="20"/>
                      <w:szCs w:val="20"/>
                      <w:highlight w:val="none"/>
                    </w:rPr>
                    <w:t>900-003-S17</w:t>
                  </w:r>
                </w:p>
              </w:tc>
              <w:tc>
                <w:tcPr>
                  <w:tcW w:w="862" w:type="pct"/>
                  <w:vAlign w:val="center"/>
                </w:tcPr>
                <w:p w14:paraId="2F6CE79A">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1"/>
                      <w:position w:val="2"/>
                      <w:sz w:val="20"/>
                      <w:szCs w:val="20"/>
                      <w:highlight w:val="none"/>
                    </w:rPr>
                    <w:t>0.2</w:t>
                  </w:r>
                </w:p>
              </w:tc>
              <w:tc>
                <w:tcPr>
                  <w:tcW w:w="990" w:type="pct"/>
                  <w:vMerge w:val="restart"/>
                  <w:vAlign w:val="center"/>
                </w:tcPr>
                <w:p w14:paraId="6253A21A">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暂存于固</w:t>
                  </w:r>
                  <w:r>
                    <w:rPr>
                      <w:color w:val="auto"/>
                      <w:spacing w:val="8"/>
                      <w:sz w:val="20"/>
                      <w:szCs w:val="20"/>
                      <w:highlight w:val="none"/>
                    </w:rPr>
                    <w:t>废间，统</w:t>
                  </w:r>
                </w:p>
                <w:p w14:paraId="5490C893">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6"/>
                      <w:sz w:val="20"/>
                      <w:szCs w:val="20"/>
                      <w:highlight w:val="none"/>
                    </w:rPr>
                    <w:t>一收集后</w:t>
                  </w:r>
                  <w:r>
                    <w:rPr>
                      <w:color w:val="auto"/>
                      <w:spacing w:val="7"/>
                      <w:sz w:val="20"/>
                      <w:szCs w:val="20"/>
                      <w:highlight w:val="none"/>
                    </w:rPr>
                    <w:t>选择有资</w:t>
                  </w:r>
                </w:p>
                <w:p w14:paraId="7A7ABFFF">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7"/>
                      <w:sz w:val="20"/>
                      <w:szCs w:val="20"/>
                      <w:highlight w:val="none"/>
                    </w:rPr>
                    <w:t>格、有能</w:t>
                  </w:r>
                  <w:r>
                    <w:rPr>
                      <w:color w:val="auto"/>
                      <w:spacing w:val="6"/>
                      <w:sz w:val="20"/>
                      <w:szCs w:val="20"/>
                      <w:highlight w:val="none"/>
                    </w:rPr>
                    <w:t>力的单位</w:t>
                  </w:r>
                </w:p>
                <w:p w14:paraId="15925582">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z w:val="20"/>
                      <w:szCs w:val="20"/>
                      <w:highlight w:val="none"/>
                    </w:rPr>
                  </w:pPr>
                  <w:r>
                    <w:rPr>
                      <w:color w:val="auto"/>
                      <w:spacing w:val="7"/>
                      <w:sz w:val="20"/>
                      <w:szCs w:val="20"/>
                      <w:highlight w:val="none"/>
                    </w:rPr>
                    <w:t>进行处置</w:t>
                  </w:r>
                </w:p>
              </w:tc>
            </w:tr>
            <w:tr w14:paraId="699CC93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4" w:type="pct"/>
                  <w:vAlign w:val="center"/>
                </w:tcPr>
                <w:p w14:paraId="5166A7DC">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default" w:ascii="Times New Roman" w:hAnsi="Times New Roman" w:eastAsia="宋体" w:cs="Times New Roman"/>
                      <w:color w:val="auto"/>
                      <w:position w:val="1"/>
                      <w:sz w:val="20"/>
                      <w:szCs w:val="20"/>
                      <w:highlight w:val="none"/>
                      <w:lang w:val="en-US" w:eastAsia="zh-CN"/>
                    </w:rPr>
                  </w:pPr>
                  <w:r>
                    <w:rPr>
                      <w:rFonts w:hint="default" w:ascii="Times New Roman" w:hAnsi="Times New Roman" w:eastAsia="宋体" w:cs="Times New Roman"/>
                      <w:color w:val="auto"/>
                      <w:position w:val="1"/>
                      <w:sz w:val="20"/>
                      <w:szCs w:val="20"/>
                      <w:highlight w:val="none"/>
                      <w:lang w:val="en-US" w:eastAsia="zh-CN"/>
                    </w:rPr>
                    <w:t>2</w:t>
                  </w:r>
                </w:p>
              </w:tc>
              <w:tc>
                <w:tcPr>
                  <w:tcW w:w="731" w:type="pct"/>
                  <w:vAlign w:val="center"/>
                </w:tcPr>
                <w:p w14:paraId="065275B0">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color w:val="auto"/>
                      <w:spacing w:val="8"/>
                      <w:sz w:val="20"/>
                      <w:szCs w:val="20"/>
                      <w:highlight w:val="none"/>
                    </w:rPr>
                  </w:pPr>
                  <w:r>
                    <w:rPr>
                      <w:color w:val="auto"/>
                      <w:spacing w:val="6"/>
                      <w:sz w:val="20"/>
                      <w:szCs w:val="20"/>
                      <w:highlight w:val="none"/>
                    </w:rPr>
                    <w:t>不合格品</w:t>
                  </w:r>
                </w:p>
              </w:tc>
              <w:tc>
                <w:tcPr>
                  <w:tcW w:w="607" w:type="pct"/>
                  <w:vAlign w:val="center"/>
                </w:tcPr>
                <w:p w14:paraId="6FBA9467">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color w:val="auto"/>
                      <w:spacing w:val="6"/>
                      <w:sz w:val="20"/>
                      <w:szCs w:val="20"/>
                      <w:highlight w:val="none"/>
                    </w:rPr>
                  </w:pPr>
                  <w:r>
                    <w:rPr>
                      <w:color w:val="auto"/>
                      <w:spacing w:val="4"/>
                      <w:sz w:val="20"/>
                      <w:szCs w:val="20"/>
                      <w:highlight w:val="none"/>
                    </w:rPr>
                    <w:t>质检</w:t>
                  </w:r>
                </w:p>
              </w:tc>
              <w:tc>
                <w:tcPr>
                  <w:tcW w:w="1059" w:type="pct"/>
                  <w:vAlign w:val="center"/>
                </w:tcPr>
                <w:p w14:paraId="36025058">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position w:val="1"/>
                      <w:sz w:val="20"/>
                      <w:szCs w:val="20"/>
                      <w:highlight w:val="none"/>
                    </w:rPr>
                    <w:t>SW</w:t>
                  </w:r>
                  <w:r>
                    <w:rPr>
                      <w:rFonts w:ascii="Times New Roman" w:hAnsi="Times New Roman" w:eastAsia="Times New Roman" w:cs="Times New Roman"/>
                      <w:color w:val="auto"/>
                      <w:spacing w:val="4"/>
                      <w:position w:val="1"/>
                      <w:sz w:val="20"/>
                      <w:szCs w:val="20"/>
                      <w:highlight w:val="none"/>
                    </w:rPr>
                    <w:t>13</w:t>
                  </w:r>
                </w:p>
                <w:p w14:paraId="3BD5F8F5">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ascii="Times New Roman" w:hAnsi="Times New Roman" w:eastAsia="Times New Roman" w:cs="Times New Roman"/>
                      <w:color w:val="auto"/>
                      <w:position w:val="2"/>
                      <w:sz w:val="20"/>
                      <w:szCs w:val="20"/>
                      <w:highlight w:val="none"/>
                    </w:rPr>
                  </w:pPr>
                  <w:r>
                    <w:rPr>
                      <w:color w:val="auto"/>
                      <w:spacing w:val="7"/>
                      <w:sz w:val="20"/>
                      <w:szCs w:val="20"/>
                      <w:highlight w:val="none"/>
                    </w:rPr>
                    <w:t>食品残渣</w:t>
                  </w:r>
                </w:p>
              </w:tc>
              <w:tc>
                <w:tcPr>
                  <w:tcW w:w="623" w:type="pct"/>
                  <w:vAlign w:val="center"/>
                </w:tcPr>
                <w:p w14:paraId="5133DB1C">
                  <w:pPr>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ascii="Times New Roman" w:hAnsi="Times New Roman" w:eastAsia="Times New Roman" w:cs="Times New Roman"/>
                      <w:color w:val="auto"/>
                      <w:spacing w:val="1"/>
                      <w:position w:val="2"/>
                      <w:sz w:val="20"/>
                      <w:szCs w:val="20"/>
                      <w:highlight w:val="none"/>
                    </w:rPr>
                  </w:pPr>
                  <w:r>
                    <w:rPr>
                      <w:rFonts w:ascii="Times New Roman" w:hAnsi="Times New Roman" w:eastAsia="Times New Roman" w:cs="Times New Roman"/>
                      <w:color w:val="auto"/>
                      <w:position w:val="2"/>
                      <w:sz w:val="20"/>
                      <w:szCs w:val="20"/>
                      <w:highlight w:val="none"/>
                    </w:rPr>
                    <w:t>152-001-S13</w:t>
                  </w:r>
                </w:p>
              </w:tc>
              <w:tc>
                <w:tcPr>
                  <w:tcW w:w="862" w:type="pct"/>
                  <w:vAlign w:val="center"/>
                </w:tcPr>
                <w:p w14:paraId="3FF19D3F">
                  <w:pPr>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ascii="Times New Roman" w:hAnsi="Times New Roman" w:eastAsia="Times New Roman" w:cs="Times New Roman"/>
                      <w:color w:val="auto"/>
                      <w:spacing w:val="1"/>
                      <w:position w:val="2"/>
                      <w:sz w:val="20"/>
                      <w:szCs w:val="20"/>
                      <w:highlight w:val="none"/>
                    </w:rPr>
                  </w:pPr>
                  <w:r>
                    <w:rPr>
                      <w:rFonts w:ascii="Times New Roman" w:hAnsi="Times New Roman" w:eastAsia="Times New Roman" w:cs="Times New Roman"/>
                      <w:color w:val="auto"/>
                      <w:spacing w:val="1"/>
                      <w:position w:val="2"/>
                      <w:sz w:val="20"/>
                      <w:szCs w:val="20"/>
                      <w:highlight w:val="none"/>
                    </w:rPr>
                    <w:t>0.6</w:t>
                  </w:r>
                </w:p>
              </w:tc>
              <w:tc>
                <w:tcPr>
                  <w:tcW w:w="990" w:type="pct"/>
                  <w:vMerge w:val="continue"/>
                  <w:vAlign w:val="center"/>
                </w:tcPr>
                <w:p w14:paraId="708EA263">
                  <w:pPr>
                    <w:pStyle w:val="119"/>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color w:val="auto"/>
                      <w:spacing w:val="7"/>
                      <w:sz w:val="20"/>
                      <w:szCs w:val="20"/>
                      <w:highlight w:val="none"/>
                    </w:rPr>
                  </w:pPr>
                </w:p>
              </w:tc>
            </w:tr>
            <w:tr w14:paraId="1D2C181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4" w:type="pct"/>
                  <w:vAlign w:val="center"/>
                </w:tcPr>
                <w:p w14:paraId="047F4990">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hint="default" w:ascii="Times New Roman" w:hAnsi="Times New Roman" w:eastAsia="宋体" w:cs="Times New Roman"/>
                      <w:color w:val="auto"/>
                      <w:position w:val="1"/>
                      <w:sz w:val="20"/>
                      <w:szCs w:val="20"/>
                      <w:highlight w:val="none"/>
                      <w:lang w:val="en-US" w:eastAsia="zh-CN"/>
                    </w:rPr>
                  </w:pPr>
                  <w:r>
                    <w:rPr>
                      <w:rFonts w:hint="default" w:ascii="Times New Roman" w:hAnsi="Times New Roman" w:eastAsia="宋体" w:cs="Times New Roman"/>
                      <w:color w:val="auto"/>
                      <w:position w:val="1"/>
                      <w:sz w:val="20"/>
                      <w:szCs w:val="20"/>
                      <w:highlight w:val="none"/>
                      <w:lang w:val="en-US" w:eastAsia="zh-CN"/>
                    </w:rPr>
                    <w:t>3</w:t>
                  </w:r>
                </w:p>
              </w:tc>
              <w:tc>
                <w:tcPr>
                  <w:tcW w:w="731" w:type="pct"/>
                  <w:vAlign w:val="center"/>
                </w:tcPr>
                <w:p w14:paraId="7E231D8A">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color w:val="auto"/>
                      <w:spacing w:val="8"/>
                      <w:sz w:val="20"/>
                      <w:szCs w:val="20"/>
                      <w:highlight w:val="none"/>
                    </w:rPr>
                  </w:pPr>
                  <w:r>
                    <w:rPr>
                      <w:color w:val="auto"/>
                      <w:spacing w:val="8"/>
                      <w:sz w:val="20"/>
                      <w:szCs w:val="20"/>
                      <w:highlight w:val="none"/>
                    </w:rPr>
                    <w:t>坏果及果渣</w:t>
                  </w:r>
                </w:p>
              </w:tc>
              <w:tc>
                <w:tcPr>
                  <w:tcW w:w="607" w:type="pct"/>
                  <w:vAlign w:val="center"/>
                </w:tcPr>
                <w:p w14:paraId="2E99DEF5">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rPr>
                      <w:color w:val="auto"/>
                      <w:spacing w:val="6"/>
                      <w:sz w:val="20"/>
                      <w:szCs w:val="20"/>
                      <w:highlight w:val="none"/>
                    </w:rPr>
                  </w:pPr>
                  <w:r>
                    <w:rPr>
                      <w:color w:val="auto"/>
                      <w:spacing w:val="7"/>
                      <w:sz w:val="20"/>
                      <w:szCs w:val="20"/>
                      <w:highlight w:val="none"/>
                    </w:rPr>
                    <w:t>挑选、榨</w:t>
                  </w:r>
                  <w:r>
                    <w:rPr>
                      <w:color w:val="auto"/>
                      <w:sz w:val="20"/>
                      <w:szCs w:val="20"/>
                      <w:highlight w:val="none"/>
                    </w:rPr>
                    <w:t>汁</w:t>
                  </w:r>
                </w:p>
              </w:tc>
              <w:tc>
                <w:tcPr>
                  <w:tcW w:w="1059" w:type="pct"/>
                  <w:vAlign w:val="center"/>
                </w:tcPr>
                <w:p w14:paraId="76EA29F7">
                  <w:pPr>
                    <w:keepNext w:val="0"/>
                    <w:keepLines w:val="0"/>
                    <w:pageBreakBefore w:val="0"/>
                    <w:widowControl w:val="0"/>
                    <w:kinsoku/>
                    <w:wordWrap/>
                    <w:overflowPunct/>
                    <w:topLinePunct w:val="0"/>
                    <w:autoSpaceDE/>
                    <w:autoSpaceDN/>
                    <w:bidi w:val="0"/>
                    <w:adjustRightInd/>
                    <w:snapToGrid/>
                    <w:spacing w:line="200" w:lineRule="exact"/>
                    <w:ind w:left="0" w:right="0" w:firstLine="0"/>
                    <w:jc w:val="center"/>
                    <w:textAlignment w:val="auto"/>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position w:val="2"/>
                      <w:sz w:val="20"/>
                      <w:szCs w:val="20"/>
                      <w:highlight w:val="none"/>
                    </w:rPr>
                    <w:t>SW</w:t>
                  </w:r>
                  <w:r>
                    <w:rPr>
                      <w:rFonts w:ascii="Times New Roman" w:hAnsi="Times New Roman" w:eastAsia="Times New Roman" w:cs="Times New Roman"/>
                      <w:color w:val="auto"/>
                      <w:spacing w:val="4"/>
                      <w:position w:val="2"/>
                      <w:sz w:val="20"/>
                      <w:szCs w:val="20"/>
                      <w:highlight w:val="none"/>
                    </w:rPr>
                    <w:t>13</w:t>
                  </w:r>
                </w:p>
                <w:p w14:paraId="65FFC981">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ascii="Times New Roman" w:hAnsi="Times New Roman" w:eastAsia="Times New Roman" w:cs="Times New Roman"/>
                      <w:color w:val="auto"/>
                      <w:position w:val="2"/>
                      <w:sz w:val="20"/>
                      <w:szCs w:val="20"/>
                      <w:highlight w:val="none"/>
                    </w:rPr>
                  </w:pPr>
                  <w:r>
                    <w:rPr>
                      <w:color w:val="auto"/>
                      <w:spacing w:val="7"/>
                      <w:sz w:val="20"/>
                      <w:szCs w:val="20"/>
                      <w:highlight w:val="none"/>
                    </w:rPr>
                    <w:t>食品残渣</w:t>
                  </w:r>
                </w:p>
              </w:tc>
              <w:tc>
                <w:tcPr>
                  <w:tcW w:w="623" w:type="pct"/>
                  <w:vAlign w:val="center"/>
                </w:tcPr>
                <w:p w14:paraId="1516E40A">
                  <w:pPr>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ascii="Times New Roman" w:hAnsi="Times New Roman" w:eastAsia="Times New Roman" w:cs="Times New Roman"/>
                      <w:color w:val="auto"/>
                      <w:spacing w:val="1"/>
                      <w:position w:val="2"/>
                      <w:sz w:val="20"/>
                      <w:szCs w:val="20"/>
                      <w:highlight w:val="none"/>
                    </w:rPr>
                  </w:pPr>
                  <w:r>
                    <w:rPr>
                      <w:rFonts w:ascii="Times New Roman" w:hAnsi="Times New Roman" w:eastAsia="Times New Roman" w:cs="Times New Roman"/>
                      <w:color w:val="auto"/>
                      <w:position w:val="2"/>
                      <w:sz w:val="20"/>
                      <w:szCs w:val="20"/>
                      <w:highlight w:val="none"/>
                    </w:rPr>
                    <w:t>152-001-S13</w:t>
                  </w:r>
                </w:p>
              </w:tc>
              <w:tc>
                <w:tcPr>
                  <w:tcW w:w="862" w:type="pct"/>
                  <w:vAlign w:val="center"/>
                </w:tcPr>
                <w:p w14:paraId="6041E7A3">
                  <w:pPr>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rFonts w:hint="default" w:ascii="Times New Roman" w:hAnsi="Times New Roman" w:eastAsia="宋体" w:cs="Times New Roman"/>
                      <w:color w:val="auto"/>
                      <w:spacing w:val="1"/>
                      <w:position w:val="2"/>
                      <w:sz w:val="20"/>
                      <w:szCs w:val="20"/>
                      <w:highlight w:val="none"/>
                      <w:lang w:val="en-US" w:eastAsia="zh-CN"/>
                    </w:rPr>
                  </w:pPr>
                  <w:r>
                    <w:rPr>
                      <w:rFonts w:hint="default" w:eastAsia="宋体" w:cs="Times New Roman"/>
                      <w:color w:val="auto"/>
                      <w:spacing w:val="4"/>
                      <w:position w:val="2"/>
                      <w:sz w:val="20"/>
                      <w:szCs w:val="20"/>
                      <w:highlight w:val="none"/>
                      <w:lang w:val="en-US" w:eastAsia="zh-CN"/>
                    </w:rPr>
                    <w:t>810</w:t>
                  </w:r>
                </w:p>
              </w:tc>
              <w:tc>
                <w:tcPr>
                  <w:tcW w:w="990" w:type="pct"/>
                  <w:vAlign w:val="center"/>
                </w:tcPr>
                <w:p w14:paraId="4B4C3702">
                  <w:pPr>
                    <w:pStyle w:val="119"/>
                    <w:keepNext w:val="0"/>
                    <w:keepLines w:val="0"/>
                    <w:pageBreakBefore w:val="0"/>
                    <w:widowControl w:val="0"/>
                    <w:kinsoku/>
                    <w:wordWrap/>
                    <w:overflowPunct/>
                    <w:topLinePunct w:val="0"/>
                    <w:autoSpaceDE/>
                    <w:autoSpaceDN/>
                    <w:bidi w:val="0"/>
                    <w:adjustRightInd/>
                    <w:snapToGrid/>
                    <w:spacing w:line="200" w:lineRule="exact"/>
                    <w:ind w:left="0" w:leftChars="0" w:right="0" w:firstLine="0"/>
                    <w:jc w:val="center"/>
                    <w:textAlignment w:val="auto"/>
                    <w:rPr>
                      <w:color w:val="auto"/>
                      <w:spacing w:val="7"/>
                      <w:sz w:val="20"/>
                      <w:szCs w:val="20"/>
                      <w:highlight w:val="none"/>
                    </w:rPr>
                  </w:pPr>
                  <w:r>
                    <w:rPr>
                      <w:color w:val="auto"/>
                      <w:spacing w:val="-2"/>
                      <w:sz w:val="20"/>
                      <w:szCs w:val="20"/>
                      <w:highlight w:val="none"/>
                    </w:rPr>
                    <w:t>日产日清</w:t>
                  </w:r>
                </w:p>
              </w:tc>
            </w:tr>
          </w:tbl>
          <w:p w14:paraId="571A4124">
            <w:pPr>
              <w:pStyle w:val="13"/>
              <w:adjustRightInd w:val="0"/>
              <w:snapToGrid w:val="0"/>
              <w:spacing w:line="360" w:lineRule="auto"/>
              <w:ind w:firstLine="480" w:firstLineChars="20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项目产生的一般工业固废分类收集，存储于</w:t>
            </w:r>
            <w:r>
              <w:rPr>
                <w:rFonts w:hint="eastAsia" w:ascii="Times New Roman" w:hAnsi="Times New Roman" w:cs="Times New Roman"/>
                <w:color w:val="auto"/>
                <w:highlight w:val="none"/>
                <w:lang w:val="en-US" w:eastAsia="zh-CN"/>
              </w:rPr>
              <w:t>果渣仓</w:t>
            </w:r>
            <w:r>
              <w:rPr>
                <w:rFonts w:hint="default" w:ascii="Times New Roman" w:hAnsi="Times New Roman" w:cs="Times New Roman"/>
                <w:color w:val="auto"/>
                <w:highlight w:val="none"/>
              </w:rPr>
              <w:t>。项目一般固废存储周期不超过一个月，项目一般固废间占地面积为</w:t>
            </w:r>
            <w:r>
              <w:rPr>
                <w:rFonts w:hint="default" w:ascii="Times New Roman" w:hAnsi="Times New Roman" w:cs="Times New Roman"/>
                <w:color w:val="auto"/>
                <w:highlight w:val="none"/>
                <w:lang w:val="en-US" w:eastAsia="zh-CN"/>
              </w:rPr>
              <w:t>5</w:t>
            </w:r>
            <w:r>
              <w:rPr>
                <w:rFonts w:hint="eastAsia" w:ascii="Times New Roman" w:hAnsi="Times New Roman" w:cs="Times New Roman"/>
                <w:color w:val="auto"/>
                <w:highlight w:val="none"/>
                <w:lang w:eastAsia="zh-CN"/>
              </w:rPr>
              <w:t>m²</w:t>
            </w:r>
            <w:r>
              <w:rPr>
                <w:rFonts w:hint="default" w:ascii="Times New Roman" w:hAnsi="Times New Roman" w:cs="Times New Roman"/>
                <w:color w:val="auto"/>
                <w:highlight w:val="none"/>
              </w:rPr>
              <w:t>，贮存能力不低于</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t，现有项目一般固废最大贮存量为</w:t>
            </w:r>
            <w:r>
              <w:rPr>
                <w:rFonts w:hint="default" w:ascii="Times New Roman" w:hAnsi="Times New Roman" w:cs="Times New Roman"/>
                <w:color w:val="auto"/>
                <w:highlight w:val="none"/>
                <w:lang w:val="en-US" w:eastAsia="zh-CN"/>
              </w:rPr>
              <w:t>0.8</w:t>
            </w:r>
            <w:r>
              <w:rPr>
                <w:rFonts w:hint="default" w:ascii="Times New Roman" w:hAnsi="Times New Roman" w:cs="Times New Roman"/>
                <w:color w:val="auto"/>
                <w:highlight w:val="none"/>
              </w:rPr>
              <w:t>t，余量</w:t>
            </w:r>
            <w:r>
              <w:rPr>
                <w:rFonts w:hint="default" w:ascii="Times New Roman" w:hAnsi="Times New Roman" w:cs="Times New Roman"/>
                <w:color w:val="auto"/>
                <w:highlight w:val="none"/>
                <w:lang w:val="en-US" w:eastAsia="zh-CN"/>
              </w:rPr>
              <w:t>4.2</w:t>
            </w:r>
            <w:r>
              <w:rPr>
                <w:rFonts w:hint="default" w:ascii="Times New Roman" w:hAnsi="Times New Roman" w:cs="Times New Roman"/>
                <w:color w:val="auto"/>
                <w:highlight w:val="none"/>
              </w:rPr>
              <w:t>t，可满足拟建项目固</w:t>
            </w:r>
            <w:r>
              <w:rPr>
                <w:rFonts w:hint="default" w:ascii="Times New Roman" w:hAnsi="Times New Roman" w:cs="Times New Roman"/>
                <w:color w:val="auto"/>
                <w:highlight w:val="none"/>
                <w:lang w:eastAsia="zh-CN"/>
              </w:rPr>
              <w:t>废存</w:t>
            </w:r>
            <w:r>
              <w:rPr>
                <w:rFonts w:hint="default" w:ascii="Times New Roman" w:hAnsi="Times New Roman" w:cs="Times New Roman"/>
                <w:color w:val="auto"/>
                <w:highlight w:val="none"/>
              </w:rPr>
              <w:t>储需求。一般固废暂存区地面采取防渗措施，满足《中华人民共和国生态环境法典》（中华人民共和国主席令（第七十号））及《一般工业固体废物管理台账制定指南</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试行</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》（公告2021年第82号）要求。</w:t>
            </w:r>
          </w:p>
          <w:p w14:paraId="17620A83">
            <w:pPr>
              <w:pStyle w:val="13"/>
              <w:adjustRightInd w:val="0"/>
              <w:snapToGrid w:val="0"/>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3.危险废物</w:t>
            </w:r>
          </w:p>
          <w:p w14:paraId="3AD0EF69">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根据《国家危险废物名录（202</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年）》，本项目产生的危险废物主要为废试剂瓶、实验废物、废清洗剂包装。</w:t>
            </w:r>
          </w:p>
          <w:p w14:paraId="39C753DA">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废试剂瓶（HW49</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900-41-49）：项目试验试剂使用后的废包装，产生量为0.005t/a。</w:t>
            </w:r>
          </w:p>
          <w:p w14:paraId="4DB8417C">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实验废物（HW49</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900-47-49）：项目实验及研发过程中产生的废培养基、废液等，产生量约为0.15t/a。</w:t>
            </w:r>
          </w:p>
          <w:p w14:paraId="27302DB3">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废清洗剂包装（HW49</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900-041-49）：项目清洗剂使用后的内包装，产生量为0.01t/a。</w:t>
            </w:r>
          </w:p>
          <w:p w14:paraId="343ED7F6">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危险废物分类收集暂存于危废</w:t>
            </w:r>
            <w:r>
              <w:rPr>
                <w:rFonts w:hint="default" w:ascii="Times New Roman" w:hAnsi="Times New Roman" w:cs="Times New Roman"/>
                <w:color w:val="auto"/>
                <w:highlight w:val="none"/>
                <w:lang w:val="en-US" w:eastAsia="zh-CN"/>
              </w:rPr>
              <w:t>暂存库</w:t>
            </w:r>
            <w:r>
              <w:rPr>
                <w:rFonts w:hint="default" w:ascii="Times New Roman" w:hAnsi="Times New Roman" w:cs="Times New Roman"/>
                <w:color w:val="auto"/>
                <w:highlight w:val="none"/>
              </w:rPr>
              <w:t>，委托有危废资质的单位处置。</w:t>
            </w:r>
          </w:p>
          <w:p w14:paraId="048B0ED2">
            <w:pPr>
              <w:pStyle w:val="13"/>
              <w:adjustRightInd w:val="0"/>
              <w:snapToGrid w:val="0"/>
              <w:spacing w:line="360" w:lineRule="auto"/>
              <w:jc w:val="center"/>
              <w:rPr>
                <w:rFonts w:hint="default" w:ascii="Times New Roman" w:hAnsi="Times New Roman" w:cs="Times New Roman"/>
                <w:color w:val="auto"/>
                <w:highlight w:val="none"/>
              </w:rPr>
            </w:pPr>
            <w:r>
              <w:rPr>
                <w:rFonts w:ascii="Times New Roman" w:hAnsi="Times New Roman"/>
                <w:b/>
                <w:bCs/>
                <w:color w:val="auto"/>
                <w:spacing w:val="-2"/>
                <w:highlight w:val="none"/>
              </w:rPr>
              <w:t>表</w:t>
            </w:r>
            <w:r>
              <w:rPr>
                <w:rFonts w:ascii="Times New Roman" w:hAnsi="Times New Roman" w:eastAsia="Times New Roman" w:cs="Times New Roman"/>
                <w:b/>
                <w:bCs/>
                <w:color w:val="auto"/>
                <w:spacing w:val="-2"/>
                <w:highlight w:val="none"/>
              </w:rPr>
              <w:t>4-</w:t>
            </w:r>
            <w:r>
              <w:rPr>
                <w:rFonts w:hint="eastAsia" w:ascii="Times New Roman" w:hAnsi="Times New Roman" w:eastAsia="宋体" w:cs="Times New Roman"/>
                <w:b/>
                <w:bCs/>
                <w:color w:val="auto"/>
                <w:spacing w:val="-2"/>
                <w:highlight w:val="none"/>
                <w:lang w:val="en-US" w:eastAsia="zh-CN"/>
              </w:rPr>
              <w:t>15</w:t>
            </w:r>
            <w:r>
              <w:rPr>
                <w:rFonts w:hint="default" w:ascii="Times New Roman" w:hAnsi="Times New Roman" w:cs="Times New Roman"/>
                <w:b/>
                <w:bCs/>
                <w:color w:val="auto"/>
                <w:spacing w:val="-2"/>
                <w:highlight w:val="none"/>
                <w:lang w:val="en-US" w:eastAsia="zh-CN"/>
              </w:rPr>
              <w:t xml:space="preserve">      </w:t>
            </w:r>
            <w:r>
              <w:rPr>
                <w:rFonts w:ascii="Times New Roman" w:hAnsi="Times New Roman"/>
                <w:b/>
                <w:bCs/>
                <w:color w:val="auto"/>
                <w:spacing w:val="-2"/>
                <w:highlight w:val="none"/>
              </w:rPr>
              <w:t>项目危废产生及处置情况一览表</w:t>
            </w:r>
          </w:p>
          <w:tbl>
            <w:tblPr>
              <w:tblStyle w:val="118"/>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90"/>
              <w:gridCol w:w="954"/>
              <w:gridCol w:w="793"/>
              <w:gridCol w:w="1228"/>
              <w:gridCol w:w="873"/>
              <w:gridCol w:w="809"/>
              <w:gridCol w:w="437"/>
              <w:gridCol w:w="628"/>
              <w:gridCol w:w="658"/>
              <w:gridCol w:w="545"/>
              <w:gridCol w:w="904"/>
              <w:gridCol w:w="846"/>
            </w:tblGrid>
            <w:tr w14:paraId="7C2F2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90" w:type="dxa"/>
                  <w:vAlign w:val="center"/>
                </w:tcPr>
                <w:p w14:paraId="27C35BE7">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序号</w:t>
                  </w:r>
                </w:p>
              </w:tc>
              <w:tc>
                <w:tcPr>
                  <w:tcW w:w="954" w:type="dxa"/>
                  <w:vAlign w:val="center"/>
                </w:tcPr>
                <w:p w14:paraId="38CBFECD">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危险废物名称</w:t>
                  </w:r>
                </w:p>
              </w:tc>
              <w:tc>
                <w:tcPr>
                  <w:tcW w:w="793" w:type="dxa"/>
                  <w:vAlign w:val="center"/>
                </w:tcPr>
                <w:p w14:paraId="75829CEC">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废物类别</w:t>
                  </w:r>
                </w:p>
              </w:tc>
              <w:tc>
                <w:tcPr>
                  <w:tcW w:w="1228" w:type="dxa"/>
                  <w:vAlign w:val="center"/>
                </w:tcPr>
                <w:p w14:paraId="4E874B0E">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废物代码</w:t>
                  </w:r>
                </w:p>
              </w:tc>
              <w:tc>
                <w:tcPr>
                  <w:tcW w:w="873" w:type="dxa"/>
                  <w:vAlign w:val="center"/>
                </w:tcPr>
                <w:p w14:paraId="29A9549B">
                  <w:pPr>
                    <w:spacing w:before="0" w:line="200" w:lineRule="exact"/>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产生量（吨</w:t>
                  </w:r>
                  <w:r>
                    <w:rPr>
                      <w:rFonts w:ascii="Times New Roman" w:hAnsi="Times New Roman" w:eastAsia="Times New Roman" w:cs="Times New Roman"/>
                      <w:color w:val="auto"/>
                      <w:spacing w:val="-1"/>
                      <w:position w:val="2"/>
                      <w:sz w:val="18"/>
                      <w:szCs w:val="18"/>
                      <w:highlight w:val="none"/>
                    </w:rPr>
                    <w:t>/</w:t>
                  </w:r>
                  <w:r>
                    <w:rPr>
                      <w:rFonts w:eastAsia="Times New Roman"/>
                      <w:color w:val="auto"/>
                      <w:spacing w:val="-1"/>
                      <w:position w:val="2"/>
                      <w:sz w:val="18"/>
                      <w:szCs w:val="18"/>
                      <w:highlight w:val="none"/>
                    </w:rPr>
                    <w:t>年）</w:t>
                  </w:r>
                </w:p>
              </w:tc>
              <w:tc>
                <w:tcPr>
                  <w:tcW w:w="809" w:type="dxa"/>
                  <w:vAlign w:val="center"/>
                </w:tcPr>
                <w:p w14:paraId="52595F31">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产生工</w:t>
                  </w:r>
                </w:p>
                <w:p w14:paraId="6DCCAF99">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序及装置</w:t>
                  </w:r>
                </w:p>
              </w:tc>
              <w:tc>
                <w:tcPr>
                  <w:tcW w:w="437" w:type="dxa"/>
                  <w:vAlign w:val="center"/>
                </w:tcPr>
                <w:p w14:paraId="096152E4">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形态</w:t>
                  </w:r>
                </w:p>
              </w:tc>
              <w:tc>
                <w:tcPr>
                  <w:tcW w:w="628" w:type="dxa"/>
                  <w:vAlign w:val="center"/>
                </w:tcPr>
                <w:p w14:paraId="54EB5080">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主要成分</w:t>
                  </w:r>
                </w:p>
              </w:tc>
              <w:tc>
                <w:tcPr>
                  <w:tcW w:w="658" w:type="dxa"/>
                  <w:vAlign w:val="center"/>
                </w:tcPr>
                <w:p w14:paraId="5B545AB0">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有害成分</w:t>
                  </w:r>
                </w:p>
              </w:tc>
              <w:tc>
                <w:tcPr>
                  <w:tcW w:w="545" w:type="dxa"/>
                  <w:vAlign w:val="center"/>
                </w:tcPr>
                <w:p w14:paraId="27190DC7">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产废周期</w:t>
                  </w:r>
                </w:p>
              </w:tc>
              <w:tc>
                <w:tcPr>
                  <w:tcW w:w="904" w:type="dxa"/>
                  <w:vAlign w:val="center"/>
                </w:tcPr>
                <w:p w14:paraId="2523C58C">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危险特性</w:t>
                  </w:r>
                </w:p>
              </w:tc>
              <w:tc>
                <w:tcPr>
                  <w:tcW w:w="846" w:type="dxa"/>
                  <w:vAlign w:val="center"/>
                </w:tcPr>
                <w:p w14:paraId="5F452995">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污染</w:t>
                  </w:r>
                </w:p>
                <w:p w14:paraId="5CFB0B6A">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防治</w:t>
                  </w:r>
                </w:p>
                <w:p w14:paraId="3F5DC44F">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措施</w:t>
                  </w:r>
                </w:p>
              </w:tc>
            </w:tr>
            <w:tr w14:paraId="32415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90" w:type="dxa"/>
                  <w:vAlign w:val="center"/>
                </w:tcPr>
                <w:p w14:paraId="11E1D0FC">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1</w:t>
                  </w:r>
                </w:p>
              </w:tc>
              <w:tc>
                <w:tcPr>
                  <w:tcW w:w="954" w:type="dxa"/>
                  <w:vAlign w:val="center"/>
                </w:tcPr>
                <w:p w14:paraId="477D4D5E">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废试剂瓶</w:t>
                  </w:r>
                </w:p>
              </w:tc>
              <w:tc>
                <w:tcPr>
                  <w:tcW w:w="793" w:type="dxa"/>
                  <w:vAlign w:val="center"/>
                </w:tcPr>
                <w:p w14:paraId="6BAB6206">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HW49</w:t>
                  </w:r>
                </w:p>
              </w:tc>
              <w:tc>
                <w:tcPr>
                  <w:tcW w:w="1228" w:type="dxa"/>
                  <w:vAlign w:val="center"/>
                </w:tcPr>
                <w:p w14:paraId="06FF72E1">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900-041-49</w:t>
                  </w:r>
                </w:p>
              </w:tc>
              <w:tc>
                <w:tcPr>
                  <w:tcW w:w="873" w:type="dxa"/>
                  <w:vAlign w:val="center"/>
                </w:tcPr>
                <w:p w14:paraId="451BE333">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0.005</w:t>
                  </w:r>
                </w:p>
              </w:tc>
              <w:tc>
                <w:tcPr>
                  <w:tcW w:w="809" w:type="dxa"/>
                  <w:vAlign w:val="center"/>
                </w:tcPr>
                <w:p w14:paraId="432578EF">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试剂</w:t>
                  </w:r>
                </w:p>
                <w:p w14:paraId="08E5C0BF">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使用</w:t>
                  </w:r>
                </w:p>
              </w:tc>
              <w:tc>
                <w:tcPr>
                  <w:tcW w:w="437" w:type="dxa"/>
                  <w:vAlign w:val="center"/>
                </w:tcPr>
                <w:p w14:paraId="2B7B3F60">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固态</w:t>
                  </w:r>
                </w:p>
              </w:tc>
              <w:tc>
                <w:tcPr>
                  <w:tcW w:w="628" w:type="dxa"/>
                  <w:vAlign w:val="center"/>
                </w:tcPr>
                <w:p w14:paraId="5EF90B33">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原料</w:t>
                  </w:r>
                </w:p>
                <w:p w14:paraId="0EE6E992">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废物</w:t>
                  </w:r>
                </w:p>
              </w:tc>
              <w:tc>
                <w:tcPr>
                  <w:tcW w:w="658" w:type="dxa"/>
                  <w:vAlign w:val="center"/>
                </w:tcPr>
                <w:p w14:paraId="1D99AB9A">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有机</w:t>
                  </w:r>
                </w:p>
                <w:p w14:paraId="7FE89902">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试剂</w:t>
                  </w:r>
                </w:p>
              </w:tc>
              <w:tc>
                <w:tcPr>
                  <w:tcW w:w="545" w:type="dxa"/>
                  <w:vAlign w:val="center"/>
                </w:tcPr>
                <w:p w14:paraId="54F25766">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每天</w:t>
                  </w:r>
                </w:p>
              </w:tc>
              <w:tc>
                <w:tcPr>
                  <w:tcW w:w="904" w:type="dxa"/>
                  <w:vAlign w:val="center"/>
                </w:tcPr>
                <w:p w14:paraId="66A2FDBF">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T/In</w:t>
                  </w:r>
                </w:p>
              </w:tc>
              <w:tc>
                <w:tcPr>
                  <w:tcW w:w="846" w:type="dxa"/>
                  <w:vMerge w:val="restart"/>
                  <w:vAlign w:val="center"/>
                </w:tcPr>
                <w:p w14:paraId="4DB8AEF2">
                  <w:pPr>
                    <w:spacing w:before="0" w:line="200" w:lineRule="exact"/>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暂存于危废</w:t>
                  </w:r>
                  <w:r>
                    <w:rPr>
                      <w:rFonts w:hint="default" w:eastAsia="Times New Roman"/>
                      <w:color w:val="auto"/>
                      <w:spacing w:val="-1"/>
                      <w:position w:val="2"/>
                      <w:sz w:val="18"/>
                      <w:szCs w:val="18"/>
                      <w:highlight w:val="none"/>
                      <w:lang w:val="en-US" w:eastAsia="zh-CN"/>
                    </w:rPr>
                    <w:t>暂存库</w:t>
                  </w:r>
                  <w:r>
                    <w:rPr>
                      <w:rFonts w:eastAsia="Times New Roman"/>
                      <w:color w:val="auto"/>
                      <w:spacing w:val="-1"/>
                      <w:position w:val="2"/>
                      <w:sz w:val="18"/>
                      <w:szCs w:val="18"/>
                      <w:highlight w:val="none"/>
                    </w:rPr>
                    <w:t>，委托有危废资质单位处置</w:t>
                  </w:r>
                </w:p>
              </w:tc>
            </w:tr>
            <w:tr w14:paraId="7EC14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90" w:type="dxa"/>
                  <w:vAlign w:val="center"/>
                </w:tcPr>
                <w:p w14:paraId="393A9201">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2</w:t>
                  </w:r>
                </w:p>
              </w:tc>
              <w:tc>
                <w:tcPr>
                  <w:tcW w:w="954" w:type="dxa"/>
                  <w:vAlign w:val="center"/>
                </w:tcPr>
                <w:p w14:paraId="489FD86E">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实验废物</w:t>
                  </w:r>
                </w:p>
              </w:tc>
              <w:tc>
                <w:tcPr>
                  <w:tcW w:w="793" w:type="dxa"/>
                  <w:vAlign w:val="center"/>
                </w:tcPr>
                <w:p w14:paraId="19761BF1">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HW49</w:t>
                  </w:r>
                </w:p>
              </w:tc>
              <w:tc>
                <w:tcPr>
                  <w:tcW w:w="1228" w:type="dxa"/>
                  <w:vAlign w:val="center"/>
                </w:tcPr>
                <w:p w14:paraId="3474B070">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900-047-49</w:t>
                  </w:r>
                </w:p>
              </w:tc>
              <w:tc>
                <w:tcPr>
                  <w:tcW w:w="873" w:type="dxa"/>
                  <w:vAlign w:val="center"/>
                </w:tcPr>
                <w:p w14:paraId="3280A6B6">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0.15</w:t>
                  </w:r>
                </w:p>
              </w:tc>
              <w:tc>
                <w:tcPr>
                  <w:tcW w:w="809" w:type="dxa"/>
                  <w:vAlign w:val="center"/>
                </w:tcPr>
                <w:p w14:paraId="3B546FB5">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实验</w:t>
                  </w:r>
                </w:p>
              </w:tc>
              <w:tc>
                <w:tcPr>
                  <w:tcW w:w="437" w:type="dxa"/>
                  <w:vAlign w:val="center"/>
                </w:tcPr>
                <w:p w14:paraId="02F8AD43">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液态</w:t>
                  </w:r>
                </w:p>
              </w:tc>
              <w:tc>
                <w:tcPr>
                  <w:tcW w:w="628" w:type="dxa"/>
                  <w:vAlign w:val="center"/>
                </w:tcPr>
                <w:p w14:paraId="607CBCEF">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废液</w:t>
                  </w:r>
                </w:p>
              </w:tc>
              <w:tc>
                <w:tcPr>
                  <w:tcW w:w="658" w:type="dxa"/>
                  <w:vAlign w:val="center"/>
                </w:tcPr>
                <w:p w14:paraId="59039E93">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有机</w:t>
                  </w:r>
                </w:p>
                <w:p w14:paraId="5BB0F5BF">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试剂</w:t>
                  </w:r>
                </w:p>
              </w:tc>
              <w:tc>
                <w:tcPr>
                  <w:tcW w:w="545" w:type="dxa"/>
                  <w:vAlign w:val="center"/>
                </w:tcPr>
                <w:p w14:paraId="78BCF693">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每天</w:t>
                  </w:r>
                </w:p>
              </w:tc>
              <w:tc>
                <w:tcPr>
                  <w:tcW w:w="904" w:type="dxa"/>
                  <w:vAlign w:val="center"/>
                </w:tcPr>
                <w:p w14:paraId="05B7AE9F">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T/C</w:t>
                  </w:r>
                </w:p>
                <w:p w14:paraId="41A9A2DB">
                  <w:pPr>
                    <w:spacing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/I/R</w:t>
                  </w:r>
                </w:p>
              </w:tc>
              <w:tc>
                <w:tcPr>
                  <w:tcW w:w="846" w:type="dxa"/>
                  <w:vMerge w:val="continue"/>
                  <w:vAlign w:val="center"/>
                </w:tcPr>
                <w:p w14:paraId="719BEFE3">
                  <w:pPr>
                    <w:spacing w:line="200" w:lineRule="exact"/>
                    <w:jc w:val="center"/>
                    <w:rPr>
                      <w:rFonts w:ascii="Times New Roman" w:eastAsia="Times New Roman"/>
                      <w:color w:val="auto"/>
                      <w:spacing w:val="-1"/>
                      <w:position w:val="2"/>
                      <w:sz w:val="18"/>
                      <w:szCs w:val="18"/>
                      <w:highlight w:val="none"/>
                    </w:rPr>
                  </w:pPr>
                </w:p>
              </w:tc>
            </w:tr>
            <w:tr w14:paraId="77483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90" w:type="dxa"/>
                  <w:vAlign w:val="center"/>
                </w:tcPr>
                <w:p w14:paraId="2B6FFE7A">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3</w:t>
                  </w:r>
                </w:p>
              </w:tc>
              <w:tc>
                <w:tcPr>
                  <w:tcW w:w="954" w:type="dxa"/>
                  <w:vAlign w:val="center"/>
                </w:tcPr>
                <w:p w14:paraId="3C7A7566">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废清洗剂包装</w:t>
                  </w:r>
                </w:p>
              </w:tc>
              <w:tc>
                <w:tcPr>
                  <w:tcW w:w="793" w:type="dxa"/>
                  <w:vAlign w:val="center"/>
                </w:tcPr>
                <w:p w14:paraId="5B532EAF">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HW49</w:t>
                  </w:r>
                </w:p>
              </w:tc>
              <w:tc>
                <w:tcPr>
                  <w:tcW w:w="1228" w:type="dxa"/>
                  <w:vAlign w:val="center"/>
                </w:tcPr>
                <w:p w14:paraId="068D228C">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900-041-49</w:t>
                  </w:r>
                </w:p>
              </w:tc>
              <w:tc>
                <w:tcPr>
                  <w:tcW w:w="873" w:type="dxa"/>
                  <w:vAlign w:val="center"/>
                </w:tcPr>
                <w:p w14:paraId="0970CCB4">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0.01</w:t>
                  </w:r>
                </w:p>
              </w:tc>
              <w:tc>
                <w:tcPr>
                  <w:tcW w:w="809" w:type="dxa"/>
                  <w:vAlign w:val="center"/>
                </w:tcPr>
                <w:p w14:paraId="79B058AA">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清洗剂使</w:t>
                  </w:r>
                  <w:r>
                    <w:rPr>
                      <w:rFonts w:eastAsia="Times New Roman"/>
                      <w:color w:val="auto"/>
                      <w:spacing w:val="-1"/>
                      <w:w w:val="100"/>
                      <w:position w:val="2"/>
                      <w:sz w:val="18"/>
                      <w:szCs w:val="18"/>
                      <w:highlight w:val="none"/>
                    </w:rPr>
                    <w:t>用</w:t>
                  </w:r>
                </w:p>
              </w:tc>
              <w:tc>
                <w:tcPr>
                  <w:tcW w:w="437" w:type="dxa"/>
                  <w:vAlign w:val="center"/>
                </w:tcPr>
                <w:p w14:paraId="791449F4">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固态</w:t>
                  </w:r>
                </w:p>
              </w:tc>
              <w:tc>
                <w:tcPr>
                  <w:tcW w:w="628" w:type="dxa"/>
                  <w:vAlign w:val="center"/>
                </w:tcPr>
                <w:p w14:paraId="2BCB2FD7">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原料废物</w:t>
                  </w:r>
                </w:p>
              </w:tc>
              <w:tc>
                <w:tcPr>
                  <w:tcW w:w="658" w:type="dxa"/>
                  <w:vAlign w:val="center"/>
                </w:tcPr>
                <w:p w14:paraId="41D5A759">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酸、碱</w:t>
                  </w:r>
                </w:p>
              </w:tc>
              <w:tc>
                <w:tcPr>
                  <w:tcW w:w="545" w:type="dxa"/>
                  <w:vAlign w:val="center"/>
                </w:tcPr>
                <w:p w14:paraId="6ABC9AAE">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每周</w:t>
                  </w:r>
                </w:p>
              </w:tc>
              <w:tc>
                <w:tcPr>
                  <w:tcW w:w="904" w:type="dxa"/>
                  <w:vAlign w:val="center"/>
                </w:tcPr>
                <w:p w14:paraId="6FDC868C">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T/In</w:t>
                  </w:r>
                </w:p>
              </w:tc>
              <w:tc>
                <w:tcPr>
                  <w:tcW w:w="846" w:type="dxa"/>
                  <w:vMerge w:val="continue"/>
                  <w:vAlign w:val="center"/>
                </w:tcPr>
                <w:p w14:paraId="029C37C3">
                  <w:pPr>
                    <w:spacing w:before="0" w:line="200" w:lineRule="exact"/>
                    <w:ind w:left="0"/>
                    <w:jc w:val="center"/>
                    <w:rPr>
                      <w:rFonts w:eastAsia="Times New Roman"/>
                      <w:color w:val="auto"/>
                      <w:spacing w:val="-1"/>
                      <w:position w:val="2"/>
                      <w:sz w:val="18"/>
                      <w:szCs w:val="18"/>
                      <w:highlight w:val="none"/>
                    </w:rPr>
                  </w:pPr>
                </w:p>
              </w:tc>
            </w:tr>
          </w:tbl>
          <w:p w14:paraId="7A4B11BE">
            <w:pPr>
              <w:pStyle w:val="13"/>
              <w:adjustRightInd w:val="0"/>
              <w:snapToGrid w:val="0"/>
              <w:spacing w:line="360" w:lineRule="auto"/>
              <w:jc w:val="center"/>
              <w:rPr>
                <w:rFonts w:ascii="Times New Roman" w:hAnsi="Times New Roman"/>
                <w:b/>
                <w:bCs/>
                <w:color w:val="auto"/>
                <w:spacing w:val="-2"/>
                <w:highlight w:val="none"/>
              </w:rPr>
            </w:pPr>
            <w:r>
              <w:rPr>
                <w:rFonts w:ascii="Times New Roman" w:hAnsi="Times New Roman"/>
                <w:b/>
                <w:bCs/>
                <w:color w:val="auto"/>
                <w:spacing w:val="-2"/>
                <w:highlight w:val="none"/>
              </w:rPr>
              <w:t>表4-</w:t>
            </w:r>
            <w:r>
              <w:rPr>
                <w:rFonts w:hint="eastAsia" w:ascii="Times New Roman" w:hAnsi="Times New Roman"/>
                <w:b/>
                <w:bCs/>
                <w:color w:val="auto"/>
                <w:spacing w:val="-2"/>
                <w:highlight w:val="none"/>
                <w:lang w:val="en-US" w:eastAsia="zh-CN"/>
              </w:rPr>
              <w:t>1</w:t>
            </w:r>
            <w:r>
              <w:rPr>
                <w:rFonts w:hint="default" w:ascii="Times New Roman" w:hAnsi="Times New Roman"/>
                <w:b/>
                <w:bCs/>
                <w:color w:val="auto"/>
                <w:spacing w:val="-2"/>
                <w:highlight w:val="none"/>
                <w:lang w:val="en-US" w:eastAsia="zh-CN"/>
              </w:rPr>
              <w:t xml:space="preserve">6      </w:t>
            </w:r>
            <w:r>
              <w:rPr>
                <w:rFonts w:ascii="Times New Roman" w:hAnsi="Times New Roman"/>
                <w:b/>
                <w:bCs/>
                <w:color w:val="auto"/>
                <w:spacing w:val="-2"/>
                <w:highlight w:val="none"/>
              </w:rPr>
              <w:t>危险废物贮存场所（设施）基本情况一览表</w:t>
            </w:r>
          </w:p>
          <w:tbl>
            <w:tblPr>
              <w:tblStyle w:val="118"/>
              <w:tblW w:w="4996" w:type="pct"/>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21"/>
              <w:gridCol w:w="761"/>
              <w:gridCol w:w="1249"/>
              <w:gridCol w:w="1069"/>
              <w:gridCol w:w="1496"/>
              <w:gridCol w:w="735"/>
              <w:gridCol w:w="739"/>
              <w:gridCol w:w="803"/>
              <w:gridCol w:w="925"/>
              <w:gridCol w:w="695"/>
            </w:tblGrid>
            <w:tr w14:paraId="61AFF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41" w:type="pct"/>
                  <w:vAlign w:val="center"/>
                </w:tcPr>
                <w:p w14:paraId="5055AE38">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序</w:t>
                  </w:r>
                  <w:r>
                    <w:rPr>
                      <w:rFonts w:eastAsia="Times New Roman"/>
                      <w:color w:val="auto"/>
                      <w:spacing w:val="-1"/>
                      <w:position w:val="2"/>
                      <w:sz w:val="18"/>
                      <w:szCs w:val="18"/>
                      <w:highlight w:val="none"/>
                      <w:lang w:eastAsia="en-US"/>
                    </w:rPr>
                    <w:t>号</w:t>
                  </w:r>
                </w:p>
              </w:tc>
              <w:tc>
                <w:tcPr>
                  <w:tcW w:w="418" w:type="pct"/>
                  <w:vAlign w:val="center"/>
                </w:tcPr>
                <w:p w14:paraId="1A4616EA">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贮存场所</w:t>
                  </w:r>
                </w:p>
              </w:tc>
              <w:tc>
                <w:tcPr>
                  <w:tcW w:w="686" w:type="pct"/>
                  <w:vAlign w:val="center"/>
                </w:tcPr>
                <w:p w14:paraId="330E20E9">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危废名称</w:t>
                  </w:r>
                </w:p>
              </w:tc>
              <w:tc>
                <w:tcPr>
                  <w:tcW w:w="587" w:type="pct"/>
                  <w:vAlign w:val="center"/>
                </w:tcPr>
                <w:p w14:paraId="3798F1AE">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危废类别</w:t>
                  </w:r>
                </w:p>
              </w:tc>
              <w:tc>
                <w:tcPr>
                  <w:tcW w:w="822" w:type="pct"/>
                  <w:vAlign w:val="center"/>
                </w:tcPr>
                <w:p w14:paraId="7EECC648">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废物代码</w:t>
                  </w:r>
                </w:p>
              </w:tc>
              <w:tc>
                <w:tcPr>
                  <w:tcW w:w="404" w:type="pct"/>
                  <w:vAlign w:val="center"/>
                </w:tcPr>
                <w:p w14:paraId="338075D0">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位置</w:t>
                  </w:r>
                </w:p>
              </w:tc>
              <w:tc>
                <w:tcPr>
                  <w:tcW w:w="406" w:type="pct"/>
                  <w:vAlign w:val="center"/>
                </w:tcPr>
                <w:p w14:paraId="14D53C97">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占地面积</w:t>
                  </w:r>
                </w:p>
              </w:tc>
              <w:tc>
                <w:tcPr>
                  <w:tcW w:w="441" w:type="pct"/>
                  <w:vAlign w:val="center"/>
                </w:tcPr>
                <w:p w14:paraId="078E7E5A">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贮存方式</w:t>
                  </w:r>
                </w:p>
              </w:tc>
              <w:tc>
                <w:tcPr>
                  <w:tcW w:w="508" w:type="pct"/>
                  <w:vAlign w:val="center"/>
                </w:tcPr>
                <w:p w14:paraId="6C573744">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贮存能力</w:t>
                  </w:r>
                </w:p>
              </w:tc>
              <w:tc>
                <w:tcPr>
                  <w:tcW w:w="382" w:type="pct"/>
                  <w:textDirection w:val="tbRlV"/>
                  <w:vAlign w:val="center"/>
                </w:tcPr>
                <w:p w14:paraId="02D2C440">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贮存周期</w:t>
                  </w:r>
                </w:p>
              </w:tc>
            </w:tr>
            <w:tr w14:paraId="0726D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41" w:type="pct"/>
                  <w:vAlign w:val="center"/>
                </w:tcPr>
                <w:p w14:paraId="75876706">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1</w:t>
                  </w:r>
                </w:p>
              </w:tc>
              <w:tc>
                <w:tcPr>
                  <w:tcW w:w="418" w:type="pct"/>
                  <w:vMerge w:val="restart"/>
                  <w:tcBorders>
                    <w:bottom w:val="nil"/>
                  </w:tcBorders>
                  <w:vAlign w:val="center"/>
                </w:tcPr>
                <w:p w14:paraId="13F462A1">
                  <w:pPr>
                    <w:spacing w:before="0" w:line="200" w:lineRule="exact"/>
                    <w:ind w:left="0"/>
                    <w:jc w:val="center"/>
                    <w:rPr>
                      <w:rFonts w:hint="default" w:eastAsia="宋体"/>
                      <w:color w:val="auto"/>
                      <w:spacing w:val="-1"/>
                      <w:position w:val="2"/>
                      <w:sz w:val="18"/>
                      <w:szCs w:val="18"/>
                      <w:highlight w:val="none"/>
                      <w:lang w:eastAsia="zh-CN"/>
                    </w:rPr>
                  </w:pPr>
                  <w:r>
                    <w:rPr>
                      <w:rFonts w:hint="default" w:eastAsia="宋体"/>
                      <w:color w:val="auto"/>
                      <w:spacing w:val="-1"/>
                      <w:position w:val="2"/>
                      <w:sz w:val="18"/>
                      <w:szCs w:val="18"/>
                      <w:highlight w:val="none"/>
                      <w:lang w:eastAsia="zh-CN"/>
                    </w:rPr>
                    <w:t>危废暂存库</w:t>
                  </w:r>
                </w:p>
              </w:tc>
              <w:tc>
                <w:tcPr>
                  <w:tcW w:w="686" w:type="pct"/>
                  <w:vAlign w:val="center"/>
                </w:tcPr>
                <w:p w14:paraId="350C896E">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废试剂瓶</w:t>
                  </w:r>
                </w:p>
              </w:tc>
              <w:tc>
                <w:tcPr>
                  <w:tcW w:w="587" w:type="pct"/>
                  <w:vAlign w:val="center"/>
                </w:tcPr>
                <w:p w14:paraId="539D0DAB">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HW49</w:t>
                  </w:r>
                </w:p>
              </w:tc>
              <w:tc>
                <w:tcPr>
                  <w:tcW w:w="822" w:type="pct"/>
                  <w:vAlign w:val="center"/>
                </w:tcPr>
                <w:p w14:paraId="11E0CD0F">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900-041-49</w:t>
                  </w:r>
                </w:p>
              </w:tc>
              <w:tc>
                <w:tcPr>
                  <w:tcW w:w="404" w:type="pct"/>
                  <w:vMerge w:val="restart"/>
                  <w:tcBorders>
                    <w:bottom w:val="nil"/>
                  </w:tcBorders>
                  <w:vAlign w:val="center"/>
                </w:tcPr>
                <w:p w14:paraId="6F1A5A6E">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厂区西侧</w:t>
                  </w:r>
                </w:p>
              </w:tc>
              <w:tc>
                <w:tcPr>
                  <w:tcW w:w="406" w:type="pct"/>
                  <w:vMerge w:val="restart"/>
                  <w:tcBorders>
                    <w:bottom w:val="nil"/>
                  </w:tcBorders>
                  <w:vAlign w:val="center"/>
                </w:tcPr>
                <w:p w14:paraId="0ABE1689">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20</w:t>
                  </w:r>
                  <w:r>
                    <w:rPr>
                      <w:rFonts w:hint="eastAsia" w:eastAsia="宋体" w:cs="Times New Roman"/>
                      <w:color w:val="auto"/>
                      <w:spacing w:val="-1"/>
                      <w:position w:val="2"/>
                      <w:sz w:val="18"/>
                      <w:szCs w:val="18"/>
                      <w:highlight w:val="none"/>
                      <w:lang w:eastAsia="zh-CN"/>
                    </w:rPr>
                    <w:t>m²</w:t>
                  </w:r>
                </w:p>
              </w:tc>
              <w:tc>
                <w:tcPr>
                  <w:tcW w:w="441" w:type="pct"/>
                  <w:vAlign w:val="center"/>
                </w:tcPr>
                <w:p w14:paraId="71A1A17D">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桶装</w:t>
                  </w:r>
                </w:p>
              </w:tc>
              <w:tc>
                <w:tcPr>
                  <w:tcW w:w="508" w:type="pct"/>
                  <w:vMerge w:val="restart"/>
                  <w:tcBorders>
                    <w:bottom w:val="nil"/>
                  </w:tcBorders>
                  <w:vAlign w:val="center"/>
                </w:tcPr>
                <w:p w14:paraId="5E22344B">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10t/a</w:t>
                  </w:r>
                </w:p>
              </w:tc>
              <w:tc>
                <w:tcPr>
                  <w:tcW w:w="382" w:type="pct"/>
                  <w:vMerge w:val="restart"/>
                  <w:tcBorders>
                    <w:bottom w:val="nil"/>
                  </w:tcBorders>
                  <w:vAlign w:val="center"/>
                </w:tcPr>
                <w:p w14:paraId="419C5675">
                  <w:pPr>
                    <w:spacing w:before="0" w:line="200" w:lineRule="exact"/>
                    <w:ind w:left="0"/>
                    <w:jc w:val="center"/>
                    <w:rPr>
                      <w:rFonts w:eastAsia="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1</w:t>
                  </w:r>
                  <w:r>
                    <w:rPr>
                      <w:rFonts w:eastAsia="Times New Roman"/>
                      <w:color w:val="auto"/>
                      <w:spacing w:val="-1"/>
                      <w:position w:val="2"/>
                      <w:sz w:val="18"/>
                      <w:szCs w:val="18"/>
                      <w:highlight w:val="none"/>
                    </w:rPr>
                    <w:t>年</w:t>
                  </w:r>
                </w:p>
              </w:tc>
            </w:tr>
            <w:tr w14:paraId="3F4A7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41" w:type="pct"/>
                  <w:vAlign w:val="center"/>
                </w:tcPr>
                <w:p w14:paraId="35A8A5A0">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2</w:t>
                  </w:r>
                </w:p>
              </w:tc>
              <w:tc>
                <w:tcPr>
                  <w:tcW w:w="418" w:type="pct"/>
                  <w:vMerge w:val="continue"/>
                  <w:tcBorders>
                    <w:top w:val="nil"/>
                    <w:bottom w:val="nil"/>
                  </w:tcBorders>
                  <w:vAlign w:val="center"/>
                </w:tcPr>
                <w:p w14:paraId="6294B226">
                  <w:pPr>
                    <w:spacing w:before="0" w:line="200" w:lineRule="exact"/>
                    <w:ind w:left="0"/>
                    <w:jc w:val="center"/>
                    <w:rPr>
                      <w:rFonts w:ascii="Times New Roman" w:eastAsia="Times New Roman"/>
                      <w:color w:val="auto"/>
                      <w:spacing w:val="-1"/>
                      <w:position w:val="2"/>
                      <w:sz w:val="18"/>
                      <w:szCs w:val="18"/>
                      <w:highlight w:val="none"/>
                    </w:rPr>
                  </w:pPr>
                </w:p>
              </w:tc>
              <w:tc>
                <w:tcPr>
                  <w:tcW w:w="686" w:type="pct"/>
                  <w:vAlign w:val="center"/>
                </w:tcPr>
                <w:p w14:paraId="3B45F30E">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实验废物</w:t>
                  </w:r>
                </w:p>
              </w:tc>
              <w:tc>
                <w:tcPr>
                  <w:tcW w:w="587" w:type="pct"/>
                  <w:vAlign w:val="center"/>
                </w:tcPr>
                <w:p w14:paraId="4FC36528">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HW49</w:t>
                  </w:r>
                </w:p>
              </w:tc>
              <w:tc>
                <w:tcPr>
                  <w:tcW w:w="822" w:type="pct"/>
                  <w:vAlign w:val="center"/>
                </w:tcPr>
                <w:p w14:paraId="07BFD991">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900-047-49</w:t>
                  </w:r>
                </w:p>
              </w:tc>
              <w:tc>
                <w:tcPr>
                  <w:tcW w:w="404" w:type="pct"/>
                  <w:vMerge w:val="continue"/>
                  <w:tcBorders>
                    <w:top w:val="nil"/>
                    <w:bottom w:val="nil"/>
                  </w:tcBorders>
                  <w:vAlign w:val="center"/>
                </w:tcPr>
                <w:p w14:paraId="0AA89F98">
                  <w:pPr>
                    <w:spacing w:before="0" w:line="200" w:lineRule="exact"/>
                    <w:ind w:left="0"/>
                    <w:jc w:val="center"/>
                    <w:rPr>
                      <w:rFonts w:ascii="Times New Roman" w:eastAsia="Times New Roman"/>
                      <w:color w:val="auto"/>
                      <w:spacing w:val="-1"/>
                      <w:position w:val="2"/>
                      <w:sz w:val="18"/>
                      <w:szCs w:val="18"/>
                      <w:highlight w:val="none"/>
                    </w:rPr>
                  </w:pPr>
                </w:p>
              </w:tc>
              <w:tc>
                <w:tcPr>
                  <w:tcW w:w="406" w:type="pct"/>
                  <w:vMerge w:val="continue"/>
                  <w:tcBorders>
                    <w:top w:val="nil"/>
                    <w:bottom w:val="nil"/>
                  </w:tcBorders>
                  <w:vAlign w:val="center"/>
                </w:tcPr>
                <w:p w14:paraId="1FD1619A">
                  <w:pPr>
                    <w:spacing w:before="0" w:line="200" w:lineRule="exact"/>
                    <w:ind w:left="0"/>
                    <w:jc w:val="center"/>
                    <w:rPr>
                      <w:rFonts w:ascii="Times New Roman" w:eastAsia="Times New Roman"/>
                      <w:color w:val="auto"/>
                      <w:spacing w:val="-1"/>
                      <w:position w:val="2"/>
                      <w:sz w:val="18"/>
                      <w:szCs w:val="18"/>
                      <w:highlight w:val="none"/>
                    </w:rPr>
                  </w:pPr>
                </w:p>
              </w:tc>
              <w:tc>
                <w:tcPr>
                  <w:tcW w:w="441" w:type="pct"/>
                  <w:vAlign w:val="center"/>
                </w:tcPr>
                <w:p w14:paraId="63ACC95F">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桶装</w:t>
                  </w:r>
                </w:p>
              </w:tc>
              <w:tc>
                <w:tcPr>
                  <w:tcW w:w="508" w:type="pct"/>
                  <w:vMerge w:val="continue"/>
                  <w:tcBorders>
                    <w:top w:val="nil"/>
                    <w:bottom w:val="nil"/>
                  </w:tcBorders>
                  <w:vAlign w:val="center"/>
                </w:tcPr>
                <w:p w14:paraId="4D6928D0">
                  <w:pPr>
                    <w:spacing w:before="0" w:line="200" w:lineRule="exact"/>
                    <w:ind w:left="0"/>
                    <w:jc w:val="center"/>
                    <w:rPr>
                      <w:rFonts w:ascii="Times New Roman" w:eastAsia="Times New Roman"/>
                      <w:color w:val="auto"/>
                      <w:spacing w:val="-1"/>
                      <w:position w:val="2"/>
                      <w:sz w:val="18"/>
                      <w:szCs w:val="18"/>
                      <w:highlight w:val="none"/>
                    </w:rPr>
                  </w:pPr>
                </w:p>
              </w:tc>
              <w:tc>
                <w:tcPr>
                  <w:tcW w:w="382" w:type="pct"/>
                  <w:vMerge w:val="continue"/>
                  <w:tcBorders>
                    <w:top w:val="nil"/>
                    <w:bottom w:val="nil"/>
                  </w:tcBorders>
                  <w:vAlign w:val="center"/>
                </w:tcPr>
                <w:p w14:paraId="37BA92F8">
                  <w:pPr>
                    <w:spacing w:before="0" w:line="200" w:lineRule="exact"/>
                    <w:ind w:left="0"/>
                    <w:jc w:val="center"/>
                    <w:rPr>
                      <w:rFonts w:ascii="Times New Roman" w:eastAsia="Times New Roman"/>
                      <w:color w:val="auto"/>
                      <w:spacing w:val="-1"/>
                      <w:position w:val="2"/>
                      <w:sz w:val="18"/>
                      <w:szCs w:val="18"/>
                      <w:highlight w:val="none"/>
                    </w:rPr>
                  </w:pPr>
                </w:p>
              </w:tc>
            </w:tr>
            <w:tr w14:paraId="79656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41" w:type="pct"/>
                  <w:vAlign w:val="center"/>
                </w:tcPr>
                <w:p w14:paraId="68043A1E">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3</w:t>
                  </w:r>
                </w:p>
              </w:tc>
              <w:tc>
                <w:tcPr>
                  <w:tcW w:w="418" w:type="pct"/>
                  <w:vMerge w:val="continue"/>
                  <w:tcBorders>
                    <w:top w:val="nil"/>
                  </w:tcBorders>
                  <w:vAlign w:val="center"/>
                </w:tcPr>
                <w:p w14:paraId="021F9E3C">
                  <w:pPr>
                    <w:spacing w:before="0" w:line="200" w:lineRule="exact"/>
                    <w:ind w:left="0"/>
                    <w:jc w:val="center"/>
                    <w:rPr>
                      <w:rFonts w:ascii="Times New Roman" w:eastAsia="Times New Roman"/>
                      <w:color w:val="auto"/>
                      <w:spacing w:val="-1"/>
                      <w:position w:val="2"/>
                      <w:sz w:val="18"/>
                      <w:szCs w:val="18"/>
                      <w:highlight w:val="none"/>
                    </w:rPr>
                  </w:pPr>
                </w:p>
              </w:tc>
              <w:tc>
                <w:tcPr>
                  <w:tcW w:w="686" w:type="pct"/>
                  <w:vAlign w:val="center"/>
                </w:tcPr>
                <w:p w14:paraId="4B613B7A">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废清洗剂包装</w:t>
                  </w:r>
                </w:p>
              </w:tc>
              <w:tc>
                <w:tcPr>
                  <w:tcW w:w="587" w:type="pct"/>
                  <w:vAlign w:val="center"/>
                </w:tcPr>
                <w:p w14:paraId="73D10BCC">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HW49</w:t>
                  </w:r>
                </w:p>
              </w:tc>
              <w:tc>
                <w:tcPr>
                  <w:tcW w:w="822" w:type="pct"/>
                  <w:vAlign w:val="center"/>
                </w:tcPr>
                <w:p w14:paraId="5EE1A73F">
                  <w:pPr>
                    <w:spacing w:before="0" w:line="200" w:lineRule="exact"/>
                    <w:ind w:left="0"/>
                    <w:jc w:val="center"/>
                    <w:rPr>
                      <w:rFonts w:ascii="Times New Roman" w:hAnsi="Times New Roman" w:eastAsia="Times New Roman" w:cs="Times New Roman"/>
                      <w:color w:val="auto"/>
                      <w:spacing w:val="-1"/>
                      <w:position w:val="2"/>
                      <w:sz w:val="18"/>
                      <w:szCs w:val="18"/>
                      <w:highlight w:val="none"/>
                    </w:rPr>
                  </w:pPr>
                  <w:r>
                    <w:rPr>
                      <w:rFonts w:ascii="Times New Roman" w:hAnsi="Times New Roman" w:eastAsia="Times New Roman" w:cs="Times New Roman"/>
                      <w:color w:val="auto"/>
                      <w:spacing w:val="-1"/>
                      <w:position w:val="2"/>
                      <w:sz w:val="18"/>
                      <w:szCs w:val="18"/>
                      <w:highlight w:val="none"/>
                    </w:rPr>
                    <w:t>900-041-49</w:t>
                  </w:r>
                </w:p>
              </w:tc>
              <w:tc>
                <w:tcPr>
                  <w:tcW w:w="404" w:type="pct"/>
                  <w:vMerge w:val="continue"/>
                  <w:tcBorders>
                    <w:top w:val="nil"/>
                  </w:tcBorders>
                  <w:vAlign w:val="center"/>
                </w:tcPr>
                <w:p w14:paraId="4FFD3A9A">
                  <w:pPr>
                    <w:spacing w:before="0" w:line="200" w:lineRule="exact"/>
                    <w:ind w:left="0"/>
                    <w:jc w:val="center"/>
                    <w:rPr>
                      <w:rFonts w:ascii="Times New Roman" w:eastAsia="Times New Roman"/>
                      <w:color w:val="auto"/>
                      <w:spacing w:val="-1"/>
                      <w:position w:val="2"/>
                      <w:sz w:val="18"/>
                      <w:szCs w:val="18"/>
                      <w:highlight w:val="none"/>
                    </w:rPr>
                  </w:pPr>
                </w:p>
              </w:tc>
              <w:tc>
                <w:tcPr>
                  <w:tcW w:w="406" w:type="pct"/>
                  <w:vMerge w:val="continue"/>
                  <w:tcBorders>
                    <w:top w:val="nil"/>
                  </w:tcBorders>
                  <w:vAlign w:val="center"/>
                </w:tcPr>
                <w:p w14:paraId="7AD7D73F">
                  <w:pPr>
                    <w:spacing w:before="0" w:line="200" w:lineRule="exact"/>
                    <w:ind w:left="0"/>
                    <w:jc w:val="center"/>
                    <w:rPr>
                      <w:rFonts w:ascii="Times New Roman" w:eastAsia="Times New Roman"/>
                      <w:color w:val="auto"/>
                      <w:spacing w:val="-1"/>
                      <w:position w:val="2"/>
                      <w:sz w:val="18"/>
                      <w:szCs w:val="18"/>
                      <w:highlight w:val="none"/>
                    </w:rPr>
                  </w:pPr>
                </w:p>
              </w:tc>
              <w:tc>
                <w:tcPr>
                  <w:tcW w:w="441" w:type="pct"/>
                  <w:vAlign w:val="center"/>
                </w:tcPr>
                <w:p w14:paraId="2678D93C">
                  <w:pPr>
                    <w:spacing w:before="0" w:line="200" w:lineRule="exact"/>
                    <w:ind w:left="0"/>
                    <w:jc w:val="center"/>
                    <w:rPr>
                      <w:rFonts w:eastAsia="Times New Roman"/>
                      <w:color w:val="auto"/>
                      <w:spacing w:val="-1"/>
                      <w:position w:val="2"/>
                      <w:sz w:val="18"/>
                      <w:szCs w:val="18"/>
                      <w:highlight w:val="none"/>
                    </w:rPr>
                  </w:pPr>
                  <w:r>
                    <w:rPr>
                      <w:rFonts w:eastAsia="Times New Roman"/>
                      <w:color w:val="auto"/>
                      <w:spacing w:val="-1"/>
                      <w:position w:val="2"/>
                      <w:sz w:val="18"/>
                      <w:szCs w:val="18"/>
                      <w:highlight w:val="none"/>
                    </w:rPr>
                    <w:t>袋装</w:t>
                  </w:r>
                </w:p>
              </w:tc>
              <w:tc>
                <w:tcPr>
                  <w:tcW w:w="508" w:type="pct"/>
                  <w:vMerge w:val="continue"/>
                  <w:tcBorders>
                    <w:top w:val="nil"/>
                  </w:tcBorders>
                  <w:vAlign w:val="center"/>
                </w:tcPr>
                <w:p w14:paraId="556B14FC">
                  <w:pPr>
                    <w:spacing w:before="0" w:line="200" w:lineRule="exact"/>
                    <w:ind w:left="0"/>
                    <w:jc w:val="center"/>
                    <w:rPr>
                      <w:rFonts w:ascii="Times New Roman" w:eastAsia="Times New Roman"/>
                      <w:color w:val="auto"/>
                      <w:spacing w:val="-1"/>
                      <w:position w:val="2"/>
                      <w:sz w:val="18"/>
                      <w:szCs w:val="18"/>
                      <w:highlight w:val="none"/>
                    </w:rPr>
                  </w:pPr>
                </w:p>
              </w:tc>
              <w:tc>
                <w:tcPr>
                  <w:tcW w:w="382" w:type="pct"/>
                  <w:vMerge w:val="continue"/>
                  <w:tcBorders>
                    <w:top w:val="nil"/>
                  </w:tcBorders>
                  <w:vAlign w:val="center"/>
                </w:tcPr>
                <w:p w14:paraId="5E69F01B">
                  <w:pPr>
                    <w:spacing w:before="0" w:line="200" w:lineRule="exact"/>
                    <w:ind w:left="0"/>
                    <w:jc w:val="center"/>
                    <w:rPr>
                      <w:rFonts w:ascii="Times New Roman" w:eastAsia="Times New Roman"/>
                      <w:color w:val="auto"/>
                      <w:spacing w:val="-1"/>
                      <w:position w:val="2"/>
                      <w:sz w:val="18"/>
                      <w:szCs w:val="18"/>
                      <w:highlight w:val="none"/>
                    </w:rPr>
                  </w:pPr>
                </w:p>
              </w:tc>
            </w:tr>
          </w:tbl>
          <w:p w14:paraId="4A448289">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危废</w:t>
            </w:r>
            <w:r>
              <w:rPr>
                <w:rFonts w:hint="default" w:ascii="Times New Roman" w:hAnsi="Times New Roman" w:cs="Times New Roman"/>
                <w:color w:val="auto"/>
                <w:highlight w:val="none"/>
                <w:lang w:val="en-US" w:eastAsia="zh-CN"/>
              </w:rPr>
              <w:t>暂存库</w:t>
            </w:r>
            <w:r>
              <w:rPr>
                <w:rFonts w:hint="default" w:ascii="Times New Roman" w:hAnsi="Times New Roman" w:cs="Times New Roman"/>
                <w:color w:val="auto"/>
                <w:highlight w:val="none"/>
              </w:rPr>
              <w:t>依托可行性：项目产生的危险废物分类收集，存储于危废</w:t>
            </w:r>
            <w:r>
              <w:rPr>
                <w:rFonts w:hint="default" w:ascii="Times New Roman" w:hAnsi="Times New Roman" w:cs="Times New Roman"/>
                <w:color w:val="auto"/>
                <w:highlight w:val="none"/>
                <w:lang w:val="en-US" w:eastAsia="zh-CN"/>
              </w:rPr>
              <w:t>暂存库</w:t>
            </w:r>
            <w:r>
              <w:rPr>
                <w:rFonts w:hint="default" w:ascii="Times New Roman" w:hAnsi="Times New Roman" w:cs="Times New Roman"/>
                <w:color w:val="auto"/>
                <w:highlight w:val="none"/>
              </w:rPr>
              <w:t>内。项目危险废物存储周期不超过12个月，项目危废</w:t>
            </w:r>
            <w:r>
              <w:rPr>
                <w:rFonts w:hint="default" w:ascii="Times New Roman" w:hAnsi="Times New Roman" w:cs="Times New Roman"/>
                <w:color w:val="auto"/>
                <w:highlight w:val="none"/>
                <w:lang w:val="en-US" w:eastAsia="zh-CN"/>
              </w:rPr>
              <w:t>暂存库</w:t>
            </w:r>
            <w:r>
              <w:rPr>
                <w:rFonts w:hint="default" w:ascii="Times New Roman" w:hAnsi="Times New Roman" w:cs="Times New Roman"/>
                <w:color w:val="auto"/>
                <w:highlight w:val="none"/>
              </w:rPr>
              <w:t>占地面积为20</w:t>
            </w:r>
            <w:r>
              <w:rPr>
                <w:rFonts w:hint="eastAsia" w:ascii="Times New Roman" w:hAnsi="Times New Roman" w:cs="Times New Roman"/>
                <w:color w:val="auto"/>
                <w:highlight w:val="none"/>
                <w:lang w:eastAsia="zh-CN"/>
              </w:rPr>
              <w:t>m²</w:t>
            </w:r>
            <w:r>
              <w:rPr>
                <w:rFonts w:hint="default" w:ascii="Times New Roman" w:hAnsi="Times New Roman" w:cs="Times New Roman"/>
                <w:color w:val="auto"/>
                <w:highlight w:val="none"/>
              </w:rPr>
              <w:t>，贮存能力不低于10t，现有项目危废最大贮存量为0.175t，余量9.825t，可满足拟建项目危险废物储需求。</w:t>
            </w:r>
          </w:p>
          <w:p w14:paraId="5BB8BBB3">
            <w:pPr>
              <w:adjustRightInd w:val="0"/>
              <w:snapToGrid w:val="0"/>
              <w:spacing w:line="360" w:lineRule="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lang w:val="en-US" w:eastAsia="zh-CN"/>
              </w:rPr>
              <w:t>4.</w:t>
            </w:r>
            <w:r>
              <w:rPr>
                <w:rFonts w:hint="default" w:ascii="Times New Roman" w:hAnsi="Times New Roman" w:eastAsia="宋体" w:cs="Times New Roman"/>
                <w:bCs/>
                <w:color w:val="auto"/>
                <w:sz w:val="24"/>
                <w:szCs w:val="24"/>
                <w:highlight w:val="none"/>
              </w:rPr>
              <w:t>环境管理要求</w:t>
            </w:r>
          </w:p>
          <w:p w14:paraId="10B81706">
            <w:pPr>
              <w:spacing w:line="360" w:lineRule="auto"/>
              <w:ind w:firstLine="482" w:firstLineChars="200"/>
              <w:rPr>
                <w:b/>
                <w:color w:val="auto"/>
                <w:sz w:val="24"/>
                <w:szCs w:val="24"/>
                <w:highlight w:val="none"/>
              </w:rPr>
            </w:pPr>
            <w:r>
              <w:rPr>
                <w:rFonts w:hint="default"/>
                <w:b/>
                <w:color w:val="auto"/>
                <w:sz w:val="24"/>
                <w:szCs w:val="24"/>
                <w:highlight w:val="none"/>
              </w:rPr>
              <w:t>①一般废物</w:t>
            </w:r>
          </w:p>
          <w:p w14:paraId="11F133BB">
            <w:pPr>
              <w:spacing w:line="360" w:lineRule="auto"/>
              <w:ind w:firstLine="480" w:firstLineChars="200"/>
              <w:rPr>
                <w:color w:val="auto"/>
                <w:kern w:val="0"/>
                <w:sz w:val="24"/>
                <w:szCs w:val="24"/>
                <w:highlight w:val="none"/>
              </w:rPr>
            </w:pPr>
            <w:r>
              <w:rPr>
                <w:color w:val="auto"/>
                <w:sz w:val="24"/>
                <w:szCs w:val="24"/>
                <w:highlight w:val="none"/>
              </w:rPr>
              <w:t>本项目一般固废</w:t>
            </w:r>
            <w:r>
              <w:rPr>
                <w:rFonts w:hint="default"/>
                <w:color w:val="auto"/>
                <w:sz w:val="24"/>
                <w:szCs w:val="24"/>
                <w:highlight w:val="none"/>
              </w:rPr>
              <w:t>贮存库</w:t>
            </w:r>
            <w:r>
              <w:rPr>
                <w:color w:val="auto"/>
                <w:sz w:val="24"/>
                <w:szCs w:val="24"/>
                <w:highlight w:val="none"/>
              </w:rPr>
              <w:t>需</w:t>
            </w:r>
            <w:r>
              <w:rPr>
                <w:rFonts w:hint="default"/>
                <w:color w:val="auto"/>
                <w:kern w:val="0"/>
                <w:sz w:val="24"/>
                <w:szCs w:val="24"/>
                <w:highlight w:val="none"/>
              </w:rPr>
              <w:t>满足防风、防雨、防晒、防扬尘的要求；一般固废贮存库应设置防止雨水流入的导流渠和固废储存场标识，地面硬化。一般固废贮存库建设严格按照《一般工业固体废物贮存和填埋污染控制标准》（GB18599-2020）的相关要求建设，满足相应的选址、防渗、入场、运行等技术要求。</w:t>
            </w:r>
            <w:r>
              <w:rPr>
                <w:rFonts w:hint="default"/>
                <w:color w:val="auto"/>
                <w:kern w:val="0"/>
                <w:sz w:val="24"/>
                <w:szCs w:val="24"/>
                <w:highlight w:val="none"/>
                <w:lang w:val="zh-CN"/>
              </w:rPr>
              <w:t>一般固废贮存库进行防渗处理，防渗层为至少0.75m厚黏土层（渗透</w:t>
            </w:r>
            <w:r>
              <w:rPr>
                <w:rFonts w:hint="default"/>
                <w:color w:val="auto"/>
                <w:kern w:val="0"/>
                <w:sz w:val="24"/>
                <w:szCs w:val="24"/>
                <w:highlight w:val="none"/>
              </w:rPr>
              <w:t>系数</w:t>
            </w:r>
            <w:r>
              <w:rPr>
                <w:color w:val="auto"/>
                <w:kern w:val="0"/>
                <w:sz w:val="24"/>
                <w:szCs w:val="24"/>
                <w:highlight w:val="none"/>
                <w:lang w:val="zh-CN"/>
              </w:rPr>
              <w:t>≤</w:t>
            </w:r>
            <w:r>
              <w:rPr>
                <w:rFonts w:hint="default"/>
                <w:color w:val="auto"/>
                <w:kern w:val="0"/>
                <w:sz w:val="24"/>
                <w:szCs w:val="24"/>
                <w:highlight w:val="none"/>
                <w:lang w:val="zh-CN"/>
              </w:rPr>
              <w:t>10</w:t>
            </w:r>
            <w:r>
              <w:rPr>
                <w:rFonts w:hint="default"/>
                <w:color w:val="auto"/>
                <w:kern w:val="0"/>
                <w:sz w:val="24"/>
                <w:szCs w:val="24"/>
                <w:highlight w:val="none"/>
                <w:vertAlign w:val="superscript"/>
                <w:lang w:val="zh-CN"/>
              </w:rPr>
              <w:t>-7</w:t>
            </w:r>
            <w:r>
              <w:rPr>
                <w:rFonts w:hint="default"/>
                <w:color w:val="auto"/>
                <w:kern w:val="0"/>
                <w:sz w:val="24"/>
                <w:szCs w:val="24"/>
                <w:highlight w:val="none"/>
                <w:lang w:val="zh-CN"/>
              </w:rPr>
              <w:t>cm/s）或1.5mm高密度聚乙烯或其他人工材料，渗透</w:t>
            </w:r>
            <w:r>
              <w:rPr>
                <w:rFonts w:hint="default"/>
                <w:color w:val="auto"/>
                <w:kern w:val="0"/>
                <w:sz w:val="24"/>
                <w:szCs w:val="24"/>
                <w:highlight w:val="none"/>
              </w:rPr>
              <w:t>系数</w:t>
            </w:r>
            <w:r>
              <w:rPr>
                <w:color w:val="auto"/>
                <w:kern w:val="0"/>
                <w:sz w:val="24"/>
                <w:szCs w:val="24"/>
                <w:highlight w:val="none"/>
                <w:lang w:val="zh-CN"/>
              </w:rPr>
              <w:t>≤</w:t>
            </w:r>
            <w:r>
              <w:rPr>
                <w:rFonts w:hint="default"/>
                <w:color w:val="auto"/>
                <w:kern w:val="0"/>
                <w:sz w:val="24"/>
                <w:szCs w:val="24"/>
                <w:highlight w:val="none"/>
                <w:lang w:val="zh-CN"/>
              </w:rPr>
              <w:t>10</w:t>
            </w:r>
            <w:r>
              <w:rPr>
                <w:rFonts w:hint="default"/>
                <w:color w:val="auto"/>
                <w:kern w:val="0"/>
                <w:sz w:val="24"/>
                <w:szCs w:val="24"/>
                <w:highlight w:val="none"/>
                <w:vertAlign w:val="superscript"/>
                <w:lang w:val="zh-CN"/>
              </w:rPr>
              <w:t>-7</w:t>
            </w:r>
            <w:r>
              <w:rPr>
                <w:rFonts w:hint="default"/>
                <w:color w:val="auto"/>
                <w:kern w:val="0"/>
                <w:sz w:val="24"/>
                <w:szCs w:val="24"/>
                <w:highlight w:val="none"/>
                <w:lang w:val="zh-CN"/>
              </w:rPr>
              <w:t>cm/s。危险废物和生活垃圾不得进入一般工业固体废物</w:t>
            </w:r>
            <w:r>
              <w:rPr>
                <w:rFonts w:hint="default"/>
                <w:color w:val="auto"/>
                <w:kern w:val="0"/>
                <w:sz w:val="24"/>
                <w:szCs w:val="24"/>
                <w:highlight w:val="none"/>
              </w:rPr>
              <w:t>贮存库</w:t>
            </w:r>
            <w:r>
              <w:rPr>
                <w:rFonts w:hint="default"/>
                <w:color w:val="auto"/>
                <w:kern w:val="0"/>
                <w:sz w:val="24"/>
                <w:szCs w:val="24"/>
                <w:highlight w:val="none"/>
                <w:lang w:val="zh-CN"/>
              </w:rPr>
              <w:t>；不相容的一般工业固体废物应设置不同的分区进行贮存。</w:t>
            </w:r>
          </w:p>
          <w:p w14:paraId="3A129F80">
            <w:pPr>
              <w:autoSpaceDE w:val="0"/>
              <w:autoSpaceDN w:val="0"/>
              <w:spacing w:line="360" w:lineRule="auto"/>
              <w:ind w:firstLine="480" w:firstLineChars="200"/>
              <w:textAlignment w:val="baseline"/>
              <w:rPr>
                <w:bCs/>
                <w:color w:val="auto"/>
                <w:sz w:val="24"/>
                <w:szCs w:val="24"/>
                <w:highlight w:val="none"/>
              </w:rPr>
            </w:pPr>
            <w:r>
              <w:rPr>
                <w:rFonts w:hint="default"/>
                <w:color w:val="auto"/>
                <w:kern w:val="0"/>
                <w:sz w:val="24"/>
                <w:szCs w:val="24"/>
                <w:highlight w:val="none"/>
              </w:rPr>
              <w:t>根据《一般工业固体废物管理台账制定指南（试行）》（生态环境部公告2021年第82号）相关规定，建设单位根据实际生产运营情况记录固体废物产生信息及流向信息，记录固体废物的产生、贮存、利用、处置数量和利用、处置方式等信息；台账记录表各表单的负责人对记录信息的真实性、完整性和规范性负责。建设单位应当设立专人负责台账的管理与归档，一般工业固体废物管理台账保存期限不少于5年。</w:t>
            </w:r>
          </w:p>
          <w:p w14:paraId="54B89460">
            <w:pPr>
              <w:spacing w:line="360" w:lineRule="auto"/>
              <w:ind w:firstLine="480" w:firstLineChars="200"/>
              <w:rPr>
                <w:color w:val="auto"/>
                <w:sz w:val="24"/>
                <w:szCs w:val="24"/>
                <w:highlight w:val="none"/>
              </w:rPr>
            </w:pPr>
            <w:r>
              <w:rPr>
                <w:bCs/>
                <w:color w:val="auto"/>
                <w:sz w:val="24"/>
                <w:szCs w:val="24"/>
                <w:highlight w:val="none"/>
              </w:rPr>
              <w:t>本项目</w:t>
            </w:r>
            <w:r>
              <w:rPr>
                <w:rFonts w:hint="default"/>
                <w:bCs/>
                <w:color w:val="auto"/>
                <w:sz w:val="24"/>
                <w:szCs w:val="24"/>
                <w:highlight w:val="none"/>
              </w:rPr>
              <w:t>在</w:t>
            </w:r>
            <w:r>
              <w:rPr>
                <w:bCs/>
                <w:color w:val="auto"/>
                <w:sz w:val="24"/>
                <w:szCs w:val="24"/>
                <w:highlight w:val="none"/>
              </w:rPr>
              <w:t>厂区内设置若干个垃圾收集箱，可满足本项目生活垃圾的存储需求，且生活垃圾及时清运，不会对外环境产生污染影响。</w:t>
            </w:r>
          </w:p>
          <w:p w14:paraId="0F5F2176">
            <w:pPr>
              <w:spacing w:line="360" w:lineRule="auto"/>
              <w:ind w:firstLine="482" w:firstLineChars="200"/>
              <w:rPr>
                <w:b/>
                <w:color w:val="auto"/>
                <w:sz w:val="24"/>
                <w:szCs w:val="24"/>
                <w:highlight w:val="none"/>
              </w:rPr>
            </w:pPr>
            <w:r>
              <w:rPr>
                <w:rFonts w:hint="default"/>
                <w:b/>
                <w:color w:val="auto"/>
                <w:sz w:val="24"/>
                <w:szCs w:val="24"/>
                <w:highlight w:val="none"/>
              </w:rPr>
              <w:t>②危险废物管理要求</w:t>
            </w:r>
          </w:p>
          <w:p w14:paraId="36B11613">
            <w:pPr>
              <w:spacing w:line="360" w:lineRule="auto"/>
              <w:ind w:firstLine="480" w:firstLineChars="200"/>
              <w:rPr>
                <w:bCs/>
                <w:color w:val="auto"/>
                <w:sz w:val="24"/>
                <w:szCs w:val="24"/>
                <w:highlight w:val="none"/>
              </w:rPr>
            </w:pPr>
            <w:r>
              <w:rPr>
                <w:rFonts w:hint="default"/>
                <w:bCs/>
                <w:color w:val="auto"/>
                <w:sz w:val="24"/>
                <w:szCs w:val="24"/>
                <w:highlight w:val="none"/>
              </w:rPr>
              <w:t>项目产生的危险废物暂存于危废贮存库内，对产生的危险废物进行分区、分类暂存后，委托有资质的单位安全处置。按照《危险废物转移管理办法》</w:t>
            </w:r>
            <w:r>
              <w:rPr>
                <w:rFonts w:hint="default"/>
                <w:bCs/>
                <w:color w:val="auto"/>
                <w:sz w:val="24"/>
                <w:szCs w:val="24"/>
                <w:highlight w:val="none"/>
                <w:lang w:eastAsia="zh-CN"/>
              </w:rPr>
              <w:t>（</w:t>
            </w:r>
            <w:r>
              <w:rPr>
                <w:rFonts w:hint="default"/>
                <w:bCs/>
                <w:color w:val="auto"/>
                <w:sz w:val="24"/>
                <w:szCs w:val="24"/>
                <w:highlight w:val="none"/>
              </w:rPr>
              <w:t>部令第23号</w:t>
            </w:r>
            <w:r>
              <w:rPr>
                <w:rFonts w:hint="default"/>
                <w:bCs/>
                <w:color w:val="auto"/>
                <w:sz w:val="24"/>
                <w:szCs w:val="24"/>
                <w:highlight w:val="none"/>
                <w:lang w:eastAsia="zh-CN"/>
              </w:rPr>
              <w:t>）</w:t>
            </w:r>
            <w:r>
              <w:rPr>
                <w:rFonts w:hint="default"/>
                <w:bCs/>
                <w:color w:val="auto"/>
                <w:sz w:val="24"/>
                <w:szCs w:val="24"/>
                <w:highlight w:val="none"/>
              </w:rPr>
              <w:t>、《危险废物收集贮存运输技术规范》</w:t>
            </w:r>
            <w:r>
              <w:rPr>
                <w:rFonts w:hint="default"/>
                <w:bCs/>
                <w:color w:val="auto"/>
                <w:sz w:val="24"/>
                <w:szCs w:val="24"/>
                <w:highlight w:val="none"/>
                <w:lang w:eastAsia="zh-CN"/>
              </w:rPr>
              <w:t>（</w:t>
            </w:r>
            <w:r>
              <w:rPr>
                <w:rFonts w:hint="default"/>
                <w:bCs/>
                <w:color w:val="auto"/>
                <w:sz w:val="24"/>
                <w:szCs w:val="24"/>
                <w:highlight w:val="none"/>
              </w:rPr>
              <w:t>HJ2025-2012</w:t>
            </w:r>
            <w:r>
              <w:rPr>
                <w:rFonts w:hint="default"/>
                <w:bCs/>
                <w:color w:val="auto"/>
                <w:sz w:val="24"/>
                <w:szCs w:val="24"/>
                <w:highlight w:val="none"/>
                <w:lang w:eastAsia="zh-CN"/>
              </w:rPr>
              <w:t>）</w:t>
            </w:r>
            <w:r>
              <w:rPr>
                <w:rFonts w:hint="default"/>
                <w:bCs/>
                <w:color w:val="auto"/>
                <w:sz w:val="24"/>
                <w:szCs w:val="24"/>
                <w:highlight w:val="none"/>
              </w:rPr>
              <w:t>、《危险废物管理计划和管理台账制定技术导则》（HJ1259-2022）、《危险废物贮存污染控制标准》（GB18597—2023）等相关要求对危险固废贮存、收集、转移、管理等。具体详见下表。</w:t>
            </w:r>
          </w:p>
          <w:p w14:paraId="2321A557">
            <w:pPr>
              <w:pStyle w:val="69"/>
              <w:spacing w:before="0"/>
              <w:rPr>
                <w:rFonts w:ascii="Times New Roman" w:hAnsi="Times New Roman" w:eastAsia="宋体"/>
                <w:b/>
                <w:color w:val="auto"/>
                <w:sz w:val="24"/>
                <w:szCs w:val="24"/>
                <w:highlight w:val="none"/>
              </w:rPr>
            </w:pPr>
            <w:r>
              <w:rPr>
                <w:rFonts w:ascii="Times New Roman" w:hAnsi="Times New Roman" w:eastAsia="宋体"/>
                <w:b/>
                <w:color w:val="auto"/>
                <w:sz w:val="24"/>
                <w:szCs w:val="24"/>
                <w:highlight w:val="none"/>
              </w:rPr>
              <w:t>表</w:t>
            </w:r>
            <w:r>
              <w:rPr>
                <w:rFonts w:hint="default" w:ascii="Times New Roman" w:hAnsi="Times New Roman" w:eastAsia="宋体"/>
                <w:b/>
                <w:color w:val="auto"/>
                <w:sz w:val="24"/>
                <w:szCs w:val="24"/>
                <w:highlight w:val="none"/>
              </w:rPr>
              <w:t>4-</w:t>
            </w:r>
            <w:r>
              <w:rPr>
                <w:rFonts w:hint="eastAsia"/>
                <w:b/>
                <w:color w:val="auto"/>
                <w:sz w:val="24"/>
                <w:szCs w:val="24"/>
                <w:highlight w:val="none"/>
                <w:lang w:val="en-US" w:eastAsia="zh-CN"/>
              </w:rPr>
              <w:t>1</w:t>
            </w:r>
            <w:r>
              <w:rPr>
                <w:rFonts w:hint="default" w:ascii="Times New Roman" w:hAnsi="Times New Roman" w:eastAsia="宋体"/>
                <w:b/>
                <w:color w:val="auto"/>
                <w:sz w:val="24"/>
                <w:szCs w:val="24"/>
                <w:highlight w:val="none"/>
                <w:lang w:val="en-US" w:eastAsia="zh-CN"/>
              </w:rPr>
              <w:t>7</w:t>
            </w:r>
            <w:r>
              <w:rPr>
                <w:rFonts w:hint="default" w:ascii="Times New Roman" w:hAnsi="Times New Roman" w:eastAsia="宋体"/>
                <w:b/>
                <w:color w:val="auto"/>
                <w:sz w:val="24"/>
                <w:szCs w:val="24"/>
                <w:highlight w:val="none"/>
              </w:rPr>
              <w:t>危险废物管理要求一览表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8557"/>
            </w:tblGrid>
            <w:tr w14:paraId="0D80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96" w:type="pct"/>
                  <w:vAlign w:val="center"/>
                </w:tcPr>
                <w:p w14:paraId="44E2EF68">
                  <w:pPr>
                    <w:ind w:left="-120" w:leftChars="-50" w:right="-120" w:rightChars="-50"/>
                    <w:jc w:val="center"/>
                    <w:rPr>
                      <w:bCs/>
                      <w:snapToGrid w:val="0"/>
                      <w:color w:val="auto"/>
                      <w:kern w:val="0"/>
                      <w:sz w:val="24"/>
                      <w:szCs w:val="24"/>
                      <w:highlight w:val="none"/>
                    </w:rPr>
                  </w:pPr>
                  <w:r>
                    <w:rPr>
                      <w:rFonts w:hint="default"/>
                      <w:bCs/>
                      <w:snapToGrid w:val="0"/>
                      <w:color w:val="auto"/>
                      <w:kern w:val="0"/>
                      <w:sz w:val="24"/>
                      <w:szCs w:val="24"/>
                      <w:highlight w:val="none"/>
                    </w:rPr>
                    <w:t>环节</w:t>
                  </w:r>
                </w:p>
              </w:tc>
              <w:tc>
                <w:tcPr>
                  <w:tcW w:w="4704" w:type="pct"/>
                  <w:vAlign w:val="center"/>
                </w:tcPr>
                <w:p w14:paraId="26309D20">
                  <w:pPr>
                    <w:ind w:left="-120" w:leftChars="-50" w:right="-120" w:rightChars="-50"/>
                    <w:jc w:val="center"/>
                    <w:rPr>
                      <w:bCs/>
                      <w:snapToGrid w:val="0"/>
                      <w:color w:val="auto"/>
                      <w:kern w:val="0"/>
                      <w:sz w:val="24"/>
                      <w:szCs w:val="24"/>
                      <w:highlight w:val="none"/>
                    </w:rPr>
                  </w:pPr>
                  <w:r>
                    <w:rPr>
                      <w:rFonts w:hint="default"/>
                      <w:bCs/>
                      <w:snapToGrid w:val="0"/>
                      <w:color w:val="auto"/>
                      <w:kern w:val="0"/>
                      <w:sz w:val="24"/>
                      <w:szCs w:val="24"/>
                      <w:highlight w:val="none"/>
                    </w:rPr>
                    <w:t>管理要求</w:t>
                  </w:r>
                </w:p>
              </w:tc>
            </w:tr>
            <w:tr w14:paraId="7359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96" w:type="pct"/>
                  <w:vAlign w:val="center"/>
                </w:tcPr>
                <w:p w14:paraId="72370460">
                  <w:pPr>
                    <w:ind w:left="-120" w:leftChars="-50" w:right="-120" w:rightChars="-50"/>
                    <w:jc w:val="center"/>
                    <w:rPr>
                      <w:snapToGrid w:val="0"/>
                      <w:color w:val="auto"/>
                      <w:kern w:val="0"/>
                      <w:sz w:val="24"/>
                      <w:szCs w:val="24"/>
                      <w:highlight w:val="none"/>
                    </w:rPr>
                  </w:pPr>
                  <w:r>
                    <w:rPr>
                      <w:rFonts w:hint="default"/>
                      <w:snapToGrid w:val="0"/>
                      <w:color w:val="auto"/>
                      <w:kern w:val="0"/>
                      <w:sz w:val="24"/>
                      <w:szCs w:val="24"/>
                      <w:highlight w:val="none"/>
                    </w:rPr>
                    <w:t>危废贮存库的建设要求</w:t>
                  </w:r>
                </w:p>
              </w:tc>
              <w:tc>
                <w:tcPr>
                  <w:tcW w:w="4704" w:type="pct"/>
                  <w:vAlign w:val="center"/>
                </w:tcPr>
                <w:p w14:paraId="52959C7B">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①贮存设施应根据危险废物的形态、物理化学性质、包装形式和污染物迁移途径，采取必要的防风、防晒、防雨、防漏、防渗、防腐以及其他环境污染防治措施，不应露天堆放危险废物。</w:t>
                  </w:r>
                </w:p>
                <w:p w14:paraId="156A77DB">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②</w:t>
                  </w:r>
                  <w:r>
                    <w:rPr>
                      <w:snapToGrid w:val="0"/>
                      <w:color w:val="auto"/>
                      <w:kern w:val="0"/>
                      <w:sz w:val="24"/>
                      <w:szCs w:val="24"/>
                      <w:highlight w:val="none"/>
                    </w:rPr>
                    <w:t>贮存设施或贮存分区内地面、墙面裙脚、堵截泄漏的围堰、接触危险废物的隔板和墙体等应采用坚固的材料建造，表面无裂缝。</w:t>
                  </w:r>
                </w:p>
                <w:p w14:paraId="1D78334D">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③</w:t>
                  </w:r>
                  <w:r>
                    <w:rPr>
                      <w:snapToGrid w:val="0"/>
                      <w:color w:val="auto"/>
                      <w:kern w:val="0"/>
                      <w:sz w:val="24"/>
                      <w:szCs w:val="24"/>
                      <w:highlight w:val="none"/>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snapToGrid w:val="0"/>
                      <w:color w:val="auto"/>
                      <w:kern w:val="0"/>
                      <w:sz w:val="24"/>
                      <w:szCs w:val="24"/>
                      <w:highlight w:val="none"/>
                      <w:vertAlign w:val="superscript"/>
                    </w:rPr>
                    <w:t>-7</w:t>
                  </w:r>
                  <w:r>
                    <w:rPr>
                      <w:snapToGrid w:val="0"/>
                      <w:color w:val="auto"/>
                      <w:kern w:val="0"/>
                      <w:sz w:val="24"/>
                      <w:szCs w:val="24"/>
                      <w:highlight w:val="none"/>
                    </w:rPr>
                    <w:t>cm/s），或至少2mm厚高密度聚乙烯膜等人工防渗材料（渗透系数不大于10</w:t>
                  </w:r>
                  <w:r>
                    <w:rPr>
                      <w:snapToGrid w:val="0"/>
                      <w:color w:val="auto"/>
                      <w:kern w:val="0"/>
                      <w:sz w:val="24"/>
                      <w:szCs w:val="24"/>
                      <w:highlight w:val="none"/>
                      <w:vertAlign w:val="superscript"/>
                    </w:rPr>
                    <w:t>-10</w:t>
                  </w:r>
                  <w:r>
                    <w:rPr>
                      <w:snapToGrid w:val="0"/>
                      <w:color w:val="auto"/>
                      <w:kern w:val="0"/>
                      <w:sz w:val="24"/>
                      <w:szCs w:val="24"/>
                      <w:highlight w:val="none"/>
                    </w:rPr>
                    <w:t>cm/s），或其他防渗性能等效的材料。</w:t>
                  </w:r>
                </w:p>
                <w:p w14:paraId="735C5E34">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④同一贮存设施宜采用相同的防渗、防腐工艺（包括防渗、防腐结构或材料），防渗、防腐材料应覆盖所有可能与废物及其渗滤液、渗漏液等接触的构筑物表面；采用不同防渗、防腐工艺应分别建设贮存分区。</w:t>
                  </w:r>
                </w:p>
                <w:p w14:paraId="44BBF398">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⑤</w:t>
                  </w:r>
                  <w:r>
                    <w:rPr>
                      <w:snapToGrid w:val="0"/>
                      <w:color w:val="auto"/>
                      <w:kern w:val="0"/>
                      <w:sz w:val="24"/>
                      <w:szCs w:val="24"/>
                      <w:highlight w:val="none"/>
                    </w:rPr>
                    <w:t>不同贮存分区之间应采取隔离措施。隔离措施可根据危险废物特性采用过道、隔板或隔墙等方式。</w:t>
                  </w:r>
                </w:p>
                <w:p w14:paraId="6865CADA">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⑥贮存液态危险废物的，应具有液体泄漏堵截设施，堵截设施最小容积不应低于对应贮存区域最大液态废物容器容积或液态废物总储量1/10（二者取较大者）。</w:t>
                  </w:r>
                </w:p>
              </w:tc>
            </w:tr>
            <w:tr w14:paraId="244A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96" w:type="pct"/>
                  <w:vAlign w:val="center"/>
                </w:tcPr>
                <w:p w14:paraId="646EB639">
                  <w:pPr>
                    <w:ind w:left="-120" w:leftChars="-50" w:right="-120" w:rightChars="-50"/>
                    <w:jc w:val="center"/>
                    <w:rPr>
                      <w:snapToGrid w:val="0"/>
                      <w:color w:val="auto"/>
                      <w:kern w:val="0"/>
                      <w:sz w:val="24"/>
                      <w:szCs w:val="24"/>
                      <w:highlight w:val="none"/>
                    </w:rPr>
                  </w:pPr>
                  <w:r>
                    <w:rPr>
                      <w:rFonts w:hint="default"/>
                      <w:snapToGrid w:val="0"/>
                      <w:color w:val="auto"/>
                      <w:kern w:val="0"/>
                      <w:sz w:val="24"/>
                      <w:szCs w:val="24"/>
                      <w:highlight w:val="none"/>
                    </w:rPr>
                    <w:t>容器和包装物控制要求</w:t>
                  </w:r>
                </w:p>
              </w:tc>
              <w:tc>
                <w:tcPr>
                  <w:tcW w:w="4704" w:type="pct"/>
                  <w:vAlign w:val="center"/>
                </w:tcPr>
                <w:p w14:paraId="3104F156">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①容器和包装物材质、内衬应与盛装的危险废物相容，满足相应的防渗、防漏、防腐和强度等要求。</w:t>
                  </w:r>
                </w:p>
                <w:p w14:paraId="4B7F2C2C">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②硬质容器和包装物及其支护结构堆叠码放时不应有明显变形，无破损泄漏。柔性容器和包装物堆叠码放时应封口严密，无破损泄漏。</w:t>
                  </w:r>
                </w:p>
                <w:p w14:paraId="780011C0">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③使用容器盛装液态、半固态危险废物时，容器内部应留有适当的空间，以适应因温度变化等可能引发的收缩和膨胀，防止其导致容器渗漏或永久变形。</w:t>
                  </w:r>
                </w:p>
                <w:p w14:paraId="59571E16">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④容器和包装物外表面应保持清洁。</w:t>
                  </w:r>
                </w:p>
              </w:tc>
            </w:tr>
            <w:tr w14:paraId="0418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161E894A">
                  <w:pPr>
                    <w:ind w:left="-120" w:leftChars="-50" w:right="-120" w:rightChars="-50"/>
                    <w:jc w:val="center"/>
                    <w:rPr>
                      <w:snapToGrid w:val="0"/>
                      <w:color w:val="auto"/>
                      <w:kern w:val="0"/>
                      <w:sz w:val="24"/>
                      <w:szCs w:val="24"/>
                      <w:highlight w:val="none"/>
                    </w:rPr>
                  </w:pPr>
                  <w:r>
                    <w:rPr>
                      <w:rFonts w:hint="default"/>
                      <w:snapToGrid w:val="0"/>
                      <w:color w:val="auto"/>
                      <w:kern w:val="0"/>
                      <w:sz w:val="24"/>
                      <w:szCs w:val="24"/>
                      <w:highlight w:val="none"/>
                    </w:rPr>
                    <w:t>收集</w:t>
                  </w:r>
                </w:p>
                <w:p w14:paraId="4E211955">
                  <w:pPr>
                    <w:ind w:left="-120" w:leftChars="-50" w:right="-120" w:rightChars="-50"/>
                    <w:jc w:val="center"/>
                    <w:rPr>
                      <w:snapToGrid w:val="0"/>
                      <w:color w:val="auto"/>
                      <w:kern w:val="0"/>
                      <w:sz w:val="24"/>
                      <w:szCs w:val="24"/>
                      <w:highlight w:val="none"/>
                    </w:rPr>
                  </w:pPr>
                  <w:r>
                    <w:rPr>
                      <w:rFonts w:hint="default"/>
                      <w:snapToGrid w:val="0"/>
                      <w:color w:val="auto"/>
                      <w:kern w:val="0"/>
                      <w:sz w:val="24"/>
                      <w:szCs w:val="24"/>
                      <w:highlight w:val="none"/>
                    </w:rPr>
                    <w:t>过程控制要求</w:t>
                  </w:r>
                </w:p>
              </w:tc>
              <w:tc>
                <w:tcPr>
                  <w:tcW w:w="4704" w:type="pct"/>
                  <w:vAlign w:val="center"/>
                </w:tcPr>
                <w:p w14:paraId="7896EED4">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①应当制定收集计划，包括收集任务概述、收集目标及原则、危险废物特性评估、收集量估算、收集作业范围和方法、收集设备与包装容器、安全生产和个人防护、工程防护与事故应急、进度安排与组织管理等。</w:t>
                  </w:r>
                </w:p>
                <w:p w14:paraId="4219D6F1">
                  <w:pPr>
                    <w:ind w:left="-120" w:leftChars="-50" w:right="-120" w:rightChars="-50"/>
                    <w:rPr>
                      <w:snapToGrid w:val="0"/>
                      <w:color w:val="auto"/>
                      <w:kern w:val="0"/>
                      <w:sz w:val="24"/>
                      <w:szCs w:val="24"/>
                      <w:highlight w:val="none"/>
                    </w:rPr>
                  </w:pPr>
                  <w:r>
                    <w:rPr>
                      <w:snapToGrid w:val="0"/>
                      <w:color w:val="auto"/>
                      <w:kern w:val="0"/>
                      <w:sz w:val="24"/>
                      <w:szCs w:val="24"/>
                      <w:highlight w:val="none"/>
                    </w:rPr>
                    <w:fldChar w:fldCharType="begin"/>
                  </w:r>
                  <w:r>
                    <w:rPr>
                      <w:snapToGrid w:val="0"/>
                      <w:color w:val="auto"/>
                      <w:kern w:val="0"/>
                      <w:sz w:val="24"/>
                      <w:szCs w:val="24"/>
                      <w:highlight w:val="none"/>
                    </w:rPr>
                    <w:instrText xml:space="preserve"> </w:instrText>
                  </w:r>
                  <w:r>
                    <w:rPr>
                      <w:rFonts w:hint="default"/>
                      <w:snapToGrid w:val="0"/>
                      <w:color w:val="auto"/>
                      <w:kern w:val="0"/>
                      <w:sz w:val="24"/>
                      <w:szCs w:val="24"/>
                      <w:highlight w:val="none"/>
                    </w:rPr>
                    <w:instrText xml:space="preserve">= 2 \* GB3</w:instrText>
                  </w:r>
                  <w:r>
                    <w:rPr>
                      <w:snapToGrid w:val="0"/>
                      <w:color w:val="auto"/>
                      <w:kern w:val="0"/>
                      <w:sz w:val="24"/>
                      <w:szCs w:val="24"/>
                      <w:highlight w:val="none"/>
                    </w:rPr>
                    <w:instrText xml:space="preserve"> </w:instrText>
                  </w:r>
                  <w:r>
                    <w:rPr>
                      <w:snapToGrid w:val="0"/>
                      <w:color w:val="auto"/>
                      <w:kern w:val="0"/>
                      <w:sz w:val="24"/>
                      <w:szCs w:val="24"/>
                      <w:highlight w:val="none"/>
                    </w:rPr>
                    <w:fldChar w:fldCharType="separate"/>
                  </w:r>
                  <w:r>
                    <w:rPr>
                      <w:rFonts w:hint="default"/>
                      <w:snapToGrid w:val="0"/>
                      <w:color w:val="auto"/>
                      <w:kern w:val="0"/>
                      <w:sz w:val="24"/>
                      <w:szCs w:val="24"/>
                      <w:highlight w:val="none"/>
                    </w:rPr>
                    <w:t>②</w:t>
                  </w:r>
                  <w:r>
                    <w:rPr>
                      <w:snapToGrid w:val="0"/>
                      <w:color w:val="auto"/>
                      <w:kern w:val="0"/>
                      <w:sz w:val="24"/>
                      <w:szCs w:val="24"/>
                      <w:highlight w:val="none"/>
                    </w:rPr>
                    <w:fldChar w:fldCharType="end"/>
                  </w:r>
                  <w:r>
                    <w:rPr>
                      <w:snapToGrid w:val="0"/>
                      <w:color w:val="auto"/>
                      <w:kern w:val="0"/>
                      <w:sz w:val="24"/>
                      <w:szCs w:val="24"/>
                      <w:highlight w:val="none"/>
                    </w:rPr>
                    <w:t>应制定详细的操作规程，内容至少包括适用范围、操作程序和方法、专用设备和工具、转移</w:t>
                  </w:r>
                  <w:r>
                    <w:rPr>
                      <w:rFonts w:hint="default"/>
                      <w:snapToGrid w:val="0"/>
                      <w:color w:val="auto"/>
                      <w:kern w:val="0"/>
                      <w:sz w:val="24"/>
                      <w:szCs w:val="24"/>
                      <w:highlight w:val="none"/>
                    </w:rPr>
                    <w:t>和工具、转移和交接、安全保障和应急防护等。</w:t>
                  </w:r>
                </w:p>
                <w:p w14:paraId="075BC3E0">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③</w:t>
                  </w:r>
                  <w:r>
                    <w:rPr>
                      <w:snapToGrid w:val="0"/>
                      <w:color w:val="auto"/>
                      <w:kern w:val="0"/>
                      <w:sz w:val="24"/>
                      <w:szCs w:val="24"/>
                      <w:highlight w:val="none"/>
                    </w:rPr>
                    <w:t>收集和转运作业人员应根据工作需要配备必要的个人防护装备，如手套、防护镜、防护服、防毒面具或口罩等。</w:t>
                  </w:r>
                </w:p>
                <w:p w14:paraId="4C64E9A2">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④</w:t>
                  </w:r>
                  <w:r>
                    <w:rPr>
                      <w:snapToGrid w:val="0"/>
                      <w:color w:val="auto"/>
                      <w:kern w:val="0"/>
                      <w:sz w:val="24"/>
                      <w:szCs w:val="24"/>
                      <w:highlight w:val="none"/>
                    </w:rPr>
                    <w:t>在危险废物收集和转运过程中，应采取相应的安全防护和污染防治措施，包括防爆、防火、防中毒、防感染、防泄漏、防飞扬、防雨或</w:t>
                  </w:r>
                  <w:r>
                    <w:rPr>
                      <w:rFonts w:hint="default"/>
                      <w:snapToGrid w:val="0"/>
                      <w:color w:val="auto"/>
                      <w:kern w:val="0"/>
                      <w:sz w:val="24"/>
                      <w:szCs w:val="24"/>
                      <w:highlight w:val="none"/>
                      <w:lang w:eastAsia="zh-CN"/>
                    </w:rPr>
                    <w:t>其他</w:t>
                  </w:r>
                  <w:r>
                    <w:rPr>
                      <w:snapToGrid w:val="0"/>
                      <w:color w:val="auto"/>
                      <w:kern w:val="0"/>
                      <w:sz w:val="24"/>
                      <w:szCs w:val="24"/>
                      <w:highlight w:val="none"/>
                    </w:rPr>
                    <w:t>防止污染环境的措施。</w:t>
                  </w:r>
                </w:p>
                <w:p w14:paraId="3F5856E5">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⑤</w:t>
                  </w:r>
                  <w:r>
                    <w:rPr>
                      <w:snapToGrid w:val="0"/>
                      <w:color w:val="auto"/>
                      <w:kern w:val="0"/>
                      <w:sz w:val="24"/>
                      <w:szCs w:val="24"/>
                      <w:highlight w:val="none"/>
                    </w:rPr>
                    <w:t>收集作业时划定相应作业区域，同时设置作业界限标志和警示牌。设置危险废物收集专用通道和人员避险通道。配备必要收集工具和包装物、必要的应急监测设备和应急装备。</w:t>
                  </w:r>
                </w:p>
                <w:p w14:paraId="3D2F1898">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⑥</w:t>
                  </w:r>
                  <w:r>
                    <w:rPr>
                      <w:snapToGrid w:val="0"/>
                      <w:color w:val="auto"/>
                      <w:kern w:val="0"/>
                      <w:sz w:val="24"/>
                      <w:szCs w:val="24"/>
                      <w:highlight w:val="none"/>
                    </w:rPr>
                    <w:t>收集作业结束后应及时清理和恢复收集作业区域；在厂区内转运时尽量避开办公区和生活区。填写《危险废物厂内转运记录表》。</w:t>
                  </w:r>
                </w:p>
                <w:p w14:paraId="68EE27AA">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⑦项目所产生的危险废物必须单独收集，严禁和一般固体废物、生活垃圾混装。</w:t>
                  </w:r>
                </w:p>
              </w:tc>
            </w:tr>
            <w:tr w14:paraId="0607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2187140E">
                  <w:pPr>
                    <w:ind w:left="-120" w:leftChars="-50" w:right="-120" w:rightChars="-50"/>
                    <w:jc w:val="center"/>
                    <w:rPr>
                      <w:snapToGrid w:val="0"/>
                      <w:color w:val="auto"/>
                      <w:kern w:val="0"/>
                      <w:sz w:val="24"/>
                      <w:szCs w:val="24"/>
                      <w:highlight w:val="none"/>
                    </w:rPr>
                  </w:pPr>
                  <w:r>
                    <w:rPr>
                      <w:rFonts w:hint="default"/>
                      <w:snapToGrid w:val="0"/>
                      <w:color w:val="auto"/>
                      <w:kern w:val="0"/>
                      <w:sz w:val="24"/>
                      <w:szCs w:val="24"/>
                      <w:highlight w:val="none"/>
                    </w:rPr>
                    <w:t>贮存</w:t>
                  </w:r>
                </w:p>
                <w:p w14:paraId="798CAA0E">
                  <w:pPr>
                    <w:ind w:left="-120" w:leftChars="-50" w:right="-120" w:rightChars="-50"/>
                    <w:jc w:val="center"/>
                    <w:rPr>
                      <w:snapToGrid w:val="0"/>
                      <w:color w:val="auto"/>
                      <w:kern w:val="0"/>
                      <w:sz w:val="24"/>
                      <w:szCs w:val="24"/>
                      <w:highlight w:val="none"/>
                    </w:rPr>
                  </w:pPr>
                  <w:r>
                    <w:rPr>
                      <w:rFonts w:hint="default"/>
                      <w:snapToGrid w:val="0"/>
                      <w:color w:val="auto"/>
                      <w:kern w:val="0"/>
                      <w:sz w:val="24"/>
                      <w:szCs w:val="24"/>
                      <w:highlight w:val="none"/>
                    </w:rPr>
                    <w:t>过程控制要求</w:t>
                  </w:r>
                </w:p>
              </w:tc>
              <w:tc>
                <w:tcPr>
                  <w:tcW w:w="4704" w:type="pct"/>
                  <w:vAlign w:val="center"/>
                </w:tcPr>
                <w:p w14:paraId="63866FBF">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①贮存危险废物应根据危险废物的类别、形态、物理化学性质和污染防治要求进行分类贮存，且应避免危险废物与不相容的物质或材料接触。</w:t>
                  </w:r>
                </w:p>
                <w:p w14:paraId="0B0E3DCD">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②贮存设施或场所、容器和包装物应按HJ1276要求设置危险废物贮存设施或场所标志、危险废物贮存分区标志和危险废物标签等危险废物识别标志。</w:t>
                  </w:r>
                </w:p>
                <w:p w14:paraId="0A75596A">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③危险废物存入贮存设施前应对危险废物类别和特性与危险废物标签等危险废物识别标志的一致性进行核验，不一致的或类别、特性不明的不应存入。</w:t>
                  </w:r>
                </w:p>
                <w:p w14:paraId="750A08E5">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④应定期检查危险废物的贮存状况，及时清理贮存设施地面，更换破损泄漏的危险废物贮存容器和包装物，保证堆存危险废物的防雨、防风、防扬尘等设施功能完好。</w:t>
                  </w:r>
                </w:p>
                <w:p w14:paraId="3A59FA49">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⑤作业设备及车辆等结束作业离开贮存设施时，应对其残留的危险废物进行清理，清理的废物或清洗废水应收集处理。</w:t>
                  </w:r>
                </w:p>
                <w:p w14:paraId="1BDEE420">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⑥贮存设施运行期间，应按国家有关标准和规定建立危险废物管理台账并保存。</w:t>
                  </w:r>
                </w:p>
                <w:p w14:paraId="239EBAD7">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⑦</w:t>
                  </w:r>
                  <w:r>
                    <w:rPr>
                      <w:color w:val="auto"/>
                      <w:sz w:val="24"/>
                      <w:szCs w:val="24"/>
                      <w:highlight w:val="none"/>
                    </w:rPr>
                    <w:t>贮存设施所有者或运营者应建立贮存设施环境管理制度、管理人员岗位职责制度、设施运行操作制度、人员岗位培训制度等。</w:t>
                  </w:r>
                </w:p>
                <w:p w14:paraId="72AB11ED">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⑧贮存设施所有者或运营者应依据国家土壤和地下水污染防治的有关规定，结合贮存设施特点建立土壤和地下水污染隐患排查制度，并定期开展隐患排查；发现隐患应及时采取措施消除隐患，并建立档案。</w:t>
                  </w:r>
                </w:p>
                <w:p w14:paraId="13C52D81">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⑨贮存库应具有固定的区域边界，并应采取与其他区域进行隔离的措施。</w:t>
                  </w:r>
                </w:p>
              </w:tc>
            </w:tr>
            <w:tr w14:paraId="0578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39AF32C5">
                  <w:pPr>
                    <w:ind w:left="-120" w:leftChars="-50" w:right="-120" w:rightChars="-50"/>
                    <w:jc w:val="center"/>
                    <w:rPr>
                      <w:snapToGrid w:val="0"/>
                      <w:color w:val="auto"/>
                      <w:kern w:val="0"/>
                      <w:sz w:val="24"/>
                      <w:szCs w:val="24"/>
                      <w:highlight w:val="none"/>
                    </w:rPr>
                  </w:pPr>
                  <w:r>
                    <w:rPr>
                      <w:rFonts w:hint="default"/>
                      <w:snapToGrid w:val="0"/>
                      <w:color w:val="auto"/>
                      <w:kern w:val="0"/>
                      <w:sz w:val="24"/>
                      <w:szCs w:val="24"/>
                      <w:highlight w:val="none"/>
                    </w:rPr>
                    <w:t>转移管理要求</w:t>
                  </w:r>
                </w:p>
              </w:tc>
              <w:tc>
                <w:tcPr>
                  <w:tcW w:w="4704" w:type="pct"/>
                  <w:vAlign w:val="center"/>
                </w:tcPr>
                <w:p w14:paraId="6392369E">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危险废物转移严格按照《危险废物转移管理办法》（部令第23号）执行。</w:t>
                  </w:r>
                </w:p>
                <w:p w14:paraId="54BBF09E">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①跨省、自治区、直辖市转移（以下简称跨省转移）处置危险废物的，应当以转移至相邻或者开展区域合作的省、自治区、直辖市的危险废物处置设施，以及全国统筹布局的危险废物处置设施为主。</w:t>
                  </w:r>
                </w:p>
                <w:p w14:paraId="756363F1">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②转移危险废物的，应当执行危险废物转移联单制度，法律法规另有规定的除外。通过国家危险废物信息管理系统（以下简称信息系统）填写、运行危险废物电子转移联单，并依照国家有关规定公开危险废物转移相关污染环境防治信息。</w:t>
                  </w:r>
                </w:p>
                <w:p w14:paraId="48EFDD90">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③在危险废物转移过程中应当采取防扬散、防流失、防渗漏或者其他防止污染环境的措施，不得擅自倾倒、堆放、丢弃、遗撒危险废物，并对所造成的环境污染及生态破坏依法承担责任。</w:t>
                  </w:r>
                </w:p>
                <w:p w14:paraId="7703A90A">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④应当按照国家有关要求开展危险废物鉴别。禁止将危险废物以副产品等名义提供或者委托给无危险废物经营许可证的单位或者其他生产经营者从事收集、贮存、利用、处置活动。</w:t>
                  </w:r>
                </w:p>
                <w:p w14:paraId="7A727EC6">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⑤对承运人或者接受人的主体资格和技术能力进行核实，依法签订书面合同，并在合同中约定运输、贮存、利用、处置危险废物的污染防治要求及相关责任。</w:t>
                  </w:r>
                </w:p>
                <w:p w14:paraId="724A30BC">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⑥对转移的危险废物进行计量称重，如实记录、妥善保管转移危险废物的种类、重量（数量）。危险废物转移联单如实填写移出人、承运人、</w:t>
                  </w:r>
                  <w:r>
                    <w:rPr>
                      <w:rFonts w:hint="default"/>
                      <w:snapToGrid w:val="0"/>
                      <w:color w:val="auto"/>
                      <w:kern w:val="0"/>
                      <w:sz w:val="24"/>
                      <w:szCs w:val="24"/>
                      <w:highlight w:val="none"/>
                      <w:lang w:eastAsia="zh-CN"/>
                    </w:rPr>
                    <w:t>接收</w:t>
                  </w:r>
                  <w:r>
                    <w:rPr>
                      <w:rFonts w:hint="default"/>
                      <w:snapToGrid w:val="0"/>
                      <w:color w:val="auto"/>
                      <w:kern w:val="0"/>
                      <w:sz w:val="24"/>
                      <w:szCs w:val="24"/>
                      <w:highlight w:val="none"/>
                    </w:rPr>
                    <w:t>人信息，转移危险废物的种类、重量（数量）、危险特性等信息，以及突发环境事件的防范措施等。</w:t>
                  </w:r>
                </w:p>
                <w:p w14:paraId="747FC374">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⑦危险废物电子转移联单数据应当在信息系统中至少保存十年。</w:t>
                  </w:r>
                </w:p>
              </w:tc>
            </w:tr>
            <w:tr w14:paraId="0651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160698AE">
                  <w:pPr>
                    <w:ind w:left="-120" w:leftChars="-50" w:right="-120" w:rightChars="-50"/>
                    <w:jc w:val="center"/>
                    <w:rPr>
                      <w:snapToGrid w:val="0"/>
                      <w:color w:val="auto"/>
                      <w:kern w:val="0"/>
                      <w:sz w:val="24"/>
                      <w:szCs w:val="24"/>
                      <w:highlight w:val="none"/>
                    </w:rPr>
                  </w:pPr>
                  <w:r>
                    <w:rPr>
                      <w:rFonts w:hint="default"/>
                      <w:snapToGrid w:val="0"/>
                      <w:color w:val="auto"/>
                      <w:kern w:val="0"/>
                      <w:sz w:val="24"/>
                      <w:szCs w:val="24"/>
                      <w:highlight w:val="none"/>
                    </w:rPr>
                    <w:t>企业内部管理要求</w:t>
                  </w:r>
                </w:p>
              </w:tc>
              <w:tc>
                <w:tcPr>
                  <w:tcW w:w="4704" w:type="pct"/>
                  <w:vAlign w:val="center"/>
                </w:tcPr>
                <w:p w14:paraId="0ACAB920">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①应按照国家有关规定编制突发环境事件应急预案，定期开展必要的培训和环境应急演练，并做好培训、演练记录。</w:t>
                  </w:r>
                </w:p>
                <w:p w14:paraId="6682020B">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②按相关规定制订监测方案，对贮存设施污染物排放状况开展自行监测，保存原始监测记录，并公布监测结果。环境监测应纳入主体设施的环境监测计划。</w:t>
                  </w:r>
                </w:p>
                <w:p w14:paraId="500A7D57">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③应配备满足其突发环境事件应急要求的应急人员、装备和物资，并应设置应急照明系统。</w:t>
                  </w:r>
                </w:p>
                <w:p w14:paraId="0819AF6C">
                  <w:pPr>
                    <w:ind w:left="-120" w:leftChars="-50" w:right="-120" w:rightChars="-50"/>
                    <w:rPr>
                      <w:snapToGrid w:val="0"/>
                      <w:color w:val="auto"/>
                      <w:kern w:val="0"/>
                      <w:sz w:val="24"/>
                      <w:szCs w:val="24"/>
                      <w:highlight w:val="none"/>
                    </w:rPr>
                  </w:pPr>
                  <w:r>
                    <w:rPr>
                      <w:snapToGrid w:val="0"/>
                      <w:color w:val="auto"/>
                      <w:kern w:val="0"/>
                      <w:sz w:val="24"/>
                      <w:szCs w:val="24"/>
                      <w:highlight w:val="none"/>
                    </w:rPr>
                    <w:fldChar w:fldCharType="begin"/>
                  </w:r>
                  <w:r>
                    <w:rPr>
                      <w:snapToGrid w:val="0"/>
                      <w:color w:val="auto"/>
                      <w:kern w:val="0"/>
                      <w:sz w:val="24"/>
                      <w:szCs w:val="24"/>
                      <w:highlight w:val="none"/>
                    </w:rPr>
                    <w:instrText xml:space="preserve"> </w:instrText>
                  </w:r>
                  <w:r>
                    <w:rPr>
                      <w:rFonts w:hint="default"/>
                      <w:snapToGrid w:val="0"/>
                      <w:color w:val="auto"/>
                      <w:kern w:val="0"/>
                      <w:sz w:val="24"/>
                      <w:szCs w:val="24"/>
                      <w:highlight w:val="none"/>
                    </w:rPr>
                    <w:instrText xml:space="preserve">= 4 \* GB3</w:instrText>
                  </w:r>
                  <w:r>
                    <w:rPr>
                      <w:snapToGrid w:val="0"/>
                      <w:color w:val="auto"/>
                      <w:kern w:val="0"/>
                      <w:sz w:val="24"/>
                      <w:szCs w:val="24"/>
                      <w:highlight w:val="none"/>
                    </w:rPr>
                    <w:instrText xml:space="preserve"> </w:instrText>
                  </w:r>
                  <w:r>
                    <w:rPr>
                      <w:snapToGrid w:val="0"/>
                      <w:color w:val="auto"/>
                      <w:kern w:val="0"/>
                      <w:sz w:val="24"/>
                      <w:szCs w:val="24"/>
                      <w:highlight w:val="none"/>
                    </w:rPr>
                    <w:fldChar w:fldCharType="separate"/>
                  </w:r>
                  <w:r>
                    <w:rPr>
                      <w:rFonts w:hint="default"/>
                      <w:snapToGrid w:val="0"/>
                      <w:color w:val="auto"/>
                      <w:kern w:val="0"/>
                      <w:sz w:val="24"/>
                      <w:szCs w:val="24"/>
                      <w:highlight w:val="none"/>
                    </w:rPr>
                    <w:t>④</w:t>
                  </w:r>
                  <w:r>
                    <w:rPr>
                      <w:snapToGrid w:val="0"/>
                      <w:color w:val="auto"/>
                      <w:kern w:val="0"/>
                      <w:sz w:val="24"/>
                      <w:szCs w:val="24"/>
                      <w:highlight w:val="none"/>
                    </w:rPr>
                    <w:fldChar w:fldCharType="end"/>
                  </w:r>
                  <w:r>
                    <w:rPr>
                      <w:snapToGrid w:val="0"/>
                      <w:color w:val="auto"/>
                      <w:kern w:val="0"/>
                      <w:sz w:val="24"/>
                      <w:szCs w:val="24"/>
                      <w:highlight w:val="none"/>
                    </w:rPr>
                    <w:t>按《危险</w:t>
                  </w:r>
                  <w:r>
                    <w:rPr>
                      <w:rFonts w:hint="default"/>
                      <w:snapToGrid w:val="0"/>
                      <w:color w:val="auto"/>
                      <w:kern w:val="0"/>
                      <w:sz w:val="24"/>
                      <w:szCs w:val="24"/>
                      <w:highlight w:val="none"/>
                    </w:rPr>
                    <w:t>废物管理计划和管理台账制定技术导则》（HJ</w:t>
                  </w:r>
                  <w:r>
                    <w:rPr>
                      <w:snapToGrid w:val="0"/>
                      <w:color w:val="auto"/>
                      <w:kern w:val="0"/>
                      <w:sz w:val="24"/>
                      <w:szCs w:val="24"/>
                      <w:highlight w:val="none"/>
                    </w:rPr>
                    <w:t>1259-2022</w:t>
                  </w:r>
                  <w:r>
                    <w:rPr>
                      <w:rFonts w:hint="default"/>
                      <w:snapToGrid w:val="0"/>
                      <w:color w:val="auto"/>
                      <w:kern w:val="0"/>
                      <w:sz w:val="24"/>
                      <w:szCs w:val="24"/>
                      <w:highlight w:val="none"/>
                    </w:rPr>
                    <w:t>）要求制定危险废物管理计划，并通过国家危险废物信息管理系统向生产经营场所所在地生态环境主管部门备案。</w:t>
                  </w:r>
                </w:p>
                <w:p w14:paraId="217BAAE8">
                  <w:pPr>
                    <w:ind w:left="-120" w:leftChars="-50" w:right="-120" w:rightChars="-50"/>
                    <w:rPr>
                      <w:snapToGrid w:val="0"/>
                      <w:color w:val="auto"/>
                      <w:kern w:val="0"/>
                      <w:sz w:val="24"/>
                      <w:szCs w:val="24"/>
                      <w:highlight w:val="none"/>
                    </w:rPr>
                  </w:pPr>
                  <w:r>
                    <w:rPr>
                      <w:snapToGrid w:val="0"/>
                      <w:color w:val="auto"/>
                      <w:kern w:val="0"/>
                      <w:sz w:val="24"/>
                      <w:szCs w:val="24"/>
                      <w:highlight w:val="none"/>
                    </w:rPr>
                    <w:fldChar w:fldCharType="begin"/>
                  </w:r>
                  <w:r>
                    <w:rPr>
                      <w:snapToGrid w:val="0"/>
                      <w:color w:val="auto"/>
                      <w:kern w:val="0"/>
                      <w:sz w:val="24"/>
                      <w:szCs w:val="24"/>
                      <w:highlight w:val="none"/>
                    </w:rPr>
                    <w:instrText xml:space="preserve"> </w:instrText>
                  </w:r>
                  <w:r>
                    <w:rPr>
                      <w:rFonts w:hint="default"/>
                      <w:snapToGrid w:val="0"/>
                      <w:color w:val="auto"/>
                      <w:kern w:val="0"/>
                      <w:sz w:val="24"/>
                      <w:szCs w:val="24"/>
                      <w:highlight w:val="none"/>
                    </w:rPr>
                    <w:instrText xml:space="preserve">= 5 \* GB3</w:instrText>
                  </w:r>
                  <w:r>
                    <w:rPr>
                      <w:snapToGrid w:val="0"/>
                      <w:color w:val="auto"/>
                      <w:kern w:val="0"/>
                      <w:sz w:val="24"/>
                      <w:szCs w:val="24"/>
                      <w:highlight w:val="none"/>
                    </w:rPr>
                    <w:instrText xml:space="preserve"> </w:instrText>
                  </w:r>
                  <w:r>
                    <w:rPr>
                      <w:snapToGrid w:val="0"/>
                      <w:color w:val="auto"/>
                      <w:kern w:val="0"/>
                      <w:sz w:val="24"/>
                      <w:szCs w:val="24"/>
                      <w:highlight w:val="none"/>
                    </w:rPr>
                    <w:fldChar w:fldCharType="separate"/>
                  </w:r>
                  <w:r>
                    <w:rPr>
                      <w:rFonts w:hint="default"/>
                      <w:snapToGrid w:val="0"/>
                      <w:color w:val="auto"/>
                      <w:kern w:val="0"/>
                      <w:sz w:val="24"/>
                      <w:szCs w:val="24"/>
                      <w:highlight w:val="none"/>
                    </w:rPr>
                    <w:t>⑤</w:t>
                  </w:r>
                  <w:r>
                    <w:rPr>
                      <w:snapToGrid w:val="0"/>
                      <w:color w:val="auto"/>
                      <w:kern w:val="0"/>
                      <w:sz w:val="24"/>
                      <w:szCs w:val="24"/>
                      <w:highlight w:val="none"/>
                    </w:rPr>
                    <w:fldChar w:fldCharType="end"/>
                  </w:r>
                  <w:r>
                    <w:rPr>
                      <w:rFonts w:hint="default"/>
                      <w:snapToGrid w:val="0"/>
                      <w:color w:val="auto"/>
                      <w:kern w:val="0"/>
                      <w:sz w:val="24"/>
                      <w:szCs w:val="24"/>
                      <w:highlight w:val="none"/>
                    </w:rPr>
                    <w:t>应根据危险废物产生、贮存、利用、处置等环节的动态流向，如实建立各环节的危险废物管理台账，落实危险废物管理台账记录的责任人，明确工作职责，并对危险废物管理台账的真实性、准确性和完整性负法律责任。</w:t>
                  </w:r>
                </w:p>
                <w:p w14:paraId="36FAFD58">
                  <w:pPr>
                    <w:ind w:left="-120" w:leftChars="-50" w:right="-120" w:rightChars="-50"/>
                    <w:rPr>
                      <w:snapToGrid w:val="0"/>
                      <w:color w:val="auto"/>
                      <w:kern w:val="0"/>
                      <w:sz w:val="24"/>
                      <w:szCs w:val="24"/>
                      <w:highlight w:val="none"/>
                    </w:rPr>
                  </w:pPr>
                  <w:r>
                    <w:rPr>
                      <w:rFonts w:hint="default"/>
                      <w:snapToGrid w:val="0"/>
                      <w:color w:val="auto"/>
                      <w:kern w:val="0"/>
                      <w:sz w:val="24"/>
                      <w:szCs w:val="24"/>
                      <w:highlight w:val="none"/>
                    </w:rPr>
                    <w:t>⑥档案保存时间原则上应存档5年以上。</w:t>
                  </w:r>
                </w:p>
              </w:tc>
            </w:tr>
          </w:tbl>
          <w:p w14:paraId="28B34E94">
            <w:pPr>
              <w:adjustRightInd w:val="0"/>
              <w:snapToGrid w:val="0"/>
              <w:spacing w:line="360" w:lineRule="auto"/>
              <w:ind w:firstLine="480" w:firstLineChars="200"/>
              <w:rPr>
                <w:bCs/>
                <w:color w:val="auto"/>
                <w:sz w:val="24"/>
                <w:szCs w:val="24"/>
                <w:highlight w:val="none"/>
              </w:rPr>
            </w:pPr>
            <w:r>
              <w:rPr>
                <w:bCs/>
                <w:color w:val="auto"/>
                <w:sz w:val="24"/>
                <w:szCs w:val="24"/>
                <w:highlight w:val="none"/>
              </w:rPr>
              <w:t>综上，在做到以上固体废物、危险废物防治措施后，本项目产生的固废均能得到合理有效</w:t>
            </w:r>
            <w:r>
              <w:rPr>
                <w:rFonts w:hint="default"/>
                <w:bCs/>
                <w:color w:val="auto"/>
                <w:sz w:val="24"/>
                <w:szCs w:val="24"/>
                <w:highlight w:val="none"/>
                <w:lang w:eastAsia="zh-CN"/>
              </w:rPr>
              <w:t>地</w:t>
            </w:r>
            <w:r>
              <w:rPr>
                <w:bCs/>
                <w:color w:val="auto"/>
                <w:sz w:val="24"/>
                <w:szCs w:val="24"/>
                <w:highlight w:val="none"/>
              </w:rPr>
              <w:t>收集、存储和处置，其全过程不对外环境产生不良影响</w:t>
            </w:r>
            <w:r>
              <w:rPr>
                <w:rFonts w:hint="default"/>
                <w:color w:val="auto"/>
                <w:sz w:val="24"/>
                <w:szCs w:val="24"/>
                <w:highlight w:val="none"/>
              </w:rPr>
              <w:t>。</w:t>
            </w:r>
          </w:p>
          <w:p w14:paraId="31880A2C">
            <w:pPr>
              <w:pStyle w:val="64"/>
              <w:ind w:left="0" w:leftChars="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五、地下水、土壤</w:t>
            </w:r>
          </w:p>
          <w:p w14:paraId="552919E3">
            <w:pPr>
              <w:adjustRightInd w:val="0"/>
              <w:snapToGrid w:val="0"/>
              <w:spacing w:line="360" w:lineRule="auto"/>
              <w:rPr>
                <w:bCs/>
                <w:color w:val="auto"/>
                <w:sz w:val="24"/>
                <w:szCs w:val="24"/>
                <w:highlight w:val="none"/>
              </w:rPr>
            </w:pPr>
            <w:r>
              <w:rPr>
                <w:bCs/>
                <w:color w:val="auto"/>
                <w:sz w:val="24"/>
                <w:szCs w:val="24"/>
                <w:highlight w:val="none"/>
              </w:rPr>
              <w:t>1.污染途径</w:t>
            </w:r>
          </w:p>
          <w:p w14:paraId="24491197">
            <w:pPr>
              <w:adjustRightInd w:val="0"/>
              <w:snapToGrid w:val="0"/>
              <w:spacing w:line="360" w:lineRule="auto"/>
              <w:ind w:firstLine="480" w:firstLineChars="200"/>
              <w:rPr>
                <w:bCs/>
                <w:color w:val="auto"/>
                <w:sz w:val="24"/>
                <w:szCs w:val="24"/>
                <w:highlight w:val="none"/>
              </w:rPr>
            </w:pPr>
            <w:r>
              <w:rPr>
                <w:bCs/>
                <w:color w:val="auto"/>
                <w:sz w:val="24"/>
                <w:szCs w:val="24"/>
                <w:highlight w:val="none"/>
              </w:rPr>
              <w:t>本项目对地下水、土壤产生影响的可能区域是生产车间、危废</w:t>
            </w:r>
            <w:r>
              <w:rPr>
                <w:rFonts w:hint="default"/>
                <w:bCs/>
                <w:color w:val="auto"/>
                <w:sz w:val="24"/>
                <w:szCs w:val="24"/>
                <w:highlight w:val="none"/>
                <w:lang w:val="en-US" w:eastAsia="zh-CN"/>
              </w:rPr>
              <w:t>暂存库</w:t>
            </w:r>
            <w:r>
              <w:rPr>
                <w:bCs/>
                <w:color w:val="auto"/>
                <w:sz w:val="24"/>
                <w:szCs w:val="24"/>
                <w:highlight w:val="none"/>
              </w:rPr>
              <w:t>、固废</w:t>
            </w:r>
            <w:r>
              <w:rPr>
                <w:rFonts w:hint="default"/>
                <w:bCs/>
                <w:color w:val="auto"/>
                <w:sz w:val="24"/>
                <w:szCs w:val="24"/>
                <w:highlight w:val="none"/>
                <w:lang w:val="en-US" w:eastAsia="zh-CN"/>
              </w:rPr>
              <w:t>暂存</w:t>
            </w:r>
            <w:r>
              <w:rPr>
                <w:bCs/>
                <w:color w:val="auto"/>
                <w:sz w:val="24"/>
                <w:szCs w:val="24"/>
                <w:highlight w:val="none"/>
              </w:rPr>
              <w:t>间、化粪池等。</w:t>
            </w:r>
          </w:p>
          <w:p w14:paraId="0C21A363">
            <w:pPr>
              <w:adjustRightInd w:val="0"/>
              <w:snapToGrid w:val="0"/>
              <w:spacing w:line="360" w:lineRule="auto"/>
              <w:rPr>
                <w:bCs/>
                <w:color w:val="auto"/>
                <w:sz w:val="24"/>
                <w:szCs w:val="24"/>
                <w:highlight w:val="none"/>
              </w:rPr>
            </w:pPr>
            <w:r>
              <w:rPr>
                <w:bCs/>
                <w:color w:val="auto"/>
                <w:sz w:val="24"/>
                <w:szCs w:val="24"/>
                <w:highlight w:val="none"/>
              </w:rPr>
              <w:t>2.环境影响分析</w:t>
            </w:r>
          </w:p>
          <w:p w14:paraId="072D3A22">
            <w:pPr>
              <w:adjustRightInd w:val="0"/>
              <w:snapToGrid w:val="0"/>
              <w:spacing w:line="360" w:lineRule="auto"/>
              <w:ind w:firstLine="480" w:firstLineChars="200"/>
              <w:rPr>
                <w:bCs/>
                <w:color w:val="auto"/>
                <w:sz w:val="24"/>
                <w:szCs w:val="24"/>
                <w:highlight w:val="none"/>
              </w:rPr>
            </w:pPr>
            <w:r>
              <w:rPr>
                <w:bCs/>
                <w:color w:val="auto"/>
                <w:sz w:val="24"/>
                <w:szCs w:val="24"/>
                <w:highlight w:val="none"/>
              </w:rPr>
              <w:t>①固体废物污染分析</w:t>
            </w:r>
          </w:p>
          <w:p w14:paraId="3455FF94">
            <w:pPr>
              <w:adjustRightInd w:val="0"/>
              <w:snapToGrid w:val="0"/>
              <w:spacing w:line="360" w:lineRule="auto"/>
              <w:ind w:firstLine="480" w:firstLineChars="200"/>
              <w:rPr>
                <w:bCs/>
                <w:color w:val="auto"/>
                <w:sz w:val="24"/>
                <w:szCs w:val="24"/>
                <w:highlight w:val="none"/>
              </w:rPr>
            </w:pPr>
            <w:r>
              <w:rPr>
                <w:bCs/>
                <w:color w:val="auto"/>
                <w:sz w:val="24"/>
                <w:szCs w:val="24"/>
                <w:highlight w:val="none"/>
              </w:rPr>
              <w:t>危废暂存</w:t>
            </w:r>
            <w:r>
              <w:rPr>
                <w:rFonts w:hint="default"/>
                <w:bCs/>
                <w:color w:val="auto"/>
                <w:sz w:val="24"/>
                <w:szCs w:val="24"/>
                <w:highlight w:val="none"/>
                <w:lang w:val="en-US" w:eastAsia="zh-CN"/>
              </w:rPr>
              <w:t>库</w:t>
            </w:r>
            <w:r>
              <w:rPr>
                <w:bCs/>
                <w:color w:val="auto"/>
                <w:sz w:val="24"/>
                <w:szCs w:val="24"/>
                <w:highlight w:val="none"/>
              </w:rPr>
              <w:t>的危废等在运输、贮存或堆放过程中通过扩散、降水淋洗等直接或间接地影响土壤。</w:t>
            </w:r>
          </w:p>
          <w:p w14:paraId="553850B2">
            <w:pPr>
              <w:adjustRightInd w:val="0"/>
              <w:snapToGrid w:val="0"/>
              <w:spacing w:line="360" w:lineRule="auto"/>
              <w:ind w:firstLine="480" w:firstLineChars="200"/>
              <w:rPr>
                <w:bCs/>
                <w:color w:val="auto"/>
                <w:sz w:val="24"/>
                <w:szCs w:val="24"/>
                <w:highlight w:val="none"/>
              </w:rPr>
            </w:pPr>
            <w:r>
              <w:rPr>
                <w:bCs/>
                <w:color w:val="auto"/>
                <w:sz w:val="24"/>
                <w:szCs w:val="24"/>
                <w:highlight w:val="none"/>
              </w:rPr>
              <w:t>②事故状态下影响分析</w:t>
            </w:r>
          </w:p>
          <w:p w14:paraId="2912EAE2">
            <w:pPr>
              <w:adjustRightInd w:val="0"/>
              <w:snapToGrid w:val="0"/>
              <w:spacing w:line="360" w:lineRule="auto"/>
              <w:ind w:firstLine="480" w:firstLineChars="200"/>
              <w:rPr>
                <w:bCs/>
                <w:color w:val="auto"/>
                <w:sz w:val="24"/>
                <w:szCs w:val="24"/>
                <w:highlight w:val="none"/>
              </w:rPr>
            </w:pPr>
            <w:r>
              <w:rPr>
                <w:bCs/>
                <w:color w:val="auto"/>
                <w:sz w:val="24"/>
                <w:szCs w:val="24"/>
                <w:highlight w:val="none"/>
              </w:rPr>
              <w:t>本项目原料储运、使用过程中发生泄漏，若处理不当，可能会给局部土壤环境带来一定影响。事故状态下消防废水造成地面漫流、垂直下渗，影响局部土壤和地下水环境。</w:t>
            </w:r>
          </w:p>
          <w:p w14:paraId="63F09EB7">
            <w:pPr>
              <w:adjustRightInd w:val="0"/>
              <w:snapToGrid w:val="0"/>
              <w:spacing w:line="360" w:lineRule="auto"/>
              <w:ind w:firstLine="480" w:firstLineChars="200"/>
              <w:rPr>
                <w:bCs/>
                <w:color w:val="auto"/>
                <w:sz w:val="24"/>
                <w:szCs w:val="24"/>
                <w:highlight w:val="none"/>
              </w:rPr>
            </w:pPr>
            <w:r>
              <w:rPr>
                <w:bCs/>
                <w:color w:val="auto"/>
                <w:sz w:val="24"/>
                <w:szCs w:val="24"/>
                <w:highlight w:val="none"/>
              </w:rPr>
              <w:t>3.污染防治措施</w:t>
            </w:r>
          </w:p>
          <w:p w14:paraId="13354DA6">
            <w:pPr>
              <w:adjustRightInd w:val="0"/>
              <w:snapToGrid w:val="0"/>
              <w:spacing w:line="360" w:lineRule="auto"/>
              <w:ind w:firstLine="480" w:firstLineChars="200"/>
              <w:rPr>
                <w:bCs/>
                <w:color w:val="auto"/>
                <w:sz w:val="24"/>
                <w:szCs w:val="24"/>
                <w:highlight w:val="none"/>
              </w:rPr>
            </w:pPr>
            <w:r>
              <w:rPr>
                <w:bCs/>
                <w:color w:val="auto"/>
                <w:sz w:val="24"/>
                <w:szCs w:val="24"/>
                <w:highlight w:val="none"/>
              </w:rPr>
              <w:t>本项目对地下水、土壤产生影响的可能环节是生产车间、危废</w:t>
            </w:r>
            <w:r>
              <w:rPr>
                <w:rFonts w:hint="default"/>
                <w:bCs/>
                <w:color w:val="auto"/>
                <w:sz w:val="24"/>
                <w:szCs w:val="24"/>
                <w:highlight w:val="none"/>
                <w:lang w:val="en-US" w:eastAsia="zh-CN"/>
              </w:rPr>
              <w:t>暂存库</w:t>
            </w:r>
            <w:r>
              <w:rPr>
                <w:bCs/>
                <w:color w:val="auto"/>
                <w:sz w:val="24"/>
                <w:szCs w:val="24"/>
                <w:highlight w:val="none"/>
              </w:rPr>
              <w:t>、固废</w:t>
            </w:r>
            <w:r>
              <w:rPr>
                <w:rFonts w:hint="default"/>
                <w:bCs/>
                <w:color w:val="auto"/>
                <w:sz w:val="24"/>
                <w:szCs w:val="24"/>
                <w:highlight w:val="none"/>
                <w:lang w:val="en-US" w:eastAsia="zh-CN"/>
              </w:rPr>
              <w:t>暂存</w:t>
            </w:r>
            <w:r>
              <w:rPr>
                <w:bCs/>
                <w:color w:val="auto"/>
                <w:sz w:val="24"/>
                <w:szCs w:val="24"/>
                <w:highlight w:val="none"/>
              </w:rPr>
              <w:t>间、污水站、化粪池等。根据原辅料及产品的生产输送、储存等环节，结合项目总平面布置情况，将场地分为重点防渗区、一般防渗区与简单防渗区。</w:t>
            </w:r>
          </w:p>
          <w:p w14:paraId="733EBF79">
            <w:pPr>
              <w:adjustRightInd w:val="0"/>
              <w:snapToGrid w:val="0"/>
              <w:spacing w:line="360" w:lineRule="auto"/>
              <w:ind w:firstLine="480" w:firstLineChars="200"/>
              <w:rPr>
                <w:rFonts w:hint="default"/>
                <w:bCs/>
                <w:color w:val="auto"/>
                <w:sz w:val="24"/>
                <w:szCs w:val="24"/>
                <w:highlight w:val="none"/>
              </w:rPr>
            </w:pPr>
            <w:r>
              <w:rPr>
                <w:bCs/>
                <w:color w:val="auto"/>
                <w:sz w:val="24"/>
                <w:szCs w:val="24"/>
                <w:highlight w:val="none"/>
              </w:rPr>
              <w:t>重点防渗区：对地下水、土壤环境有污染的物料或污染物泄漏后，不能及时发现和处理的区域或部位，主要包括</w:t>
            </w:r>
            <w:r>
              <w:rPr>
                <w:rFonts w:hint="default"/>
                <w:bCs/>
                <w:color w:val="auto"/>
                <w:sz w:val="24"/>
                <w:szCs w:val="24"/>
                <w:highlight w:val="none"/>
                <w:lang w:eastAsia="zh-CN"/>
              </w:rPr>
              <w:t>危废暂存库</w:t>
            </w:r>
            <w:r>
              <w:rPr>
                <w:bCs/>
                <w:color w:val="auto"/>
                <w:sz w:val="24"/>
                <w:szCs w:val="24"/>
                <w:highlight w:val="none"/>
              </w:rPr>
              <w:t>、污水站等。重点污染防治区防渗层的防渗性能不应低于6.0m厚渗透系数为1×10</w:t>
            </w:r>
            <w:r>
              <w:rPr>
                <w:rFonts w:hint="default" w:ascii="Times New Roman" w:hAnsi="Times New Roman" w:cs="Times New Roman"/>
                <w:bCs/>
                <w:color w:val="auto"/>
                <w:sz w:val="24"/>
                <w:szCs w:val="24"/>
                <w:highlight w:val="none"/>
              </w:rPr>
              <w:t>⁻⁷</w:t>
            </w:r>
            <w:r>
              <w:rPr>
                <w:bCs/>
                <w:color w:val="auto"/>
                <w:sz w:val="24"/>
                <w:szCs w:val="24"/>
                <w:highlight w:val="none"/>
              </w:rPr>
              <w:t>cm/s的黏土层的防渗性能。</w:t>
            </w:r>
            <w:r>
              <w:rPr>
                <w:rFonts w:hint="default"/>
                <w:bCs/>
                <w:color w:val="auto"/>
                <w:sz w:val="24"/>
                <w:szCs w:val="24"/>
                <w:highlight w:val="none"/>
                <w:lang w:eastAsia="zh-CN"/>
              </w:rPr>
              <w:t>危废暂存库</w:t>
            </w:r>
            <w:r>
              <w:rPr>
                <w:rFonts w:hint="default"/>
                <w:bCs/>
                <w:color w:val="auto"/>
                <w:sz w:val="24"/>
                <w:szCs w:val="24"/>
                <w:highlight w:val="none"/>
              </w:rPr>
              <w:t>做好基础防渗，防渗层为至少1m厚黏土层（渗透系数≤10</w:t>
            </w:r>
            <w:r>
              <w:rPr>
                <w:rFonts w:hint="default" w:ascii="Times New Roman" w:hAnsi="Times New Roman" w:cs="Times New Roman"/>
                <w:bCs/>
                <w:color w:val="auto"/>
                <w:sz w:val="24"/>
                <w:szCs w:val="24"/>
                <w:highlight w:val="none"/>
              </w:rPr>
              <w:t>⁻⁷</w:t>
            </w:r>
            <w:r>
              <w:rPr>
                <w:rFonts w:hint="default"/>
                <w:bCs/>
                <w:color w:val="auto"/>
                <w:sz w:val="24"/>
                <w:szCs w:val="24"/>
                <w:highlight w:val="none"/>
              </w:rPr>
              <w:t>cm/s），或2mm厚高密度聚乙烯，或至少2mm厚的其他人工材料，渗透系数≤10</w:t>
            </w:r>
            <w:r>
              <w:rPr>
                <w:rFonts w:hint="default" w:ascii="Times New Roman" w:hAnsi="Times New Roman" w:cs="Times New Roman"/>
                <w:bCs/>
                <w:color w:val="auto"/>
                <w:sz w:val="24"/>
                <w:szCs w:val="24"/>
                <w:highlight w:val="none"/>
              </w:rPr>
              <w:t>⁻</w:t>
            </w:r>
            <w:r>
              <w:rPr>
                <w:rFonts w:hint="eastAsia" w:ascii="微软雅黑" w:hAnsi="微软雅黑" w:eastAsia="微软雅黑" w:cs="微软雅黑"/>
                <w:bCs/>
                <w:color w:val="auto"/>
                <w:sz w:val="24"/>
                <w:szCs w:val="24"/>
                <w:highlight w:val="none"/>
              </w:rPr>
              <w:t>¹⁰</w:t>
            </w:r>
            <w:r>
              <w:rPr>
                <w:rFonts w:hint="default"/>
                <w:bCs/>
                <w:color w:val="auto"/>
                <w:sz w:val="24"/>
                <w:szCs w:val="24"/>
                <w:highlight w:val="none"/>
              </w:rPr>
              <w:t>cm/s。</w:t>
            </w:r>
          </w:p>
          <w:p w14:paraId="73EE236F">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一般防渗区：对地下水、土壤环境有污染的物料或污染物泄漏后，可及时发现和处理的区域或部位，主要包括生产车间、固废间、化粪池等。一般污染防治区防渗层的防渗性能不应低于1.5m厚渗透系数为1×10</w:t>
            </w:r>
            <w:r>
              <w:rPr>
                <w:rFonts w:hint="default" w:ascii="Times New Roman" w:hAnsi="Times New Roman" w:cs="Times New Roman"/>
                <w:bCs/>
                <w:color w:val="auto"/>
                <w:sz w:val="24"/>
                <w:szCs w:val="24"/>
                <w:highlight w:val="none"/>
              </w:rPr>
              <w:t>⁻⁷</w:t>
            </w:r>
            <w:r>
              <w:rPr>
                <w:rFonts w:hint="default"/>
                <w:bCs/>
                <w:color w:val="auto"/>
                <w:sz w:val="24"/>
                <w:szCs w:val="24"/>
                <w:highlight w:val="none"/>
              </w:rPr>
              <w:t>cm/s的黏土层的防渗性能。</w:t>
            </w:r>
          </w:p>
          <w:p w14:paraId="3522B1F4">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简单防渗区：一般和重点防渗区以外的区域或部位，如办公楼、道路及室外地面等可进行一般地面硬化即可。</w:t>
            </w:r>
          </w:p>
          <w:p w14:paraId="3DAAA557">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同时一般固废贮存场所防渗效果满足《一般工业固体废物贮存和填埋污染控制标准》（GB18599-2020）中有关规定。</w:t>
            </w:r>
          </w:p>
          <w:p w14:paraId="1C733158">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项目污染防治分区措施见下表。</w:t>
            </w:r>
          </w:p>
          <w:p w14:paraId="473D1B7A">
            <w:pPr>
              <w:pStyle w:val="69"/>
              <w:spacing w:before="0"/>
              <w:rPr>
                <w:rFonts w:hint="default"/>
                <w:bCs/>
                <w:color w:val="auto"/>
                <w:sz w:val="24"/>
                <w:szCs w:val="24"/>
                <w:highlight w:val="none"/>
              </w:rPr>
            </w:pPr>
            <w:r>
              <w:rPr>
                <w:rFonts w:hint="default" w:ascii="Times New Roman" w:hAnsi="Times New Roman" w:eastAsia="宋体"/>
                <w:b/>
                <w:color w:val="auto"/>
                <w:sz w:val="24"/>
                <w:szCs w:val="24"/>
                <w:highlight w:val="none"/>
              </w:rPr>
              <w:t>表4-</w:t>
            </w:r>
            <w:r>
              <w:rPr>
                <w:rFonts w:hint="eastAsia"/>
                <w:b/>
                <w:color w:val="auto"/>
                <w:sz w:val="24"/>
                <w:szCs w:val="24"/>
                <w:highlight w:val="none"/>
                <w:lang w:val="en-US" w:eastAsia="zh-CN"/>
              </w:rPr>
              <w:t>1</w:t>
            </w:r>
            <w:r>
              <w:rPr>
                <w:rFonts w:hint="default"/>
                <w:b/>
                <w:color w:val="auto"/>
                <w:sz w:val="24"/>
                <w:szCs w:val="24"/>
                <w:highlight w:val="none"/>
                <w:lang w:val="en-US" w:eastAsia="zh-CN"/>
              </w:rPr>
              <w:t>8</w:t>
            </w:r>
            <w:r>
              <w:rPr>
                <w:rFonts w:hint="default" w:ascii="Times New Roman" w:hAnsi="Times New Roman" w:eastAsia="宋体"/>
                <w:b/>
                <w:color w:val="auto"/>
                <w:sz w:val="24"/>
                <w:szCs w:val="24"/>
                <w:highlight w:val="none"/>
              </w:rPr>
              <w:t>厂区污染防治分区</w:t>
            </w:r>
            <w:r>
              <w:rPr>
                <w:rFonts w:hint="default"/>
                <w:b/>
                <w:color w:val="auto"/>
                <w:sz w:val="24"/>
                <w:szCs w:val="24"/>
                <w:highlight w:val="none"/>
                <w:lang w:eastAsia="zh-CN"/>
              </w:rPr>
              <w:t>措施</w:t>
            </w:r>
            <w:r>
              <w:rPr>
                <w:rFonts w:hint="default" w:ascii="Times New Roman" w:hAnsi="Times New Roman" w:eastAsia="宋体"/>
                <w:b/>
                <w:color w:val="auto"/>
                <w:sz w:val="24"/>
                <w:szCs w:val="24"/>
                <w:highlight w:val="none"/>
              </w:rPr>
              <w:t>一览表</w:t>
            </w:r>
          </w:p>
          <w:tbl>
            <w:tblPr>
              <w:tblStyle w:val="118"/>
              <w:tblW w:w="4997" w:type="pct"/>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542"/>
              <w:gridCol w:w="1296"/>
              <w:gridCol w:w="1521"/>
              <w:gridCol w:w="4291"/>
              <w:gridCol w:w="1445"/>
            </w:tblGrid>
            <w:tr w14:paraId="3CF55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298" w:type="pct"/>
                  <w:tcBorders>
                    <w:top w:val="single" w:color="000000" w:sz="12" w:space="0"/>
                    <w:left w:val="single" w:color="000000" w:sz="12" w:space="0"/>
                    <w:bottom w:val="single" w:color="000000" w:sz="4" w:space="0"/>
                    <w:right w:val="single" w:color="000000" w:sz="4" w:space="0"/>
                    <w:tl2br w:val="nil"/>
                  </w:tcBorders>
                  <w:shd w:val="clear" w:color="auto" w:fill="auto"/>
                  <w:vAlign w:val="center"/>
                </w:tcPr>
                <w:p w14:paraId="06FF7E84">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序号</w:t>
                  </w:r>
                </w:p>
              </w:tc>
              <w:tc>
                <w:tcPr>
                  <w:tcW w:w="712"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65570089">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污染防渗区类别</w:t>
                  </w:r>
                </w:p>
              </w:tc>
              <w:tc>
                <w:tcPr>
                  <w:tcW w:w="836"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56283AA8">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名称</w:t>
                  </w:r>
                </w:p>
              </w:tc>
              <w:tc>
                <w:tcPr>
                  <w:tcW w:w="2358"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0C90318E">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已有防渗措施</w:t>
                  </w:r>
                </w:p>
              </w:tc>
              <w:tc>
                <w:tcPr>
                  <w:tcW w:w="794" w:type="pct"/>
                  <w:tcBorders>
                    <w:top w:val="single" w:color="000000" w:sz="12" w:space="0"/>
                    <w:left w:val="single" w:color="000000" w:sz="4" w:space="0"/>
                    <w:bottom w:val="single" w:color="000000" w:sz="4" w:space="0"/>
                    <w:right w:val="single" w:color="000000" w:sz="12" w:space="0"/>
                  </w:tcBorders>
                  <w:shd w:val="clear" w:color="auto" w:fill="auto"/>
                  <w:vAlign w:val="center"/>
                </w:tcPr>
                <w:p w14:paraId="721FFDCA">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需补充防渗措施</w:t>
                  </w:r>
                </w:p>
              </w:tc>
            </w:tr>
            <w:tr w14:paraId="103DE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298"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5BD83AFE">
                  <w:pPr>
                    <w:keepNext w:val="0"/>
                    <w:keepLines w:val="0"/>
                    <w:pageBreakBefore w:val="0"/>
                    <w:widowControl w:val="0"/>
                    <w:kinsoku/>
                    <w:wordWrap/>
                    <w:overflowPunct/>
                    <w:topLinePunct w:val="0"/>
                    <w:autoSpaceDE/>
                    <w:autoSpaceDN/>
                    <w:bidi w:val="0"/>
                    <w:adjustRightInd/>
                    <w:snapToGrid/>
                    <w:spacing w:before="0" w:line="240" w:lineRule="exact"/>
                    <w:ind w:left="0"/>
                    <w:jc w:val="center"/>
                    <w:textAlignment w:val="auto"/>
                    <w:rPr>
                      <w:rFonts w:ascii="Times New Roman" w:hAnsi="Times New Roman" w:eastAsia="Times New Roman" w:cs="Times New Roman"/>
                      <w:color w:val="000000"/>
                      <w:spacing w:val="-1"/>
                      <w:position w:val="2"/>
                      <w:sz w:val="18"/>
                      <w:szCs w:val="18"/>
                      <w:highlight w:val="none"/>
                    </w:rPr>
                  </w:pPr>
                  <w:r>
                    <w:rPr>
                      <w:rFonts w:ascii="Times New Roman" w:hAnsi="Times New Roman" w:eastAsia="Times New Roman" w:cs="Times New Roman"/>
                      <w:color w:val="000000"/>
                      <w:spacing w:val="-1"/>
                      <w:position w:val="2"/>
                      <w:sz w:val="18"/>
                      <w:szCs w:val="18"/>
                      <w:highlight w:val="none"/>
                    </w:rPr>
                    <w:t>1</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F0B18">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重点防渗区</w:t>
                  </w:r>
                </w:p>
              </w:tc>
              <w:tc>
                <w:tcPr>
                  <w:tcW w:w="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5F15A">
                  <w:pPr>
                    <w:spacing w:before="0" w:line="240" w:lineRule="exact"/>
                    <w:ind w:left="0"/>
                    <w:jc w:val="center"/>
                    <w:rPr>
                      <w:rFonts w:hint="default" w:eastAsia="宋体"/>
                      <w:color w:val="000000"/>
                      <w:spacing w:val="-1"/>
                      <w:position w:val="2"/>
                      <w:sz w:val="18"/>
                      <w:szCs w:val="18"/>
                      <w:highlight w:val="none"/>
                      <w:lang w:eastAsia="zh-CN"/>
                    </w:rPr>
                  </w:pPr>
                  <w:r>
                    <w:rPr>
                      <w:rFonts w:hint="default" w:eastAsia="宋体"/>
                      <w:color w:val="000000"/>
                      <w:spacing w:val="-1"/>
                      <w:position w:val="2"/>
                      <w:sz w:val="18"/>
                      <w:szCs w:val="18"/>
                      <w:highlight w:val="none"/>
                      <w:lang w:eastAsia="zh-CN"/>
                    </w:rPr>
                    <w:t>危废暂存库</w:t>
                  </w:r>
                </w:p>
              </w:tc>
              <w:tc>
                <w:tcPr>
                  <w:tcW w:w="2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5764E">
                  <w:pPr>
                    <w:spacing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①原土压（夯）实；②</w:t>
                  </w:r>
                  <w:r>
                    <w:rPr>
                      <w:rFonts w:ascii="Times New Roman" w:hAnsi="Times New Roman" w:eastAsia="Times New Roman" w:cs="Times New Roman"/>
                      <w:color w:val="000000"/>
                      <w:spacing w:val="-1"/>
                      <w:position w:val="2"/>
                      <w:sz w:val="18"/>
                      <w:szCs w:val="18"/>
                      <w:highlight w:val="none"/>
                    </w:rPr>
                    <w:t>150mm</w:t>
                  </w:r>
                  <w:r>
                    <w:rPr>
                      <w:rFonts w:eastAsia="Times New Roman"/>
                      <w:color w:val="000000"/>
                      <w:spacing w:val="-1"/>
                      <w:position w:val="2"/>
                      <w:sz w:val="18"/>
                      <w:szCs w:val="18"/>
                      <w:highlight w:val="none"/>
                    </w:rPr>
                    <w:t>厚天然砂砾垫层；③</w:t>
                  </w:r>
                  <w:r>
                    <w:rPr>
                      <w:rFonts w:ascii="Times New Roman" w:hAnsi="Times New Roman" w:eastAsia="Times New Roman" w:cs="Times New Roman"/>
                      <w:color w:val="000000"/>
                      <w:spacing w:val="-1"/>
                      <w:position w:val="2"/>
                      <w:sz w:val="18"/>
                      <w:szCs w:val="18"/>
                      <w:highlight w:val="none"/>
                    </w:rPr>
                    <w:t>200mm</w:t>
                  </w:r>
                  <w:r>
                    <w:rPr>
                      <w:rFonts w:eastAsia="Times New Roman"/>
                      <w:color w:val="000000"/>
                      <w:spacing w:val="-1"/>
                      <w:position w:val="2"/>
                      <w:sz w:val="18"/>
                      <w:szCs w:val="18"/>
                      <w:highlight w:val="none"/>
                    </w:rPr>
                    <w:t>厚水泥砂砾基层（水泥含量</w:t>
                  </w:r>
                  <w:r>
                    <w:rPr>
                      <w:rFonts w:ascii="Times New Roman" w:hAnsi="Times New Roman" w:eastAsia="Times New Roman" w:cs="Times New Roman"/>
                      <w:color w:val="000000"/>
                      <w:spacing w:val="-1"/>
                      <w:position w:val="2"/>
                      <w:sz w:val="18"/>
                      <w:szCs w:val="18"/>
                      <w:highlight w:val="none"/>
                    </w:rPr>
                    <w:t>5%</w:t>
                  </w:r>
                  <w:r>
                    <w:rPr>
                      <w:rFonts w:eastAsia="Times New Roman"/>
                      <w:color w:val="000000"/>
                      <w:spacing w:val="-1"/>
                      <w:position w:val="2"/>
                      <w:sz w:val="18"/>
                      <w:szCs w:val="18"/>
                      <w:highlight w:val="none"/>
                    </w:rPr>
                    <w:t>）；④</w:t>
                  </w:r>
                  <w:r>
                    <w:rPr>
                      <w:rFonts w:ascii="Times New Roman" w:hAnsi="Times New Roman" w:eastAsia="Times New Roman" w:cs="Times New Roman"/>
                      <w:color w:val="000000"/>
                      <w:spacing w:val="-1"/>
                      <w:position w:val="2"/>
                      <w:sz w:val="18"/>
                      <w:szCs w:val="18"/>
                      <w:highlight w:val="none"/>
                    </w:rPr>
                    <w:t>100mm</w:t>
                  </w:r>
                  <w:r>
                    <w:rPr>
                      <w:rFonts w:eastAsia="Times New Roman"/>
                      <w:color w:val="000000"/>
                      <w:spacing w:val="-1"/>
                      <w:position w:val="2"/>
                      <w:sz w:val="18"/>
                      <w:szCs w:val="18"/>
                      <w:highlight w:val="none"/>
                    </w:rPr>
                    <w:t>厚防渗混凝土⑤铺设</w:t>
                  </w:r>
                  <w:r>
                    <w:rPr>
                      <w:rFonts w:ascii="Times New Roman" w:hAnsi="Times New Roman" w:eastAsia="Times New Roman" w:cs="Times New Roman"/>
                      <w:color w:val="000000"/>
                      <w:spacing w:val="-1"/>
                      <w:position w:val="2"/>
                      <w:sz w:val="18"/>
                      <w:szCs w:val="18"/>
                      <w:highlight w:val="none"/>
                    </w:rPr>
                    <w:t>2mm</w:t>
                  </w:r>
                  <w:r>
                    <w:rPr>
                      <w:rFonts w:eastAsia="Times New Roman"/>
                      <w:color w:val="000000"/>
                      <w:spacing w:val="-1"/>
                      <w:position w:val="2"/>
                      <w:sz w:val="18"/>
                      <w:szCs w:val="18"/>
                      <w:highlight w:val="none"/>
                    </w:rPr>
                    <w:t>厚聚乙烯膜</w:t>
                  </w:r>
                </w:p>
              </w:tc>
              <w:tc>
                <w:tcPr>
                  <w:tcW w:w="794" w:type="pct"/>
                  <w:tcBorders>
                    <w:top w:val="single" w:color="000000" w:sz="4" w:space="0"/>
                    <w:left w:val="single" w:color="000000" w:sz="4" w:space="0"/>
                    <w:bottom w:val="single" w:color="000000" w:sz="4" w:space="0"/>
                    <w:right w:val="single" w:color="000000" w:sz="12" w:space="0"/>
                  </w:tcBorders>
                  <w:shd w:val="clear" w:color="auto" w:fill="auto"/>
                  <w:vAlign w:val="center"/>
                </w:tcPr>
                <w:p w14:paraId="37FDC2DD">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防渗措施满足要求</w:t>
                  </w:r>
                </w:p>
              </w:tc>
            </w:tr>
            <w:tr w14:paraId="168DF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298"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558B9FE9">
                  <w:pPr>
                    <w:keepNext w:val="0"/>
                    <w:keepLines w:val="0"/>
                    <w:pageBreakBefore w:val="0"/>
                    <w:widowControl w:val="0"/>
                    <w:kinsoku/>
                    <w:wordWrap/>
                    <w:overflowPunct/>
                    <w:topLinePunct w:val="0"/>
                    <w:autoSpaceDE/>
                    <w:autoSpaceDN/>
                    <w:bidi w:val="0"/>
                    <w:adjustRightInd/>
                    <w:snapToGrid/>
                    <w:spacing w:before="0" w:line="240" w:lineRule="exact"/>
                    <w:ind w:left="0"/>
                    <w:jc w:val="center"/>
                    <w:textAlignment w:val="auto"/>
                    <w:rPr>
                      <w:rFonts w:ascii="Times New Roman" w:hAnsi="Times New Roman" w:eastAsia="Times New Roman" w:cs="Times New Roman"/>
                      <w:color w:val="000000"/>
                      <w:spacing w:val="-1"/>
                      <w:position w:val="2"/>
                      <w:sz w:val="18"/>
                      <w:szCs w:val="18"/>
                      <w:highlight w:val="none"/>
                    </w:rPr>
                  </w:pPr>
                  <w:r>
                    <w:rPr>
                      <w:rFonts w:hint="default" w:eastAsia="宋体" w:cs="Times New Roman"/>
                      <w:color w:val="000000"/>
                      <w:spacing w:val="-1"/>
                      <w:position w:val="2"/>
                      <w:sz w:val="18"/>
                      <w:szCs w:val="18"/>
                      <w:highlight w:val="none"/>
                      <w:lang w:val="en-US" w:eastAsia="zh-CN"/>
                    </w:rPr>
                    <w:t>2</w:t>
                  </w:r>
                </w:p>
              </w:tc>
              <w:tc>
                <w:tcPr>
                  <w:tcW w:w="7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BD2AC4">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一般防渗区</w:t>
                  </w:r>
                </w:p>
              </w:tc>
              <w:tc>
                <w:tcPr>
                  <w:tcW w:w="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32C3E">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生产车间</w:t>
                  </w:r>
                </w:p>
              </w:tc>
              <w:tc>
                <w:tcPr>
                  <w:tcW w:w="23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31AA9">
                  <w:pPr>
                    <w:spacing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①原土压（夯）实；②</w:t>
                  </w:r>
                  <w:r>
                    <w:rPr>
                      <w:rFonts w:ascii="Times New Roman" w:hAnsi="Times New Roman" w:eastAsia="Times New Roman" w:cs="Times New Roman"/>
                      <w:color w:val="000000"/>
                      <w:spacing w:val="-1"/>
                      <w:position w:val="2"/>
                      <w:sz w:val="18"/>
                      <w:szCs w:val="18"/>
                      <w:highlight w:val="none"/>
                    </w:rPr>
                    <w:t>100mm</w:t>
                  </w:r>
                  <w:r>
                    <w:rPr>
                      <w:rFonts w:eastAsia="Times New Roman"/>
                      <w:color w:val="000000"/>
                      <w:spacing w:val="-1"/>
                      <w:position w:val="2"/>
                      <w:sz w:val="18"/>
                      <w:szCs w:val="18"/>
                      <w:highlight w:val="none"/>
                    </w:rPr>
                    <w:t>厚防渗混凝土</w:t>
                  </w:r>
                </w:p>
              </w:tc>
              <w:tc>
                <w:tcPr>
                  <w:tcW w:w="794" w:type="pct"/>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14:paraId="700FB388">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防渗措施满足要求</w:t>
                  </w:r>
                </w:p>
              </w:tc>
            </w:tr>
            <w:tr w14:paraId="2ED25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298"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3A44512C">
                  <w:pPr>
                    <w:keepNext w:val="0"/>
                    <w:keepLines w:val="0"/>
                    <w:pageBreakBefore w:val="0"/>
                    <w:widowControl w:val="0"/>
                    <w:kinsoku/>
                    <w:wordWrap/>
                    <w:overflowPunct/>
                    <w:topLinePunct w:val="0"/>
                    <w:autoSpaceDE/>
                    <w:autoSpaceDN/>
                    <w:bidi w:val="0"/>
                    <w:adjustRightInd/>
                    <w:snapToGrid/>
                    <w:spacing w:before="0" w:line="240" w:lineRule="exact"/>
                    <w:ind w:left="0" w:leftChars="0"/>
                    <w:jc w:val="center"/>
                    <w:textAlignment w:val="auto"/>
                    <w:rPr>
                      <w:rFonts w:ascii="Times New Roman" w:hAnsi="Times New Roman" w:eastAsia="Times New Roman" w:cs="Times New Roman"/>
                      <w:color w:val="000000"/>
                      <w:spacing w:val="-1"/>
                      <w:kern w:val="2"/>
                      <w:position w:val="2"/>
                      <w:sz w:val="18"/>
                      <w:szCs w:val="18"/>
                      <w:highlight w:val="none"/>
                      <w:lang w:val="en-US" w:eastAsia="zh-CN" w:bidi="ar-SA"/>
                    </w:rPr>
                  </w:pPr>
                  <w:r>
                    <w:rPr>
                      <w:rFonts w:ascii="Times New Roman" w:hAnsi="Times New Roman" w:eastAsia="Times New Roman" w:cs="Times New Roman"/>
                      <w:color w:val="000000"/>
                      <w:spacing w:val="-1"/>
                      <w:position w:val="2"/>
                      <w:sz w:val="18"/>
                      <w:szCs w:val="18"/>
                      <w:highlight w:val="none"/>
                    </w:rPr>
                    <w:t>3</w:t>
                  </w: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DC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eastAsia="Times New Roman"/>
                      <w:color w:val="000000"/>
                      <w:spacing w:val="-1"/>
                      <w:position w:val="2"/>
                      <w:sz w:val="18"/>
                      <w:szCs w:val="18"/>
                      <w:highlight w:val="none"/>
                    </w:rPr>
                  </w:pPr>
                </w:p>
              </w:tc>
              <w:tc>
                <w:tcPr>
                  <w:tcW w:w="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C633C">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固废间</w:t>
                  </w:r>
                </w:p>
              </w:tc>
              <w:tc>
                <w:tcPr>
                  <w:tcW w:w="23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4BDA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eastAsia="Times New Roman"/>
                      <w:color w:val="000000"/>
                      <w:spacing w:val="-1"/>
                      <w:position w:val="2"/>
                      <w:sz w:val="18"/>
                      <w:szCs w:val="18"/>
                      <w:highlight w:val="none"/>
                    </w:rPr>
                  </w:pPr>
                </w:p>
              </w:tc>
              <w:tc>
                <w:tcPr>
                  <w:tcW w:w="794" w:type="pct"/>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14:paraId="13A235E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eastAsia="Times New Roman"/>
                      <w:color w:val="000000"/>
                      <w:spacing w:val="-1"/>
                      <w:position w:val="2"/>
                      <w:sz w:val="18"/>
                      <w:szCs w:val="18"/>
                      <w:highlight w:val="none"/>
                    </w:rPr>
                  </w:pPr>
                </w:p>
              </w:tc>
            </w:tr>
            <w:tr w14:paraId="69B5A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298"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36FE436A">
                  <w:pPr>
                    <w:keepNext w:val="0"/>
                    <w:keepLines w:val="0"/>
                    <w:pageBreakBefore w:val="0"/>
                    <w:widowControl w:val="0"/>
                    <w:kinsoku/>
                    <w:wordWrap/>
                    <w:overflowPunct/>
                    <w:topLinePunct w:val="0"/>
                    <w:autoSpaceDE/>
                    <w:autoSpaceDN/>
                    <w:bidi w:val="0"/>
                    <w:adjustRightInd/>
                    <w:snapToGrid/>
                    <w:spacing w:before="0" w:line="240" w:lineRule="exact"/>
                    <w:ind w:left="0" w:leftChars="0"/>
                    <w:jc w:val="center"/>
                    <w:textAlignment w:val="auto"/>
                    <w:rPr>
                      <w:rFonts w:ascii="Times New Roman" w:hAnsi="Times New Roman" w:eastAsia="Times New Roman" w:cs="Times New Roman"/>
                      <w:color w:val="000000"/>
                      <w:spacing w:val="-1"/>
                      <w:kern w:val="2"/>
                      <w:position w:val="2"/>
                      <w:sz w:val="18"/>
                      <w:szCs w:val="18"/>
                      <w:highlight w:val="none"/>
                      <w:lang w:val="en-US" w:eastAsia="zh-CN" w:bidi="ar-SA"/>
                    </w:rPr>
                  </w:pPr>
                  <w:r>
                    <w:rPr>
                      <w:rFonts w:ascii="Times New Roman" w:hAnsi="Times New Roman" w:eastAsia="Times New Roman" w:cs="Times New Roman"/>
                      <w:color w:val="000000"/>
                      <w:spacing w:val="-1"/>
                      <w:position w:val="2"/>
                      <w:sz w:val="18"/>
                      <w:szCs w:val="18"/>
                      <w:highlight w:val="none"/>
                    </w:rPr>
                    <w:t>4</w:t>
                  </w: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350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eastAsia="Times New Roman"/>
                      <w:color w:val="000000"/>
                      <w:spacing w:val="-1"/>
                      <w:position w:val="2"/>
                      <w:sz w:val="18"/>
                      <w:szCs w:val="18"/>
                      <w:highlight w:val="none"/>
                    </w:rPr>
                  </w:pPr>
                </w:p>
              </w:tc>
              <w:tc>
                <w:tcPr>
                  <w:tcW w:w="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3484C">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化粪池</w:t>
                  </w:r>
                </w:p>
              </w:tc>
              <w:tc>
                <w:tcPr>
                  <w:tcW w:w="23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BD87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eastAsia="Times New Roman"/>
                      <w:color w:val="000000"/>
                      <w:spacing w:val="-1"/>
                      <w:position w:val="2"/>
                      <w:sz w:val="18"/>
                      <w:szCs w:val="18"/>
                      <w:highlight w:val="none"/>
                    </w:rPr>
                  </w:pPr>
                </w:p>
              </w:tc>
              <w:tc>
                <w:tcPr>
                  <w:tcW w:w="794" w:type="pct"/>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14:paraId="7113E3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eastAsia="Times New Roman"/>
                      <w:color w:val="000000"/>
                      <w:spacing w:val="-1"/>
                      <w:position w:val="2"/>
                      <w:sz w:val="18"/>
                      <w:szCs w:val="18"/>
                      <w:highlight w:val="none"/>
                    </w:rPr>
                  </w:pPr>
                </w:p>
              </w:tc>
            </w:tr>
            <w:tr w14:paraId="6E8AB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298" w:type="pct"/>
                  <w:tcBorders>
                    <w:top w:val="single" w:color="000000" w:sz="4" w:space="0"/>
                    <w:left w:val="single" w:color="000000" w:sz="12" w:space="0"/>
                    <w:bottom w:val="single" w:color="000000" w:sz="12" w:space="0"/>
                    <w:right w:val="single" w:color="000000" w:sz="4" w:space="0"/>
                  </w:tcBorders>
                  <w:shd w:val="clear" w:color="auto" w:fill="auto"/>
                  <w:vAlign w:val="center"/>
                </w:tcPr>
                <w:p w14:paraId="1497F6E8">
                  <w:pPr>
                    <w:keepNext w:val="0"/>
                    <w:keepLines w:val="0"/>
                    <w:pageBreakBefore w:val="0"/>
                    <w:widowControl w:val="0"/>
                    <w:kinsoku/>
                    <w:wordWrap/>
                    <w:overflowPunct/>
                    <w:topLinePunct w:val="0"/>
                    <w:autoSpaceDE/>
                    <w:autoSpaceDN/>
                    <w:bidi w:val="0"/>
                    <w:adjustRightInd/>
                    <w:snapToGrid/>
                    <w:spacing w:before="0" w:line="240" w:lineRule="exact"/>
                    <w:ind w:left="0" w:leftChars="0"/>
                    <w:jc w:val="center"/>
                    <w:textAlignment w:val="auto"/>
                    <w:rPr>
                      <w:rFonts w:hint="default" w:ascii="Times New Roman" w:hAnsi="Times New Roman" w:eastAsia="Times New Roman" w:cs="Times New Roman"/>
                      <w:color w:val="000000"/>
                      <w:spacing w:val="-1"/>
                      <w:kern w:val="2"/>
                      <w:position w:val="2"/>
                      <w:sz w:val="18"/>
                      <w:szCs w:val="18"/>
                      <w:highlight w:val="none"/>
                      <w:lang w:val="en-US" w:eastAsia="zh-CN" w:bidi="ar-SA"/>
                    </w:rPr>
                  </w:pPr>
                  <w:r>
                    <w:rPr>
                      <w:rFonts w:ascii="Times New Roman" w:hAnsi="Times New Roman" w:eastAsia="Times New Roman" w:cs="Times New Roman"/>
                      <w:color w:val="000000"/>
                      <w:spacing w:val="-1"/>
                      <w:position w:val="2"/>
                      <w:sz w:val="18"/>
                      <w:szCs w:val="18"/>
                      <w:highlight w:val="none"/>
                    </w:rPr>
                    <w:t>5</w:t>
                  </w:r>
                </w:p>
              </w:tc>
              <w:tc>
                <w:tcPr>
                  <w:tcW w:w="712"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602BB362">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简单防渗区</w:t>
                  </w:r>
                </w:p>
              </w:tc>
              <w:tc>
                <w:tcPr>
                  <w:tcW w:w="836"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447B2D7C">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道路、室外地面</w:t>
                  </w:r>
                </w:p>
              </w:tc>
              <w:tc>
                <w:tcPr>
                  <w:tcW w:w="2358"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45EE6EE3">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已做好一般地面硬化</w:t>
                  </w:r>
                </w:p>
              </w:tc>
              <w:tc>
                <w:tcPr>
                  <w:tcW w:w="794" w:type="pct"/>
                  <w:tcBorders>
                    <w:top w:val="single" w:color="000000" w:sz="4" w:space="0"/>
                    <w:left w:val="single" w:color="000000" w:sz="4" w:space="0"/>
                    <w:bottom w:val="single" w:color="000000" w:sz="12" w:space="0"/>
                    <w:right w:val="single" w:color="000000" w:sz="12" w:space="0"/>
                  </w:tcBorders>
                  <w:shd w:val="clear" w:color="auto" w:fill="auto"/>
                  <w:vAlign w:val="center"/>
                </w:tcPr>
                <w:p w14:paraId="2D918F72">
                  <w:pPr>
                    <w:spacing w:before="0" w:line="240" w:lineRule="exact"/>
                    <w:ind w:left="0"/>
                    <w:jc w:val="center"/>
                    <w:rPr>
                      <w:rFonts w:eastAsia="Times New Roman"/>
                      <w:color w:val="000000"/>
                      <w:spacing w:val="-1"/>
                      <w:position w:val="2"/>
                      <w:sz w:val="18"/>
                      <w:szCs w:val="18"/>
                      <w:highlight w:val="none"/>
                    </w:rPr>
                  </w:pPr>
                  <w:r>
                    <w:rPr>
                      <w:rFonts w:eastAsia="Times New Roman"/>
                      <w:color w:val="000000"/>
                      <w:spacing w:val="-1"/>
                      <w:position w:val="2"/>
                      <w:sz w:val="18"/>
                      <w:szCs w:val="18"/>
                      <w:highlight w:val="none"/>
                    </w:rPr>
                    <w:t>防渗措施满足要求</w:t>
                  </w:r>
                </w:p>
              </w:tc>
            </w:tr>
          </w:tbl>
          <w:p w14:paraId="39E2F03B">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跟踪监测：本项目在采取有效的源头防控、分区防渗措施前提下，对地下水环境影响较小，可不设置跟踪监测。</w:t>
            </w:r>
          </w:p>
          <w:p w14:paraId="747B5355">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综上，本</w:t>
            </w:r>
            <w:r>
              <w:rPr>
                <w:rFonts w:hint="default"/>
                <w:bCs/>
                <w:color w:val="auto"/>
                <w:sz w:val="24"/>
                <w:szCs w:val="24"/>
                <w:highlight w:val="none"/>
                <w:lang w:eastAsia="zh-CN"/>
              </w:rPr>
              <w:t>项目</w:t>
            </w:r>
            <w:r>
              <w:rPr>
                <w:rFonts w:hint="default"/>
                <w:bCs/>
                <w:color w:val="auto"/>
                <w:sz w:val="24"/>
                <w:szCs w:val="24"/>
                <w:highlight w:val="none"/>
              </w:rPr>
              <w:t>各种污染物均得到妥善处理处置。对区域地下水、土壤环境的影响处于可接受的范围内，对土壤和地下水环境影响较小。</w:t>
            </w:r>
          </w:p>
          <w:p w14:paraId="1149FE10">
            <w:pPr>
              <w:adjustRightInd w:val="0"/>
              <w:snapToGrid w:val="0"/>
              <w:spacing w:line="360" w:lineRule="auto"/>
              <w:rPr>
                <w:rFonts w:hint="default"/>
                <w:bCs/>
                <w:color w:val="auto"/>
                <w:sz w:val="24"/>
                <w:szCs w:val="24"/>
                <w:highlight w:val="none"/>
              </w:rPr>
            </w:pPr>
            <w:r>
              <w:rPr>
                <w:rFonts w:hint="default"/>
                <w:bCs/>
                <w:color w:val="auto"/>
                <w:sz w:val="24"/>
                <w:szCs w:val="24"/>
                <w:highlight w:val="none"/>
              </w:rPr>
              <w:t>4.结论</w:t>
            </w:r>
          </w:p>
          <w:p w14:paraId="55024596">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项目固体废物能够全部得到无害化处理，危险废物委托有危废资质单位定期外运处置；生活垃圾交由环卫部门定期清运，一般固废集中收集后选择有资格、有能力的单位进行处置。所有固体废物不在项目区内长时间堆存，不会与土壤表层直接接触。生活污水经化粪池处理后，</w:t>
            </w:r>
            <w:r>
              <w:rPr>
                <w:rFonts w:hint="eastAsia"/>
                <w:bCs/>
                <w:color w:val="auto"/>
                <w:sz w:val="24"/>
                <w:szCs w:val="24"/>
                <w:highlight w:val="none"/>
                <w:lang w:val="en-US" w:eastAsia="zh-CN"/>
              </w:rPr>
              <w:t>排</w:t>
            </w:r>
            <w:r>
              <w:rPr>
                <w:rFonts w:hint="default"/>
                <w:bCs/>
                <w:color w:val="auto"/>
                <w:sz w:val="24"/>
                <w:szCs w:val="24"/>
                <w:highlight w:val="none"/>
              </w:rPr>
              <w:t>入市政</w:t>
            </w:r>
            <w:r>
              <w:rPr>
                <w:rFonts w:hint="eastAsia"/>
                <w:bCs/>
                <w:color w:val="auto"/>
                <w:sz w:val="24"/>
                <w:szCs w:val="24"/>
                <w:highlight w:val="none"/>
                <w:lang w:val="en-US" w:eastAsia="zh-CN"/>
              </w:rPr>
              <w:t>排</w:t>
            </w:r>
            <w:r>
              <w:rPr>
                <w:rFonts w:hint="default"/>
                <w:bCs/>
                <w:color w:val="auto"/>
                <w:sz w:val="24"/>
                <w:szCs w:val="24"/>
                <w:highlight w:val="none"/>
              </w:rPr>
              <w:t>水管网。项目生产车间、</w:t>
            </w:r>
            <w:r>
              <w:rPr>
                <w:rFonts w:hint="eastAsia"/>
                <w:bCs/>
                <w:color w:val="auto"/>
                <w:sz w:val="24"/>
                <w:szCs w:val="24"/>
                <w:highlight w:val="none"/>
                <w:lang w:val="en-US" w:eastAsia="zh-CN"/>
              </w:rPr>
              <w:t>沉砂池</w:t>
            </w:r>
            <w:r>
              <w:rPr>
                <w:rFonts w:hint="default"/>
                <w:bCs/>
                <w:color w:val="auto"/>
                <w:sz w:val="24"/>
                <w:szCs w:val="24"/>
                <w:highlight w:val="none"/>
              </w:rPr>
              <w:t>、化粪池等做好防渗，对地下水、土壤产生的影响相对较小。</w:t>
            </w:r>
          </w:p>
          <w:p w14:paraId="4A94EC5A">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lang w:eastAsia="zh-CN"/>
              </w:rPr>
              <w:t>综上所述</w:t>
            </w:r>
            <w:r>
              <w:rPr>
                <w:rFonts w:hint="default"/>
                <w:bCs/>
                <w:color w:val="auto"/>
                <w:sz w:val="24"/>
                <w:szCs w:val="24"/>
                <w:highlight w:val="none"/>
              </w:rPr>
              <w:t>分析，通过严格执行废水和固体废物环境保护措施，各种污染物均得到妥善处理处置，地下水、土壤环境不会发生较大变化，本项目在落实好防渗、防污措施后，本项目污染物能得到有效处理，对地下水、土壤环境影响较小。</w:t>
            </w:r>
          </w:p>
          <w:p w14:paraId="74A479D5">
            <w:pPr>
              <w:adjustRightInd w:val="0"/>
              <w:snapToGrid w:val="0"/>
              <w:spacing w:line="360" w:lineRule="auto"/>
              <w:rPr>
                <w:rFonts w:hint="default"/>
                <w:b/>
                <w:bCs w:val="0"/>
                <w:color w:val="auto"/>
                <w:sz w:val="24"/>
                <w:szCs w:val="24"/>
                <w:highlight w:val="none"/>
              </w:rPr>
            </w:pPr>
            <w:r>
              <w:rPr>
                <w:rFonts w:hint="default"/>
                <w:b/>
                <w:bCs w:val="0"/>
                <w:color w:val="auto"/>
                <w:sz w:val="24"/>
                <w:szCs w:val="24"/>
                <w:highlight w:val="none"/>
              </w:rPr>
              <w:t>六、生态环境影响分析</w:t>
            </w:r>
          </w:p>
          <w:p w14:paraId="355D5D92">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本项目为</w:t>
            </w:r>
            <w:r>
              <w:rPr>
                <w:rFonts w:hint="default"/>
                <w:bCs/>
                <w:color w:val="auto"/>
                <w:sz w:val="24"/>
                <w:szCs w:val="24"/>
                <w:highlight w:val="none"/>
                <w:lang w:val="en-US" w:eastAsia="zh-CN"/>
              </w:rPr>
              <w:t>新建</w:t>
            </w:r>
            <w:r>
              <w:rPr>
                <w:rFonts w:hint="default"/>
                <w:bCs/>
                <w:color w:val="auto"/>
                <w:sz w:val="24"/>
                <w:szCs w:val="24"/>
                <w:highlight w:val="none"/>
              </w:rPr>
              <w:t>一条NFC果汁加工生产线的项目。本项目用地位于兵团第七师民丰产业园区内，东侧为经二路，北侧为工业用地，西侧为待建冻库项目，南侧为已建羊肚菌烘干厂</w:t>
            </w:r>
            <w:r>
              <w:rPr>
                <w:rFonts w:hint="default"/>
                <w:bCs/>
                <w:color w:val="auto"/>
                <w:sz w:val="24"/>
                <w:szCs w:val="24"/>
                <w:highlight w:val="none"/>
                <w:lang w:eastAsia="zh-CN"/>
              </w:rPr>
              <w:t>，</w:t>
            </w:r>
            <w:r>
              <w:rPr>
                <w:rFonts w:hint="default"/>
                <w:bCs/>
                <w:color w:val="auto"/>
                <w:sz w:val="24"/>
                <w:szCs w:val="24"/>
                <w:highlight w:val="none"/>
              </w:rPr>
              <w:t>建设符合国土空间规划用地要求。项目用地为工业用地，不涉及生态敏感区。施工期及运营期对生态环境的影响较小。运行期采取绿化、增加地下水入渗量等生态保护对策以减弱对生态环境的影响。</w:t>
            </w:r>
          </w:p>
          <w:p w14:paraId="5A83295E">
            <w:pPr>
              <w:adjustRightInd w:val="0"/>
              <w:snapToGrid w:val="0"/>
              <w:spacing w:line="360" w:lineRule="auto"/>
              <w:rPr>
                <w:rFonts w:hint="default"/>
                <w:b/>
                <w:bCs w:val="0"/>
                <w:color w:val="auto"/>
                <w:sz w:val="24"/>
                <w:szCs w:val="24"/>
                <w:highlight w:val="none"/>
              </w:rPr>
            </w:pPr>
            <w:r>
              <w:rPr>
                <w:rFonts w:hint="default"/>
                <w:b/>
                <w:bCs w:val="0"/>
                <w:color w:val="auto"/>
                <w:sz w:val="24"/>
                <w:szCs w:val="24"/>
                <w:highlight w:val="none"/>
              </w:rPr>
              <w:t>七、环境风险影响分析</w:t>
            </w:r>
          </w:p>
          <w:p w14:paraId="5F6521EB">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1AAEF350">
            <w:pPr>
              <w:adjustRightInd w:val="0"/>
              <w:snapToGrid w:val="0"/>
              <w:spacing w:line="360" w:lineRule="auto"/>
              <w:rPr>
                <w:rFonts w:hint="default"/>
                <w:bCs/>
                <w:color w:val="auto"/>
                <w:sz w:val="24"/>
                <w:szCs w:val="24"/>
                <w:highlight w:val="none"/>
              </w:rPr>
            </w:pPr>
            <w:r>
              <w:rPr>
                <w:rFonts w:hint="default"/>
                <w:bCs/>
                <w:color w:val="auto"/>
                <w:sz w:val="24"/>
                <w:szCs w:val="24"/>
                <w:highlight w:val="none"/>
              </w:rPr>
              <w:t>1.评价依据</w:t>
            </w:r>
          </w:p>
          <w:p w14:paraId="6EC29B25">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（1）风险调查</w:t>
            </w:r>
          </w:p>
          <w:p w14:paraId="3B47D101">
            <w:pPr>
              <w:adjustRightInd w:val="0"/>
              <w:snapToGrid w:val="0"/>
              <w:spacing w:line="360" w:lineRule="auto"/>
              <w:ind w:firstLine="480" w:firstLineChars="200"/>
              <w:rPr>
                <w:rFonts w:hint="default"/>
                <w:bCs/>
                <w:color w:val="auto"/>
                <w:sz w:val="24"/>
                <w:szCs w:val="24"/>
                <w:highlight w:val="none"/>
              </w:rPr>
            </w:pPr>
            <w:r>
              <w:rPr>
                <w:rFonts w:hint="default"/>
                <w:bCs/>
                <w:color w:val="auto"/>
                <w:sz w:val="24"/>
                <w:szCs w:val="24"/>
                <w:highlight w:val="none"/>
              </w:rPr>
              <w:t>本项目主要进行NFC果汁生产，</w:t>
            </w:r>
            <w:r>
              <w:rPr>
                <w:rFonts w:hint="default"/>
                <w:bCs/>
                <w:color w:val="auto"/>
                <w:sz w:val="24"/>
                <w:szCs w:val="24"/>
                <w:highlight w:val="none"/>
                <w:lang w:eastAsia="zh-CN"/>
              </w:rPr>
              <w:t>根据</w:t>
            </w:r>
            <w:r>
              <w:rPr>
                <w:rFonts w:hint="default"/>
                <w:bCs/>
                <w:color w:val="auto"/>
                <w:sz w:val="24"/>
                <w:szCs w:val="24"/>
                <w:highlight w:val="none"/>
              </w:rPr>
              <w:t>使用的原辅材料、产品和生产工艺特点调查分析，本项目涉及的风险物质为天然气、清洗剂（氢氧化钠、硝酸）等。风险物质理化性质和危险特性见下表。</w:t>
            </w:r>
          </w:p>
          <w:p w14:paraId="4FFD88E4">
            <w:pPr>
              <w:adjustRightInd w:val="0"/>
              <w:snapToGrid w:val="0"/>
              <w:spacing w:line="360" w:lineRule="auto"/>
              <w:jc w:val="center"/>
              <w:rPr>
                <w:rFonts w:hint="default"/>
                <w:bCs/>
                <w:color w:val="auto"/>
                <w:sz w:val="24"/>
                <w:szCs w:val="24"/>
                <w:highlight w:val="none"/>
              </w:rPr>
            </w:pPr>
            <w:r>
              <w:rPr>
                <w:b/>
                <w:bCs/>
                <w:color w:val="auto"/>
                <w:spacing w:val="-2"/>
                <w:highlight w:val="none"/>
              </w:rPr>
              <w:t>表</w:t>
            </w:r>
            <w:r>
              <w:rPr>
                <w:rFonts w:ascii="Times New Roman" w:hAnsi="Times New Roman" w:eastAsia="Times New Roman" w:cs="Times New Roman"/>
                <w:b/>
                <w:bCs/>
                <w:color w:val="auto"/>
                <w:spacing w:val="-2"/>
                <w:highlight w:val="none"/>
              </w:rPr>
              <w:t>4-</w:t>
            </w:r>
            <w:r>
              <w:rPr>
                <w:rFonts w:hint="eastAsia" w:eastAsia="宋体" w:cs="Times New Roman"/>
                <w:b/>
                <w:bCs/>
                <w:color w:val="auto"/>
                <w:spacing w:val="-2"/>
                <w:highlight w:val="none"/>
                <w:lang w:val="en-US" w:eastAsia="zh-CN"/>
              </w:rPr>
              <w:t>1</w:t>
            </w:r>
            <w:r>
              <w:rPr>
                <w:rFonts w:hint="default" w:ascii="Times New Roman" w:hAnsi="Times New Roman" w:eastAsia="宋体" w:cs="Times New Roman"/>
                <w:b/>
                <w:bCs/>
                <w:color w:val="auto"/>
                <w:spacing w:val="-2"/>
                <w:highlight w:val="none"/>
                <w:lang w:val="en-US" w:eastAsia="zh-CN"/>
              </w:rPr>
              <w:t>9</w:t>
            </w:r>
            <w:r>
              <w:rPr>
                <w:rFonts w:hint="default" w:cs="Times New Roman"/>
                <w:b/>
                <w:bCs/>
                <w:color w:val="auto"/>
                <w:spacing w:val="-2"/>
                <w:highlight w:val="none"/>
                <w:lang w:val="en-US" w:eastAsia="zh-CN"/>
              </w:rPr>
              <w:t xml:space="preserve">      </w:t>
            </w:r>
            <w:r>
              <w:rPr>
                <w:b/>
                <w:bCs/>
                <w:color w:val="auto"/>
                <w:spacing w:val="-2"/>
                <w:highlight w:val="none"/>
              </w:rPr>
              <w:t>氢氧化钠理化性质一览表</w:t>
            </w:r>
          </w:p>
          <w:tbl>
            <w:tblPr>
              <w:tblStyle w:val="118"/>
              <w:tblW w:w="9065" w:type="dxa"/>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83"/>
              <w:gridCol w:w="1168"/>
              <w:gridCol w:w="1548"/>
              <w:gridCol w:w="254"/>
              <w:gridCol w:w="334"/>
              <w:gridCol w:w="1218"/>
              <w:gridCol w:w="374"/>
              <w:gridCol w:w="898"/>
              <w:gridCol w:w="1434"/>
              <w:gridCol w:w="697"/>
              <w:gridCol w:w="657"/>
            </w:tblGrid>
            <w:tr w14:paraId="15750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restart"/>
                  <w:tcBorders>
                    <w:top w:val="single" w:color="000000" w:sz="2" w:space="0"/>
                    <w:bottom w:val="nil"/>
                  </w:tcBorders>
                  <w:vAlign w:val="center"/>
                </w:tcPr>
                <w:p w14:paraId="39B91AE0">
                  <w:pPr>
                    <w:pStyle w:val="119"/>
                    <w:spacing w:before="0" w:line="200" w:lineRule="exact"/>
                    <w:ind w:left="0"/>
                    <w:jc w:val="center"/>
                    <w:rPr>
                      <w:color w:val="auto"/>
                      <w:sz w:val="18"/>
                      <w:szCs w:val="18"/>
                      <w:highlight w:val="none"/>
                    </w:rPr>
                  </w:pPr>
                  <w:r>
                    <w:rPr>
                      <w:color w:val="auto"/>
                      <w:spacing w:val="0"/>
                      <w:sz w:val="18"/>
                      <w:szCs w:val="18"/>
                      <w:highlight w:val="none"/>
                    </w:rPr>
                    <w:t>标识</w:t>
                  </w:r>
                </w:p>
              </w:tc>
              <w:tc>
                <w:tcPr>
                  <w:tcW w:w="5794" w:type="dxa"/>
                  <w:gridSpan w:val="7"/>
                  <w:tcBorders>
                    <w:top w:val="single" w:color="000000" w:sz="2" w:space="0"/>
                  </w:tcBorders>
                  <w:vAlign w:val="center"/>
                </w:tcPr>
                <w:p w14:paraId="4FA4E930">
                  <w:pPr>
                    <w:pStyle w:val="119"/>
                    <w:spacing w:before="0" w:line="200" w:lineRule="exact"/>
                    <w:ind w:left="0"/>
                    <w:jc w:val="center"/>
                    <w:rPr>
                      <w:color w:val="auto"/>
                      <w:sz w:val="18"/>
                      <w:szCs w:val="18"/>
                      <w:highlight w:val="none"/>
                    </w:rPr>
                  </w:pPr>
                  <w:r>
                    <w:rPr>
                      <w:color w:val="auto"/>
                      <w:spacing w:val="0"/>
                      <w:sz w:val="18"/>
                      <w:szCs w:val="18"/>
                      <w:highlight w:val="none"/>
                    </w:rPr>
                    <w:t>中文名：氢氧化钠；烧碱；苛性钠</w:t>
                  </w:r>
                </w:p>
              </w:tc>
              <w:tc>
                <w:tcPr>
                  <w:tcW w:w="2788" w:type="dxa"/>
                  <w:gridSpan w:val="3"/>
                  <w:tcBorders>
                    <w:top w:val="single" w:color="000000" w:sz="2" w:space="0"/>
                  </w:tcBorders>
                  <w:vAlign w:val="center"/>
                </w:tcPr>
                <w:p w14:paraId="4E59013B">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危险货物编号：</w:t>
                  </w:r>
                  <w:r>
                    <w:rPr>
                      <w:rFonts w:ascii="Times New Roman" w:hAnsi="Times New Roman" w:eastAsia="Times New Roman" w:cs="Times New Roman"/>
                      <w:color w:val="auto"/>
                      <w:spacing w:val="0"/>
                      <w:position w:val="0"/>
                      <w:sz w:val="18"/>
                      <w:szCs w:val="18"/>
                      <w:highlight w:val="none"/>
                    </w:rPr>
                    <w:t>82001</w:t>
                  </w:r>
                </w:p>
              </w:tc>
            </w:tr>
            <w:tr w14:paraId="57C46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bottom w:val="nil"/>
                  </w:tcBorders>
                  <w:vAlign w:val="center"/>
                </w:tcPr>
                <w:p w14:paraId="3DA57A26">
                  <w:pPr>
                    <w:pStyle w:val="119"/>
                    <w:spacing w:before="0" w:line="200" w:lineRule="exact"/>
                    <w:jc w:val="center"/>
                    <w:rPr>
                      <w:rFonts w:ascii="Times New Roman"/>
                      <w:color w:val="auto"/>
                      <w:sz w:val="18"/>
                      <w:szCs w:val="18"/>
                      <w:highlight w:val="none"/>
                    </w:rPr>
                  </w:pPr>
                </w:p>
              </w:tc>
              <w:tc>
                <w:tcPr>
                  <w:tcW w:w="5794" w:type="dxa"/>
                  <w:gridSpan w:val="7"/>
                  <w:vAlign w:val="center"/>
                </w:tcPr>
                <w:p w14:paraId="5CF00642">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英文名：</w:t>
                  </w:r>
                  <w:r>
                    <w:rPr>
                      <w:rFonts w:ascii="Times New Roman" w:hAnsi="Times New Roman" w:eastAsia="Times New Roman" w:cs="Times New Roman"/>
                      <w:color w:val="auto"/>
                      <w:position w:val="0"/>
                      <w:sz w:val="18"/>
                      <w:szCs w:val="18"/>
                      <w:highlight w:val="none"/>
                    </w:rPr>
                    <w:t>Sodiunhydroxide</w:t>
                  </w:r>
                  <w:r>
                    <w:rPr>
                      <w:color w:val="auto"/>
                      <w:spacing w:val="0"/>
                      <w:position w:val="0"/>
                      <w:sz w:val="18"/>
                      <w:szCs w:val="18"/>
                      <w:highlight w:val="none"/>
                    </w:rPr>
                    <w:t>；</w:t>
                  </w:r>
                  <w:r>
                    <w:rPr>
                      <w:rFonts w:ascii="Times New Roman" w:hAnsi="Times New Roman" w:eastAsia="Times New Roman" w:cs="Times New Roman"/>
                      <w:color w:val="auto"/>
                      <w:position w:val="0"/>
                      <w:sz w:val="18"/>
                      <w:szCs w:val="18"/>
                      <w:highlight w:val="none"/>
                    </w:rPr>
                    <w:t>Causticsoda</w:t>
                  </w:r>
                  <w:r>
                    <w:rPr>
                      <w:color w:val="auto"/>
                      <w:spacing w:val="0"/>
                      <w:position w:val="0"/>
                      <w:sz w:val="18"/>
                      <w:szCs w:val="18"/>
                      <w:highlight w:val="none"/>
                    </w:rPr>
                    <w:t>；</w:t>
                  </w:r>
                  <w:r>
                    <w:rPr>
                      <w:rFonts w:ascii="Times New Roman" w:hAnsi="Times New Roman" w:eastAsia="Times New Roman" w:cs="Times New Roman"/>
                      <w:color w:val="auto"/>
                      <w:position w:val="0"/>
                      <w:sz w:val="18"/>
                      <w:szCs w:val="18"/>
                      <w:highlight w:val="none"/>
                    </w:rPr>
                    <w:t>Sodiunhydrate</w:t>
                  </w:r>
                </w:p>
              </w:tc>
              <w:tc>
                <w:tcPr>
                  <w:tcW w:w="2788" w:type="dxa"/>
                  <w:gridSpan w:val="3"/>
                  <w:vAlign w:val="center"/>
                </w:tcPr>
                <w:p w14:paraId="47414908">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position w:val="0"/>
                      <w:sz w:val="18"/>
                      <w:szCs w:val="18"/>
                      <w:highlight w:val="none"/>
                    </w:rPr>
                    <w:t>UN</w:t>
                  </w:r>
                  <w:r>
                    <w:rPr>
                      <w:color w:val="auto"/>
                      <w:spacing w:val="0"/>
                      <w:position w:val="0"/>
                      <w:sz w:val="18"/>
                      <w:szCs w:val="18"/>
                      <w:highlight w:val="none"/>
                    </w:rPr>
                    <w:t>编号：</w:t>
                  </w:r>
                  <w:r>
                    <w:rPr>
                      <w:rFonts w:ascii="Times New Roman" w:hAnsi="Times New Roman" w:eastAsia="Times New Roman" w:cs="Times New Roman"/>
                      <w:color w:val="auto"/>
                      <w:spacing w:val="0"/>
                      <w:position w:val="0"/>
                      <w:sz w:val="18"/>
                      <w:szCs w:val="18"/>
                      <w:highlight w:val="none"/>
                    </w:rPr>
                    <w:t>1823</w:t>
                  </w:r>
                </w:p>
              </w:tc>
            </w:tr>
            <w:tr w14:paraId="54139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tcBorders>
                  <w:vAlign w:val="center"/>
                </w:tcPr>
                <w:p w14:paraId="57351A31">
                  <w:pPr>
                    <w:pStyle w:val="119"/>
                    <w:spacing w:before="0" w:line="200" w:lineRule="exact"/>
                    <w:jc w:val="center"/>
                    <w:rPr>
                      <w:rFonts w:ascii="Times New Roman"/>
                      <w:color w:val="auto"/>
                      <w:sz w:val="18"/>
                      <w:szCs w:val="18"/>
                      <w:highlight w:val="none"/>
                    </w:rPr>
                  </w:pPr>
                </w:p>
              </w:tc>
              <w:tc>
                <w:tcPr>
                  <w:tcW w:w="2970" w:type="dxa"/>
                  <w:gridSpan w:val="3"/>
                  <w:vAlign w:val="center"/>
                </w:tcPr>
                <w:p w14:paraId="200F4F26">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sz w:val="18"/>
                      <w:szCs w:val="18"/>
                      <w:highlight w:val="none"/>
                    </w:rPr>
                    <w:t>分子式：</w:t>
                  </w:r>
                  <w:r>
                    <w:rPr>
                      <w:rFonts w:ascii="Times New Roman" w:hAnsi="Times New Roman" w:eastAsia="Times New Roman" w:cs="Times New Roman"/>
                      <w:color w:val="auto"/>
                      <w:sz w:val="18"/>
                      <w:szCs w:val="18"/>
                      <w:highlight w:val="none"/>
                    </w:rPr>
                    <w:t>NaOH</w:t>
                  </w:r>
                </w:p>
              </w:tc>
              <w:tc>
                <w:tcPr>
                  <w:tcW w:w="2824" w:type="dxa"/>
                  <w:gridSpan w:val="4"/>
                  <w:vAlign w:val="center"/>
                </w:tcPr>
                <w:p w14:paraId="51AD7D8E">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分子量：</w:t>
                  </w:r>
                  <w:r>
                    <w:rPr>
                      <w:rFonts w:ascii="Times New Roman" w:hAnsi="Times New Roman" w:eastAsia="Times New Roman" w:cs="Times New Roman"/>
                      <w:color w:val="auto"/>
                      <w:spacing w:val="0"/>
                      <w:position w:val="0"/>
                      <w:sz w:val="18"/>
                      <w:szCs w:val="18"/>
                      <w:highlight w:val="none"/>
                    </w:rPr>
                    <w:t>40.01</w:t>
                  </w:r>
                </w:p>
              </w:tc>
              <w:tc>
                <w:tcPr>
                  <w:tcW w:w="2788" w:type="dxa"/>
                  <w:gridSpan w:val="3"/>
                  <w:vAlign w:val="center"/>
                </w:tcPr>
                <w:p w14:paraId="51E16D20">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position w:val="0"/>
                      <w:sz w:val="18"/>
                      <w:szCs w:val="18"/>
                      <w:highlight w:val="none"/>
                    </w:rPr>
                    <w:t>CAS</w:t>
                  </w:r>
                  <w:r>
                    <w:rPr>
                      <w:color w:val="auto"/>
                      <w:spacing w:val="0"/>
                      <w:position w:val="0"/>
                      <w:sz w:val="18"/>
                      <w:szCs w:val="18"/>
                      <w:highlight w:val="none"/>
                    </w:rPr>
                    <w:t>号：</w:t>
                  </w:r>
                  <w:r>
                    <w:rPr>
                      <w:rFonts w:ascii="Times New Roman" w:hAnsi="Times New Roman" w:eastAsia="Times New Roman" w:cs="Times New Roman"/>
                      <w:color w:val="auto"/>
                      <w:spacing w:val="0"/>
                      <w:position w:val="0"/>
                      <w:sz w:val="18"/>
                      <w:szCs w:val="18"/>
                      <w:highlight w:val="none"/>
                    </w:rPr>
                    <w:t>1310-73-2</w:t>
                  </w:r>
                </w:p>
              </w:tc>
            </w:tr>
            <w:tr w14:paraId="74118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restart"/>
                  <w:tcBorders>
                    <w:bottom w:val="nil"/>
                  </w:tcBorders>
                  <w:vAlign w:val="center"/>
                </w:tcPr>
                <w:p w14:paraId="04A2FA32">
                  <w:pPr>
                    <w:pStyle w:val="119"/>
                    <w:spacing w:before="0" w:line="200" w:lineRule="exact"/>
                    <w:ind w:left="0"/>
                    <w:jc w:val="center"/>
                    <w:rPr>
                      <w:color w:val="auto"/>
                      <w:sz w:val="18"/>
                      <w:szCs w:val="18"/>
                      <w:highlight w:val="none"/>
                    </w:rPr>
                  </w:pPr>
                  <w:r>
                    <w:rPr>
                      <w:color w:val="auto"/>
                      <w:spacing w:val="0"/>
                      <w:sz w:val="18"/>
                      <w:szCs w:val="18"/>
                      <w:highlight w:val="none"/>
                    </w:rPr>
                    <w:t>理化性质</w:t>
                  </w:r>
                </w:p>
              </w:tc>
              <w:tc>
                <w:tcPr>
                  <w:tcW w:w="1168" w:type="dxa"/>
                  <w:vAlign w:val="center"/>
                </w:tcPr>
                <w:p w14:paraId="362248AD">
                  <w:pPr>
                    <w:pStyle w:val="119"/>
                    <w:spacing w:before="0" w:line="200" w:lineRule="exact"/>
                    <w:ind w:left="0" w:right="0" w:firstLine="0"/>
                    <w:jc w:val="center"/>
                    <w:rPr>
                      <w:color w:val="auto"/>
                      <w:sz w:val="18"/>
                      <w:szCs w:val="18"/>
                      <w:highlight w:val="none"/>
                    </w:rPr>
                  </w:pPr>
                  <w:r>
                    <w:rPr>
                      <w:color w:val="auto"/>
                      <w:spacing w:val="0"/>
                      <w:sz w:val="18"/>
                      <w:szCs w:val="18"/>
                      <w:highlight w:val="none"/>
                    </w:rPr>
                    <w:t>外观与性</w:t>
                  </w:r>
                  <w:r>
                    <w:rPr>
                      <w:color w:val="auto"/>
                      <w:sz w:val="18"/>
                      <w:szCs w:val="18"/>
                      <w:highlight w:val="none"/>
                    </w:rPr>
                    <w:t>状</w:t>
                  </w:r>
                </w:p>
              </w:tc>
              <w:tc>
                <w:tcPr>
                  <w:tcW w:w="7414" w:type="dxa"/>
                  <w:gridSpan w:val="9"/>
                  <w:vAlign w:val="center"/>
                </w:tcPr>
                <w:p w14:paraId="69BA22FA">
                  <w:pPr>
                    <w:pStyle w:val="119"/>
                    <w:spacing w:before="0" w:line="200" w:lineRule="exact"/>
                    <w:ind w:left="0"/>
                    <w:jc w:val="center"/>
                    <w:rPr>
                      <w:color w:val="auto"/>
                      <w:sz w:val="18"/>
                      <w:szCs w:val="18"/>
                      <w:highlight w:val="none"/>
                    </w:rPr>
                  </w:pPr>
                  <w:r>
                    <w:rPr>
                      <w:color w:val="auto"/>
                      <w:spacing w:val="0"/>
                      <w:sz w:val="18"/>
                      <w:szCs w:val="18"/>
                      <w:highlight w:val="none"/>
                    </w:rPr>
                    <w:t>白色不透明固体，易潮解。</w:t>
                  </w:r>
                </w:p>
              </w:tc>
            </w:tr>
            <w:tr w14:paraId="398CC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bottom w:val="nil"/>
                  </w:tcBorders>
                  <w:vAlign w:val="center"/>
                </w:tcPr>
                <w:p w14:paraId="5BF9D206">
                  <w:pPr>
                    <w:pStyle w:val="119"/>
                    <w:spacing w:before="0" w:line="200" w:lineRule="exact"/>
                    <w:jc w:val="center"/>
                    <w:rPr>
                      <w:rFonts w:ascii="Times New Roman"/>
                      <w:color w:val="auto"/>
                      <w:sz w:val="18"/>
                      <w:szCs w:val="18"/>
                      <w:highlight w:val="none"/>
                    </w:rPr>
                  </w:pPr>
                </w:p>
              </w:tc>
              <w:tc>
                <w:tcPr>
                  <w:tcW w:w="1168" w:type="dxa"/>
                  <w:vAlign w:val="center"/>
                </w:tcPr>
                <w:p w14:paraId="3A30E1E0">
                  <w:pPr>
                    <w:pStyle w:val="119"/>
                    <w:spacing w:before="0" w:line="200" w:lineRule="exact"/>
                    <w:ind w:left="0"/>
                    <w:jc w:val="center"/>
                    <w:rPr>
                      <w:color w:val="auto"/>
                      <w:sz w:val="18"/>
                      <w:szCs w:val="18"/>
                      <w:highlight w:val="none"/>
                    </w:rPr>
                  </w:pPr>
                  <w:r>
                    <w:rPr>
                      <w:color w:val="auto"/>
                      <w:spacing w:val="0"/>
                      <w:sz w:val="18"/>
                      <w:szCs w:val="18"/>
                      <w:highlight w:val="none"/>
                    </w:rPr>
                    <w:t>熔点(℃)</w:t>
                  </w:r>
                </w:p>
              </w:tc>
              <w:tc>
                <w:tcPr>
                  <w:tcW w:w="1548" w:type="dxa"/>
                  <w:vAlign w:val="center"/>
                </w:tcPr>
                <w:p w14:paraId="4889298F">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318.4</w:t>
                  </w:r>
                </w:p>
              </w:tc>
              <w:tc>
                <w:tcPr>
                  <w:tcW w:w="2180" w:type="dxa"/>
                  <w:gridSpan w:val="4"/>
                  <w:vAlign w:val="center"/>
                </w:tcPr>
                <w:p w14:paraId="7A731B78">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相对密度</w:t>
                  </w:r>
                  <w:r>
                    <w:rPr>
                      <w:rFonts w:hint="default" w:eastAsia="Times New Roman"/>
                      <w:color w:val="auto"/>
                      <w:spacing w:val="0"/>
                      <w:position w:val="0"/>
                      <w:sz w:val="18"/>
                      <w:szCs w:val="18"/>
                      <w:highlight w:val="none"/>
                      <w:lang w:eastAsia="zh-CN"/>
                    </w:rPr>
                    <w:t>（</w:t>
                  </w:r>
                  <w:r>
                    <w:rPr>
                      <w:color w:val="auto"/>
                      <w:spacing w:val="0"/>
                      <w:position w:val="0"/>
                      <w:sz w:val="18"/>
                      <w:szCs w:val="18"/>
                      <w:highlight w:val="none"/>
                    </w:rPr>
                    <w:t>水</w:t>
                  </w:r>
                  <w:r>
                    <w:rPr>
                      <w:rFonts w:ascii="Times New Roman" w:hAnsi="Times New Roman" w:eastAsia="Times New Roman" w:cs="Times New Roman"/>
                      <w:color w:val="auto"/>
                      <w:spacing w:val="0"/>
                      <w:position w:val="0"/>
                      <w:sz w:val="18"/>
                      <w:szCs w:val="18"/>
                      <w:highlight w:val="none"/>
                    </w:rPr>
                    <w:t>=1)</w:t>
                  </w:r>
                </w:p>
              </w:tc>
              <w:tc>
                <w:tcPr>
                  <w:tcW w:w="898" w:type="dxa"/>
                  <w:vAlign w:val="center"/>
                </w:tcPr>
                <w:p w14:paraId="56E2568F">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2.12</w:t>
                  </w:r>
                </w:p>
              </w:tc>
              <w:tc>
                <w:tcPr>
                  <w:tcW w:w="2131" w:type="dxa"/>
                  <w:gridSpan w:val="2"/>
                  <w:vAlign w:val="center"/>
                </w:tcPr>
                <w:p w14:paraId="3596766A">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相对密度</w:t>
                  </w:r>
                  <w:r>
                    <w:rPr>
                      <w:rFonts w:hint="default" w:eastAsia="Times New Roman"/>
                      <w:color w:val="auto"/>
                      <w:spacing w:val="0"/>
                      <w:position w:val="0"/>
                      <w:sz w:val="18"/>
                      <w:szCs w:val="18"/>
                      <w:highlight w:val="none"/>
                      <w:lang w:eastAsia="zh-CN"/>
                    </w:rPr>
                    <w:t>（</w:t>
                  </w:r>
                  <w:r>
                    <w:rPr>
                      <w:color w:val="auto"/>
                      <w:spacing w:val="0"/>
                      <w:position w:val="0"/>
                      <w:sz w:val="18"/>
                      <w:szCs w:val="18"/>
                      <w:highlight w:val="none"/>
                    </w:rPr>
                    <w:t>空气</w:t>
                  </w:r>
                  <w:r>
                    <w:rPr>
                      <w:rFonts w:ascii="Times New Roman" w:hAnsi="Times New Roman" w:eastAsia="Times New Roman" w:cs="Times New Roman"/>
                      <w:color w:val="auto"/>
                      <w:spacing w:val="0"/>
                      <w:position w:val="0"/>
                      <w:sz w:val="18"/>
                      <w:szCs w:val="18"/>
                      <w:highlight w:val="none"/>
                    </w:rPr>
                    <w:t>=1</w:t>
                  </w:r>
                  <w:r>
                    <w:rPr>
                      <w:rFonts w:hint="default" w:eastAsia="Times New Roman" w:cs="Times New Roman"/>
                      <w:color w:val="auto"/>
                      <w:spacing w:val="0"/>
                      <w:position w:val="0"/>
                      <w:sz w:val="18"/>
                      <w:szCs w:val="18"/>
                      <w:highlight w:val="none"/>
                      <w:lang w:eastAsia="zh-CN"/>
                    </w:rPr>
                    <w:t>）</w:t>
                  </w:r>
                </w:p>
              </w:tc>
              <w:tc>
                <w:tcPr>
                  <w:tcW w:w="657" w:type="dxa"/>
                  <w:vAlign w:val="center"/>
                </w:tcPr>
                <w:p w14:paraId="092128BE">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w:t>
                  </w:r>
                </w:p>
              </w:tc>
            </w:tr>
            <w:tr w14:paraId="16010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bottom w:val="nil"/>
                  </w:tcBorders>
                  <w:vAlign w:val="center"/>
                </w:tcPr>
                <w:p w14:paraId="7F490A5B">
                  <w:pPr>
                    <w:pStyle w:val="119"/>
                    <w:spacing w:before="0" w:line="200" w:lineRule="exact"/>
                    <w:jc w:val="center"/>
                    <w:rPr>
                      <w:rFonts w:ascii="Times New Roman"/>
                      <w:color w:val="auto"/>
                      <w:sz w:val="18"/>
                      <w:szCs w:val="18"/>
                      <w:highlight w:val="none"/>
                    </w:rPr>
                  </w:pPr>
                </w:p>
              </w:tc>
              <w:tc>
                <w:tcPr>
                  <w:tcW w:w="1168" w:type="dxa"/>
                  <w:vAlign w:val="center"/>
                </w:tcPr>
                <w:p w14:paraId="52C17040">
                  <w:pPr>
                    <w:pStyle w:val="119"/>
                    <w:spacing w:before="0" w:line="200" w:lineRule="exact"/>
                    <w:ind w:left="0"/>
                    <w:jc w:val="center"/>
                    <w:rPr>
                      <w:color w:val="auto"/>
                      <w:sz w:val="18"/>
                      <w:szCs w:val="18"/>
                      <w:highlight w:val="none"/>
                    </w:rPr>
                  </w:pPr>
                  <w:r>
                    <w:rPr>
                      <w:color w:val="auto"/>
                      <w:spacing w:val="0"/>
                      <w:sz w:val="18"/>
                      <w:szCs w:val="18"/>
                      <w:highlight w:val="none"/>
                    </w:rPr>
                    <w:t>沸点(℃)</w:t>
                  </w:r>
                </w:p>
              </w:tc>
              <w:tc>
                <w:tcPr>
                  <w:tcW w:w="1548" w:type="dxa"/>
                  <w:vAlign w:val="center"/>
                </w:tcPr>
                <w:p w14:paraId="6580D4A9">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1390</w:t>
                  </w:r>
                </w:p>
              </w:tc>
              <w:tc>
                <w:tcPr>
                  <w:tcW w:w="3078" w:type="dxa"/>
                  <w:gridSpan w:val="5"/>
                  <w:vAlign w:val="center"/>
                </w:tcPr>
                <w:p w14:paraId="2EC618E0">
                  <w:pPr>
                    <w:pStyle w:val="119"/>
                    <w:spacing w:before="0" w:line="200" w:lineRule="exact"/>
                    <w:ind w:left="0"/>
                    <w:jc w:val="center"/>
                    <w:rPr>
                      <w:color w:val="auto"/>
                      <w:sz w:val="18"/>
                      <w:szCs w:val="18"/>
                      <w:highlight w:val="none"/>
                    </w:rPr>
                  </w:pPr>
                  <w:r>
                    <w:rPr>
                      <w:color w:val="auto"/>
                      <w:spacing w:val="0"/>
                      <w:position w:val="0"/>
                      <w:sz w:val="18"/>
                      <w:szCs w:val="18"/>
                      <w:highlight w:val="none"/>
                    </w:rPr>
                    <w:t>饱和蒸气压（</w:t>
                  </w:r>
                  <w:r>
                    <w:rPr>
                      <w:rFonts w:ascii="Times New Roman" w:hAnsi="Times New Roman" w:eastAsia="Times New Roman" w:cs="Times New Roman"/>
                      <w:color w:val="auto"/>
                      <w:position w:val="0"/>
                      <w:sz w:val="18"/>
                      <w:szCs w:val="18"/>
                      <w:highlight w:val="none"/>
                    </w:rPr>
                    <w:t>kPa</w:t>
                  </w:r>
                  <w:r>
                    <w:rPr>
                      <w:color w:val="auto"/>
                      <w:spacing w:val="0"/>
                      <w:position w:val="0"/>
                      <w:sz w:val="18"/>
                      <w:szCs w:val="18"/>
                      <w:highlight w:val="none"/>
                    </w:rPr>
                    <w:t>）</w:t>
                  </w:r>
                </w:p>
              </w:tc>
              <w:tc>
                <w:tcPr>
                  <w:tcW w:w="2788" w:type="dxa"/>
                  <w:gridSpan w:val="3"/>
                  <w:vAlign w:val="center"/>
                </w:tcPr>
                <w:p w14:paraId="2CD5A3BF">
                  <w:pPr>
                    <w:pStyle w:val="119"/>
                    <w:spacing w:before="0" w:line="200" w:lineRule="exact"/>
                    <w:ind w:left="0"/>
                    <w:jc w:val="center"/>
                    <w:rPr>
                      <w:color w:val="auto"/>
                      <w:sz w:val="18"/>
                      <w:szCs w:val="18"/>
                      <w:highlight w:val="none"/>
                    </w:rPr>
                  </w:pPr>
                  <w:r>
                    <w:rPr>
                      <w:rFonts w:ascii="Times New Roman" w:hAnsi="Times New Roman" w:eastAsia="Times New Roman" w:cs="Times New Roman"/>
                      <w:color w:val="auto"/>
                      <w:spacing w:val="0"/>
                      <w:position w:val="0"/>
                      <w:sz w:val="18"/>
                      <w:szCs w:val="18"/>
                      <w:highlight w:val="none"/>
                    </w:rPr>
                    <w:t>0.13/739</w:t>
                  </w:r>
                  <w:r>
                    <w:rPr>
                      <w:color w:val="auto"/>
                      <w:spacing w:val="0"/>
                      <w:position w:val="0"/>
                      <w:sz w:val="18"/>
                      <w:szCs w:val="18"/>
                      <w:highlight w:val="none"/>
                    </w:rPr>
                    <w:t>℃</w:t>
                  </w:r>
                </w:p>
              </w:tc>
            </w:tr>
            <w:tr w14:paraId="0F73B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tcBorders>
                  <w:vAlign w:val="center"/>
                </w:tcPr>
                <w:p w14:paraId="7734165C">
                  <w:pPr>
                    <w:pStyle w:val="119"/>
                    <w:spacing w:before="0" w:line="200" w:lineRule="exact"/>
                    <w:jc w:val="center"/>
                    <w:rPr>
                      <w:rFonts w:ascii="Times New Roman"/>
                      <w:color w:val="auto"/>
                      <w:sz w:val="18"/>
                      <w:szCs w:val="18"/>
                      <w:highlight w:val="none"/>
                    </w:rPr>
                  </w:pPr>
                </w:p>
              </w:tc>
              <w:tc>
                <w:tcPr>
                  <w:tcW w:w="1168" w:type="dxa"/>
                  <w:vAlign w:val="center"/>
                </w:tcPr>
                <w:p w14:paraId="4974E904">
                  <w:pPr>
                    <w:pStyle w:val="119"/>
                    <w:spacing w:before="0" w:line="200" w:lineRule="exact"/>
                    <w:ind w:left="0"/>
                    <w:jc w:val="center"/>
                    <w:rPr>
                      <w:color w:val="auto"/>
                      <w:sz w:val="18"/>
                      <w:szCs w:val="18"/>
                      <w:highlight w:val="none"/>
                    </w:rPr>
                  </w:pPr>
                  <w:r>
                    <w:rPr>
                      <w:color w:val="auto"/>
                      <w:spacing w:val="0"/>
                      <w:sz w:val="18"/>
                      <w:szCs w:val="18"/>
                      <w:highlight w:val="none"/>
                    </w:rPr>
                    <w:t>溶解性</w:t>
                  </w:r>
                </w:p>
              </w:tc>
              <w:tc>
                <w:tcPr>
                  <w:tcW w:w="7414" w:type="dxa"/>
                  <w:gridSpan w:val="9"/>
                  <w:vAlign w:val="center"/>
                </w:tcPr>
                <w:p w14:paraId="0E86923C">
                  <w:pPr>
                    <w:pStyle w:val="119"/>
                    <w:spacing w:before="0" w:line="200" w:lineRule="exact"/>
                    <w:ind w:left="0"/>
                    <w:jc w:val="center"/>
                    <w:rPr>
                      <w:color w:val="auto"/>
                      <w:sz w:val="18"/>
                      <w:szCs w:val="18"/>
                      <w:highlight w:val="none"/>
                    </w:rPr>
                  </w:pPr>
                  <w:r>
                    <w:rPr>
                      <w:color w:val="auto"/>
                      <w:spacing w:val="0"/>
                      <w:sz w:val="18"/>
                      <w:szCs w:val="18"/>
                      <w:highlight w:val="none"/>
                    </w:rPr>
                    <w:t>易溶于水、乙醇、甘油，不溶于丙酮。</w:t>
                  </w:r>
                </w:p>
              </w:tc>
            </w:tr>
            <w:tr w14:paraId="22B87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restart"/>
                  <w:tcBorders>
                    <w:bottom w:val="nil"/>
                  </w:tcBorders>
                  <w:vAlign w:val="center"/>
                </w:tcPr>
                <w:p w14:paraId="62E64E5B">
                  <w:pPr>
                    <w:pStyle w:val="119"/>
                    <w:spacing w:before="0" w:line="200" w:lineRule="exact"/>
                    <w:ind w:left="0"/>
                    <w:jc w:val="center"/>
                    <w:rPr>
                      <w:color w:val="auto"/>
                      <w:sz w:val="18"/>
                      <w:szCs w:val="18"/>
                      <w:highlight w:val="none"/>
                    </w:rPr>
                  </w:pPr>
                  <w:r>
                    <w:rPr>
                      <w:color w:val="auto"/>
                      <w:spacing w:val="0"/>
                      <w:sz w:val="18"/>
                      <w:szCs w:val="18"/>
                      <w:highlight w:val="none"/>
                    </w:rPr>
                    <w:t>毒性及健康危害</w:t>
                  </w:r>
                </w:p>
              </w:tc>
              <w:tc>
                <w:tcPr>
                  <w:tcW w:w="1168" w:type="dxa"/>
                  <w:vAlign w:val="center"/>
                </w:tcPr>
                <w:p w14:paraId="6BF3DC69">
                  <w:pPr>
                    <w:pStyle w:val="119"/>
                    <w:spacing w:before="0" w:line="200" w:lineRule="exact"/>
                    <w:ind w:left="0"/>
                    <w:jc w:val="center"/>
                    <w:rPr>
                      <w:color w:val="auto"/>
                      <w:sz w:val="18"/>
                      <w:szCs w:val="18"/>
                      <w:highlight w:val="none"/>
                    </w:rPr>
                  </w:pPr>
                  <w:r>
                    <w:rPr>
                      <w:color w:val="auto"/>
                      <w:spacing w:val="0"/>
                      <w:sz w:val="18"/>
                      <w:szCs w:val="18"/>
                      <w:highlight w:val="none"/>
                    </w:rPr>
                    <w:t>侵入途径</w:t>
                  </w:r>
                </w:p>
              </w:tc>
              <w:tc>
                <w:tcPr>
                  <w:tcW w:w="7414" w:type="dxa"/>
                  <w:gridSpan w:val="9"/>
                  <w:tcBorders>
                    <w:right w:val="single" w:color="000000" w:sz="2" w:space="0"/>
                  </w:tcBorders>
                  <w:vAlign w:val="center"/>
                </w:tcPr>
                <w:p w14:paraId="0835D27F">
                  <w:pPr>
                    <w:pStyle w:val="119"/>
                    <w:spacing w:before="0" w:line="200" w:lineRule="exact"/>
                    <w:ind w:left="0"/>
                    <w:jc w:val="center"/>
                    <w:rPr>
                      <w:color w:val="auto"/>
                      <w:sz w:val="18"/>
                      <w:szCs w:val="18"/>
                      <w:highlight w:val="none"/>
                    </w:rPr>
                  </w:pPr>
                  <w:r>
                    <w:rPr>
                      <w:color w:val="auto"/>
                      <w:spacing w:val="0"/>
                      <w:sz w:val="18"/>
                      <w:szCs w:val="18"/>
                      <w:highlight w:val="none"/>
                    </w:rPr>
                    <w:t>吸入、食入、经皮吸收。</w:t>
                  </w:r>
                </w:p>
              </w:tc>
            </w:tr>
            <w:tr w14:paraId="79311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bottom w:val="nil"/>
                  </w:tcBorders>
                  <w:vAlign w:val="center"/>
                </w:tcPr>
                <w:p w14:paraId="4DD5E6D8">
                  <w:pPr>
                    <w:pStyle w:val="119"/>
                    <w:spacing w:before="0" w:line="200" w:lineRule="exact"/>
                    <w:jc w:val="center"/>
                    <w:rPr>
                      <w:rFonts w:ascii="Times New Roman"/>
                      <w:color w:val="auto"/>
                      <w:sz w:val="18"/>
                      <w:szCs w:val="18"/>
                      <w:highlight w:val="none"/>
                    </w:rPr>
                  </w:pPr>
                </w:p>
              </w:tc>
              <w:tc>
                <w:tcPr>
                  <w:tcW w:w="1168" w:type="dxa"/>
                  <w:tcBorders>
                    <w:bottom w:val="single" w:color="000000" w:sz="2" w:space="0"/>
                  </w:tcBorders>
                  <w:vAlign w:val="center"/>
                </w:tcPr>
                <w:p w14:paraId="4978640F">
                  <w:pPr>
                    <w:pStyle w:val="119"/>
                    <w:spacing w:before="0" w:line="200" w:lineRule="exact"/>
                    <w:ind w:left="0"/>
                    <w:jc w:val="center"/>
                    <w:rPr>
                      <w:color w:val="auto"/>
                      <w:sz w:val="18"/>
                      <w:szCs w:val="18"/>
                      <w:highlight w:val="none"/>
                    </w:rPr>
                  </w:pPr>
                  <w:r>
                    <w:rPr>
                      <w:color w:val="auto"/>
                      <w:spacing w:val="0"/>
                      <w:sz w:val="18"/>
                      <w:szCs w:val="18"/>
                      <w:highlight w:val="none"/>
                    </w:rPr>
                    <w:t>健康危害</w:t>
                  </w:r>
                </w:p>
              </w:tc>
              <w:tc>
                <w:tcPr>
                  <w:tcW w:w="7414" w:type="dxa"/>
                  <w:gridSpan w:val="9"/>
                  <w:tcBorders>
                    <w:bottom w:val="single" w:color="000000" w:sz="2" w:space="0"/>
                  </w:tcBorders>
                  <w:vAlign w:val="center"/>
                </w:tcPr>
                <w:p w14:paraId="24993293">
                  <w:pPr>
                    <w:pStyle w:val="119"/>
                    <w:spacing w:before="0" w:line="200" w:lineRule="exact"/>
                    <w:ind w:left="0" w:right="0" w:firstLine="0"/>
                    <w:jc w:val="both"/>
                    <w:rPr>
                      <w:color w:val="auto"/>
                      <w:sz w:val="18"/>
                      <w:szCs w:val="18"/>
                      <w:highlight w:val="none"/>
                    </w:rPr>
                  </w:pPr>
                  <w:r>
                    <w:rPr>
                      <w:color w:val="auto"/>
                      <w:spacing w:val="0"/>
                      <w:sz w:val="18"/>
                      <w:szCs w:val="18"/>
                      <w:highlight w:val="none"/>
                    </w:rPr>
                    <w:t>本品有强烈刺激和腐蚀性。粉尘或烟雾刺激眼和呼吸道，腐蚀鼻中隔；皮肤和眼直接接触可引起灼伤；误服可造成消化道灼伤，粘膜糜烂、出血和休克。</w:t>
                  </w:r>
                </w:p>
              </w:tc>
            </w:tr>
            <w:tr w14:paraId="10571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tcBorders>
                  <w:vAlign w:val="center"/>
                </w:tcPr>
                <w:p w14:paraId="49E8354F">
                  <w:pPr>
                    <w:pStyle w:val="119"/>
                    <w:spacing w:before="0" w:line="200" w:lineRule="exact"/>
                    <w:jc w:val="center"/>
                    <w:rPr>
                      <w:rFonts w:ascii="Times New Roman"/>
                      <w:color w:val="auto"/>
                      <w:sz w:val="18"/>
                      <w:szCs w:val="18"/>
                      <w:highlight w:val="none"/>
                    </w:rPr>
                  </w:pPr>
                </w:p>
              </w:tc>
              <w:tc>
                <w:tcPr>
                  <w:tcW w:w="1168" w:type="dxa"/>
                  <w:tcBorders>
                    <w:top w:val="single" w:color="000000" w:sz="2" w:space="0"/>
                  </w:tcBorders>
                  <w:vAlign w:val="center"/>
                </w:tcPr>
                <w:p w14:paraId="325B6276">
                  <w:pPr>
                    <w:pStyle w:val="119"/>
                    <w:spacing w:before="0" w:line="200" w:lineRule="exact"/>
                    <w:ind w:left="0"/>
                    <w:jc w:val="center"/>
                    <w:rPr>
                      <w:color w:val="auto"/>
                      <w:sz w:val="18"/>
                      <w:szCs w:val="18"/>
                      <w:highlight w:val="none"/>
                    </w:rPr>
                  </w:pPr>
                  <w:r>
                    <w:rPr>
                      <w:color w:val="auto"/>
                      <w:spacing w:val="0"/>
                      <w:sz w:val="18"/>
                      <w:szCs w:val="18"/>
                      <w:highlight w:val="none"/>
                    </w:rPr>
                    <w:t>急救方法</w:t>
                  </w:r>
                </w:p>
              </w:tc>
              <w:tc>
                <w:tcPr>
                  <w:tcW w:w="7414" w:type="dxa"/>
                  <w:gridSpan w:val="9"/>
                  <w:tcBorders>
                    <w:top w:val="single" w:color="000000" w:sz="2" w:space="0"/>
                  </w:tcBorders>
                  <w:vAlign w:val="center"/>
                </w:tcPr>
                <w:p w14:paraId="17B90821">
                  <w:pPr>
                    <w:pStyle w:val="119"/>
                    <w:spacing w:before="0" w:line="200" w:lineRule="exact"/>
                    <w:ind w:left="0" w:right="0" w:firstLine="0"/>
                    <w:jc w:val="both"/>
                    <w:rPr>
                      <w:rFonts w:hint="default" w:eastAsia="Times New Roman"/>
                      <w:color w:val="auto"/>
                      <w:sz w:val="18"/>
                      <w:szCs w:val="18"/>
                      <w:highlight w:val="none"/>
                      <w:lang w:eastAsia="zh-CN"/>
                    </w:rPr>
                  </w:pPr>
                  <w:r>
                    <w:rPr>
                      <w:color w:val="auto"/>
                      <w:spacing w:val="0"/>
                      <w:sz w:val="18"/>
                      <w:szCs w:val="18"/>
                      <w:highlight w:val="none"/>
                    </w:rPr>
                    <w:t>皮肤接触：立即用水冲洗至少</w:t>
                  </w:r>
                  <w:r>
                    <w:rPr>
                      <w:rFonts w:ascii="Times New Roman" w:hAnsi="Times New Roman" w:eastAsia="Times New Roman" w:cs="Times New Roman"/>
                      <w:color w:val="auto"/>
                      <w:spacing w:val="0"/>
                      <w:sz w:val="18"/>
                      <w:szCs w:val="18"/>
                      <w:highlight w:val="none"/>
                    </w:rPr>
                    <w:t>15</w:t>
                  </w:r>
                  <w:r>
                    <w:rPr>
                      <w:color w:val="auto"/>
                      <w:spacing w:val="0"/>
                      <w:sz w:val="18"/>
                      <w:szCs w:val="18"/>
                      <w:highlight w:val="none"/>
                    </w:rPr>
                    <w:t>分钟。若有灼伤，就医治疗。眼睛接触：立即提起眼睑，用流动清水或生理盐水冲洗至少</w:t>
                  </w:r>
                  <w:r>
                    <w:rPr>
                      <w:rFonts w:ascii="Times New Roman" w:hAnsi="Times New Roman" w:eastAsia="Times New Roman" w:cs="Times New Roman"/>
                      <w:color w:val="auto"/>
                      <w:spacing w:val="0"/>
                      <w:sz w:val="18"/>
                      <w:szCs w:val="18"/>
                      <w:highlight w:val="none"/>
                    </w:rPr>
                    <w:t>15</w:t>
                  </w:r>
                  <w:r>
                    <w:rPr>
                      <w:color w:val="auto"/>
                      <w:spacing w:val="0"/>
                      <w:sz w:val="18"/>
                      <w:szCs w:val="18"/>
                      <w:highlight w:val="none"/>
                    </w:rPr>
                    <w:t>分钟。或用</w:t>
                  </w:r>
                  <w:r>
                    <w:rPr>
                      <w:rFonts w:ascii="Times New Roman" w:hAnsi="Times New Roman" w:eastAsia="Times New Roman" w:cs="Times New Roman"/>
                      <w:color w:val="auto"/>
                      <w:spacing w:val="0"/>
                      <w:sz w:val="18"/>
                      <w:szCs w:val="18"/>
                      <w:highlight w:val="none"/>
                    </w:rPr>
                    <w:t>3%</w:t>
                  </w:r>
                  <w:r>
                    <w:rPr>
                      <w:color w:val="auto"/>
                      <w:spacing w:val="0"/>
                      <w:sz w:val="18"/>
                      <w:szCs w:val="18"/>
                      <w:highlight w:val="none"/>
                    </w:rPr>
                    <w:t>硼酸溶液冲洗。就医。吸入：迅速脱离现场至空气新鲜处。必要时进行人工呼吸。就医。食入：患者清醒时立即漱口，口服稀释的醋或柠檬汁，就医</w:t>
                  </w:r>
                  <w:r>
                    <w:rPr>
                      <w:rFonts w:hint="default" w:eastAsia="Times New Roman"/>
                      <w:color w:val="auto"/>
                      <w:spacing w:val="0"/>
                      <w:sz w:val="18"/>
                      <w:szCs w:val="18"/>
                      <w:highlight w:val="none"/>
                      <w:lang w:eastAsia="zh-CN"/>
                    </w:rPr>
                    <w:t>。</w:t>
                  </w:r>
                </w:p>
              </w:tc>
            </w:tr>
            <w:tr w14:paraId="599B8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restart"/>
                  <w:tcBorders>
                    <w:bottom w:val="nil"/>
                  </w:tcBorders>
                  <w:vAlign w:val="center"/>
                </w:tcPr>
                <w:p w14:paraId="297FF912">
                  <w:pPr>
                    <w:pStyle w:val="119"/>
                    <w:spacing w:before="0" w:line="200" w:lineRule="exact"/>
                    <w:ind w:left="0"/>
                    <w:jc w:val="center"/>
                    <w:rPr>
                      <w:color w:val="auto"/>
                      <w:sz w:val="18"/>
                      <w:szCs w:val="18"/>
                      <w:highlight w:val="none"/>
                    </w:rPr>
                  </w:pPr>
                  <w:r>
                    <w:rPr>
                      <w:color w:val="auto"/>
                      <w:spacing w:val="0"/>
                      <w:sz w:val="18"/>
                      <w:szCs w:val="18"/>
                      <w:highlight w:val="none"/>
                    </w:rPr>
                    <w:t>燃烧爆炸危险性</w:t>
                  </w:r>
                </w:p>
              </w:tc>
              <w:tc>
                <w:tcPr>
                  <w:tcW w:w="1168" w:type="dxa"/>
                  <w:vAlign w:val="center"/>
                </w:tcPr>
                <w:p w14:paraId="5A6B728A">
                  <w:pPr>
                    <w:pStyle w:val="119"/>
                    <w:spacing w:before="0" w:line="200" w:lineRule="exact"/>
                    <w:ind w:left="0"/>
                    <w:jc w:val="center"/>
                    <w:rPr>
                      <w:color w:val="auto"/>
                      <w:sz w:val="18"/>
                      <w:szCs w:val="18"/>
                      <w:highlight w:val="none"/>
                    </w:rPr>
                  </w:pPr>
                  <w:r>
                    <w:rPr>
                      <w:color w:val="auto"/>
                      <w:spacing w:val="0"/>
                      <w:sz w:val="18"/>
                      <w:szCs w:val="18"/>
                      <w:highlight w:val="none"/>
                    </w:rPr>
                    <w:t>燃烧性</w:t>
                  </w:r>
                </w:p>
              </w:tc>
              <w:tc>
                <w:tcPr>
                  <w:tcW w:w="2136" w:type="dxa"/>
                  <w:gridSpan w:val="3"/>
                  <w:vAlign w:val="center"/>
                </w:tcPr>
                <w:p w14:paraId="7D2A1AA1">
                  <w:pPr>
                    <w:pStyle w:val="119"/>
                    <w:spacing w:before="0" w:line="200" w:lineRule="exact"/>
                    <w:ind w:left="0"/>
                    <w:jc w:val="center"/>
                    <w:rPr>
                      <w:color w:val="auto"/>
                      <w:sz w:val="18"/>
                      <w:szCs w:val="18"/>
                      <w:highlight w:val="none"/>
                    </w:rPr>
                  </w:pPr>
                  <w:r>
                    <w:rPr>
                      <w:color w:val="auto"/>
                      <w:spacing w:val="0"/>
                      <w:sz w:val="18"/>
                      <w:szCs w:val="18"/>
                      <w:highlight w:val="none"/>
                    </w:rPr>
                    <w:t>不燃</w:t>
                  </w:r>
                </w:p>
              </w:tc>
              <w:tc>
                <w:tcPr>
                  <w:tcW w:w="2490" w:type="dxa"/>
                  <w:gridSpan w:val="3"/>
                  <w:vAlign w:val="center"/>
                </w:tcPr>
                <w:p w14:paraId="211633A7">
                  <w:pPr>
                    <w:pStyle w:val="119"/>
                    <w:spacing w:before="0" w:line="200" w:lineRule="exact"/>
                    <w:ind w:left="0"/>
                    <w:jc w:val="center"/>
                    <w:rPr>
                      <w:color w:val="auto"/>
                      <w:sz w:val="18"/>
                      <w:szCs w:val="18"/>
                      <w:highlight w:val="none"/>
                    </w:rPr>
                  </w:pPr>
                  <w:r>
                    <w:rPr>
                      <w:color w:val="auto"/>
                      <w:spacing w:val="0"/>
                      <w:sz w:val="18"/>
                      <w:szCs w:val="18"/>
                      <w:highlight w:val="none"/>
                    </w:rPr>
                    <w:t>燃烧分解物</w:t>
                  </w:r>
                </w:p>
              </w:tc>
              <w:tc>
                <w:tcPr>
                  <w:tcW w:w="2788" w:type="dxa"/>
                  <w:gridSpan w:val="3"/>
                  <w:vAlign w:val="center"/>
                </w:tcPr>
                <w:p w14:paraId="4652E680">
                  <w:pPr>
                    <w:pStyle w:val="119"/>
                    <w:spacing w:before="0" w:line="200" w:lineRule="exact"/>
                    <w:ind w:left="0"/>
                    <w:jc w:val="center"/>
                    <w:rPr>
                      <w:color w:val="auto"/>
                      <w:sz w:val="18"/>
                      <w:szCs w:val="18"/>
                      <w:highlight w:val="none"/>
                    </w:rPr>
                  </w:pPr>
                  <w:r>
                    <w:rPr>
                      <w:color w:val="auto"/>
                      <w:spacing w:val="0"/>
                      <w:sz w:val="18"/>
                      <w:szCs w:val="18"/>
                      <w:highlight w:val="none"/>
                    </w:rPr>
                    <w:t>可能产生有害的毒性烟</w:t>
                  </w:r>
                </w:p>
                <w:p w14:paraId="0C3AFB8C">
                  <w:pPr>
                    <w:pStyle w:val="119"/>
                    <w:spacing w:before="0" w:line="200" w:lineRule="exact"/>
                    <w:ind w:left="0"/>
                    <w:jc w:val="center"/>
                    <w:rPr>
                      <w:color w:val="auto"/>
                      <w:sz w:val="18"/>
                      <w:szCs w:val="18"/>
                      <w:highlight w:val="none"/>
                    </w:rPr>
                  </w:pPr>
                  <w:r>
                    <w:rPr>
                      <w:color w:val="auto"/>
                      <w:spacing w:val="0"/>
                      <w:sz w:val="18"/>
                      <w:szCs w:val="18"/>
                      <w:highlight w:val="none"/>
                    </w:rPr>
                    <w:t>雾。</w:t>
                  </w:r>
                </w:p>
              </w:tc>
            </w:tr>
            <w:tr w14:paraId="6D905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bottom w:val="nil"/>
                  </w:tcBorders>
                  <w:vAlign w:val="center"/>
                </w:tcPr>
                <w:p w14:paraId="5795F2CE">
                  <w:pPr>
                    <w:pStyle w:val="119"/>
                    <w:spacing w:before="0" w:line="200" w:lineRule="exact"/>
                    <w:jc w:val="center"/>
                    <w:rPr>
                      <w:rFonts w:ascii="Times New Roman"/>
                      <w:color w:val="auto"/>
                      <w:sz w:val="18"/>
                      <w:szCs w:val="18"/>
                      <w:highlight w:val="none"/>
                    </w:rPr>
                  </w:pPr>
                </w:p>
              </w:tc>
              <w:tc>
                <w:tcPr>
                  <w:tcW w:w="1168" w:type="dxa"/>
                  <w:vAlign w:val="center"/>
                </w:tcPr>
                <w:p w14:paraId="7E95A272">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闪点</w:t>
                  </w:r>
                  <w:r>
                    <w:rPr>
                      <w:rFonts w:hint="default" w:eastAsia="Times New Roman"/>
                      <w:color w:val="auto"/>
                      <w:spacing w:val="0"/>
                      <w:position w:val="0"/>
                      <w:sz w:val="18"/>
                      <w:szCs w:val="18"/>
                      <w:highlight w:val="none"/>
                      <w:lang w:eastAsia="zh-CN"/>
                    </w:rPr>
                    <w:t>（</w:t>
                  </w:r>
                  <w:r>
                    <w:rPr>
                      <w:color w:val="auto"/>
                      <w:spacing w:val="0"/>
                      <w:position w:val="0"/>
                      <w:sz w:val="18"/>
                      <w:szCs w:val="18"/>
                      <w:highlight w:val="none"/>
                    </w:rPr>
                    <w:t>℃</w:t>
                  </w:r>
                  <w:r>
                    <w:rPr>
                      <w:rFonts w:hint="default" w:eastAsia="Times New Roman"/>
                      <w:color w:val="auto"/>
                      <w:spacing w:val="0"/>
                      <w:position w:val="0"/>
                      <w:sz w:val="18"/>
                      <w:szCs w:val="18"/>
                      <w:highlight w:val="none"/>
                      <w:lang w:eastAsia="zh-CN"/>
                    </w:rPr>
                    <w:t>）</w:t>
                  </w:r>
                </w:p>
              </w:tc>
              <w:tc>
                <w:tcPr>
                  <w:tcW w:w="2136" w:type="dxa"/>
                  <w:gridSpan w:val="3"/>
                  <w:vAlign w:val="center"/>
                </w:tcPr>
                <w:p w14:paraId="219927FE">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w:t>
                  </w:r>
                </w:p>
              </w:tc>
              <w:tc>
                <w:tcPr>
                  <w:tcW w:w="2490" w:type="dxa"/>
                  <w:gridSpan w:val="3"/>
                  <w:vAlign w:val="center"/>
                </w:tcPr>
                <w:p w14:paraId="155D65C8">
                  <w:pPr>
                    <w:pStyle w:val="119"/>
                    <w:spacing w:before="0" w:line="200" w:lineRule="exact"/>
                    <w:ind w:left="0"/>
                    <w:jc w:val="center"/>
                    <w:rPr>
                      <w:color w:val="auto"/>
                      <w:sz w:val="18"/>
                      <w:szCs w:val="18"/>
                      <w:highlight w:val="none"/>
                    </w:rPr>
                  </w:pPr>
                  <w:r>
                    <w:rPr>
                      <w:color w:val="auto"/>
                      <w:spacing w:val="0"/>
                      <w:position w:val="0"/>
                      <w:sz w:val="18"/>
                      <w:szCs w:val="18"/>
                      <w:highlight w:val="none"/>
                    </w:rPr>
                    <w:t>爆炸上限（</w:t>
                  </w:r>
                  <w:r>
                    <w:rPr>
                      <w:rFonts w:ascii="Times New Roman" w:hAnsi="Times New Roman" w:eastAsia="Times New Roman" w:cs="Times New Roman"/>
                      <w:color w:val="auto"/>
                      <w:spacing w:val="0"/>
                      <w:position w:val="0"/>
                      <w:sz w:val="18"/>
                      <w:szCs w:val="18"/>
                      <w:highlight w:val="none"/>
                    </w:rPr>
                    <w:t>v%</w:t>
                  </w:r>
                  <w:r>
                    <w:rPr>
                      <w:color w:val="auto"/>
                      <w:spacing w:val="0"/>
                      <w:position w:val="0"/>
                      <w:sz w:val="18"/>
                      <w:szCs w:val="18"/>
                      <w:highlight w:val="none"/>
                    </w:rPr>
                    <w:t>）</w:t>
                  </w:r>
                </w:p>
              </w:tc>
              <w:tc>
                <w:tcPr>
                  <w:tcW w:w="2788" w:type="dxa"/>
                  <w:gridSpan w:val="3"/>
                  <w:vAlign w:val="center"/>
                </w:tcPr>
                <w:p w14:paraId="25F4DEEA">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w:t>
                  </w:r>
                </w:p>
              </w:tc>
            </w:tr>
            <w:tr w14:paraId="16A75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bottom w:val="nil"/>
                  </w:tcBorders>
                  <w:vAlign w:val="center"/>
                </w:tcPr>
                <w:p w14:paraId="68C4EEFD">
                  <w:pPr>
                    <w:pStyle w:val="119"/>
                    <w:spacing w:before="0" w:line="200" w:lineRule="exact"/>
                    <w:jc w:val="center"/>
                    <w:rPr>
                      <w:rFonts w:ascii="Times New Roman"/>
                      <w:color w:val="auto"/>
                      <w:sz w:val="18"/>
                      <w:szCs w:val="18"/>
                      <w:highlight w:val="none"/>
                    </w:rPr>
                  </w:pPr>
                </w:p>
              </w:tc>
              <w:tc>
                <w:tcPr>
                  <w:tcW w:w="1168" w:type="dxa"/>
                  <w:vAlign w:val="center"/>
                </w:tcPr>
                <w:p w14:paraId="265D41DE">
                  <w:pPr>
                    <w:pStyle w:val="119"/>
                    <w:spacing w:before="0" w:line="200" w:lineRule="exact"/>
                    <w:ind w:left="0" w:right="0" w:firstLine="0"/>
                    <w:jc w:val="center"/>
                    <w:rPr>
                      <w:rFonts w:ascii="Times New Roman" w:hAnsi="Times New Roman" w:eastAsia="Times New Roman" w:cs="Times New Roman"/>
                      <w:color w:val="auto"/>
                      <w:sz w:val="18"/>
                      <w:szCs w:val="18"/>
                      <w:highlight w:val="none"/>
                    </w:rPr>
                  </w:pPr>
                  <w:r>
                    <w:rPr>
                      <w:color w:val="auto"/>
                      <w:spacing w:val="0"/>
                      <w:sz w:val="18"/>
                      <w:szCs w:val="18"/>
                      <w:highlight w:val="none"/>
                    </w:rPr>
                    <w:t>引燃温度</w:t>
                  </w:r>
                  <w:r>
                    <w:rPr>
                      <w:rFonts w:hint="default" w:eastAsia="Times New Roman"/>
                      <w:color w:val="auto"/>
                      <w:spacing w:val="0"/>
                      <w:sz w:val="18"/>
                      <w:szCs w:val="18"/>
                      <w:highlight w:val="none"/>
                      <w:lang w:eastAsia="zh-CN"/>
                    </w:rPr>
                    <w:t>（</w:t>
                  </w:r>
                  <w:r>
                    <w:rPr>
                      <w:color w:val="auto"/>
                      <w:spacing w:val="0"/>
                      <w:sz w:val="18"/>
                      <w:szCs w:val="18"/>
                      <w:highlight w:val="none"/>
                    </w:rPr>
                    <w:t>℃</w:t>
                  </w:r>
                  <w:r>
                    <w:rPr>
                      <w:rFonts w:hint="default" w:eastAsia="Times New Roman"/>
                      <w:color w:val="auto"/>
                      <w:spacing w:val="0"/>
                      <w:sz w:val="18"/>
                      <w:szCs w:val="18"/>
                      <w:highlight w:val="none"/>
                      <w:lang w:eastAsia="zh-CN"/>
                    </w:rPr>
                    <w:t>）</w:t>
                  </w:r>
                </w:p>
              </w:tc>
              <w:tc>
                <w:tcPr>
                  <w:tcW w:w="2136" w:type="dxa"/>
                  <w:gridSpan w:val="3"/>
                  <w:vAlign w:val="center"/>
                </w:tcPr>
                <w:p w14:paraId="50F99C2F">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w:t>
                  </w:r>
                </w:p>
              </w:tc>
              <w:tc>
                <w:tcPr>
                  <w:tcW w:w="2490" w:type="dxa"/>
                  <w:gridSpan w:val="3"/>
                  <w:vAlign w:val="center"/>
                </w:tcPr>
                <w:p w14:paraId="60D88AB7">
                  <w:pPr>
                    <w:pStyle w:val="119"/>
                    <w:spacing w:before="0" w:line="200" w:lineRule="exact"/>
                    <w:ind w:left="0"/>
                    <w:jc w:val="center"/>
                    <w:rPr>
                      <w:color w:val="auto"/>
                      <w:sz w:val="18"/>
                      <w:szCs w:val="18"/>
                      <w:highlight w:val="none"/>
                    </w:rPr>
                  </w:pPr>
                  <w:r>
                    <w:rPr>
                      <w:color w:val="auto"/>
                      <w:spacing w:val="0"/>
                      <w:position w:val="0"/>
                      <w:sz w:val="18"/>
                      <w:szCs w:val="18"/>
                      <w:highlight w:val="none"/>
                    </w:rPr>
                    <w:t>爆炸下限（</w:t>
                  </w:r>
                  <w:r>
                    <w:rPr>
                      <w:rFonts w:ascii="Times New Roman" w:hAnsi="Times New Roman" w:eastAsia="Times New Roman" w:cs="Times New Roman"/>
                      <w:color w:val="auto"/>
                      <w:spacing w:val="0"/>
                      <w:position w:val="0"/>
                      <w:sz w:val="18"/>
                      <w:szCs w:val="18"/>
                      <w:highlight w:val="none"/>
                    </w:rPr>
                    <w:t>v%</w:t>
                  </w:r>
                  <w:r>
                    <w:rPr>
                      <w:color w:val="auto"/>
                      <w:spacing w:val="0"/>
                      <w:position w:val="0"/>
                      <w:sz w:val="18"/>
                      <w:szCs w:val="18"/>
                      <w:highlight w:val="none"/>
                    </w:rPr>
                    <w:t>）</w:t>
                  </w:r>
                </w:p>
              </w:tc>
              <w:tc>
                <w:tcPr>
                  <w:tcW w:w="2788" w:type="dxa"/>
                  <w:gridSpan w:val="3"/>
                  <w:vAlign w:val="center"/>
                </w:tcPr>
                <w:p w14:paraId="5BBB84D8">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w:t>
                  </w:r>
                </w:p>
              </w:tc>
            </w:tr>
            <w:tr w14:paraId="0CB0E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bottom w:val="nil"/>
                  </w:tcBorders>
                  <w:vAlign w:val="center"/>
                </w:tcPr>
                <w:p w14:paraId="65B305F1">
                  <w:pPr>
                    <w:pStyle w:val="119"/>
                    <w:spacing w:before="0" w:line="200" w:lineRule="exact"/>
                    <w:jc w:val="center"/>
                    <w:rPr>
                      <w:rFonts w:ascii="Times New Roman"/>
                      <w:color w:val="auto"/>
                      <w:sz w:val="18"/>
                      <w:szCs w:val="18"/>
                      <w:highlight w:val="none"/>
                    </w:rPr>
                  </w:pPr>
                </w:p>
              </w:tc>
              <w:tc>
                <w:tcPr>
                  <w:tcW w:w="1168" w:type="dxa"/>
                  <w:vAlign w:val="center"/>
                </w:tcPr>
                <w:p w14:paraId="5115E6F8">
                  <w:pPr>
                    <w:pStyle w:val="119"/>
                    <w:spacing w:before="0" w:line="200" w:lineRule="exact"/>
                    <w:ind w:left="0"/>
                    <w:jc w:val="center"/>
                    <w:rPr>
                      <w:color w:val="auto"/>
                      <w:sz w:val="18"/>
                      <w:szCs w:val="18"/>
                      <w:highlight w:val="none"/>
                    </w:rPr>
                  </w:pPr>
                  <w:r>
                    <w:rPr>
                      <w:color w:val="auto"/>
                      <w:spacing w:val="0"/>
                      <w:sz w:val="18"/>
                      <w:szCs w:val="18"/>
                      <w:highlight w:val="none"/>
                    </w:rPr>
                    <w:t>危险特性</w:t>
                  </w:r>
                </w:p>
              </w:tc>
              <w:tc>
                <w:tcPr>
                  <w:tcW w:w="7414" w:type="dxa"/>
                  <w:gridSpan w:val="9"/>
                  <w:vAlign w:val="center"/>
                </w:tcPr>
                <w:p w14:paraId="25DA74E2">
                  <w:pPr>
                    <w:pStyle w:val="119"/>
                    <w:spacing w:before="0" w:line="200" w:lineRule="exact"/>
                    <w:ind w:left="0" w:right="0" w:firstLine="0"/>
                    <w:jc w:val="both"/>
                    <w:rPr>
                      <w:color w:val="auto"/>
                      <w:sz w:val="18"/>
                      <w:szCs w:val="18"/>
                      <w:highlight w:val="none"/>
                    </w:rPr>
                  </w:pPr>
                  <w:r>
                    <w:rPr>
                      <w:color w:val="auto"/>
                      <w:spacing w:val="0"/>
                      <w:sz w:val="18"/>
                      <w:szCs w:val="18"/>
                      <w:highlight w:val="none"/>
                    </w:rPr>
                    <w:t>与酸发生中和反应并放热。遇潮时对铝、锌和锡有腐蚀性，并放出易燃易爆的氢气。本品不会燃烧</w:t>
                  </w:r>
                  <w:r>
                    <w:rPr>
                      <w:rFonts w:hint="default" w:eastAsia="Times New Roman"/>
                      <w:color w:val="auto"/>
                      <w:spacing w:val="0"/>
                      <w:sz w:val="18"/>
                      <w:szCs w:val="18"/>
                      <w:highlight w:val="none"/>
                      <w:lang w:eastAsia="zh-CN"/>
                    </w:rPr>
                    <w:t>，</w:t>
                  </w:r>
                  <w:r>
                    <w:rPr>
                      <w:color w:val="auto"/>
                      <w:spacing w:val="0"/>
                      <w:sz w:val="18"/>
                      <w:szCs w:val="18"/>
                      <w:highlight w:val="none"/>
                    </w:rPr>
                    <w:t>遇水和水蒸气大量放热</w:t>
                  </w:r>
                  <w:r>
                    <w:rPr>
                      <w:rFonts w:hint="default" w:eastAsia="Times New Roman"/>
                      <w:color w:val="auto"/>
                      <w:spacing w:val="0"/>
                      <w:sz w:val="18"/>
                      <w:szCs w:val="18"/>
                      <w:highlight w:val="none"/>
                      <w:lang w:eastAsia="zh-CN"/>
                    </w:rPr>
                    <w:t>，</w:t>
                  </w:r>
                  <w:r>
                    <w:rPr>
                      <w:color w:val="auto"/>
                      <w:spacing w:val="0"/>
                      <w:sz w:val="18"/>
                      <w:szCs w:val="18"/>
                      <w:highlight w:val="none"/>
                    </w:rPr>
                    <w:t>形成腐蚀性溶液。具有强腐蚀性。</w:t>
                  </w:r>
                </w:p>
              </w:tc>
            </w:tr>
            <w:tr w14:paraId="417B7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bottom w:val="nil"/>
                  </w:tcBorders>
                  <w:vAlign w:val="center"/>
                </w:tcPr>
                <w:p w14:paraId="4872DC07">
                  <w:pPr>
                    <w:pStyle w:val="119"/>
                    <w:spacing w:before="0" w:line="200" w:lineRule="exact"/>
                    <w:jc w:val="center"/>
                    <w:rPr>
                      <w:rFonts w:ascii="Times New Roman"/>
                      <w:color w:val="auto"/>
                      <w:sz w:val="18"/>
                      <w:szCs w:val="18"/>
                      <w:highlight w:val="none"/>
                    </w:rPr>
                  </w:pPr>
                </w:p>
              </w:tc>
              <w:tc>
                <w:tcPr>
                  <w:tcW w:w="1168" w:type="dxa"/>
                  <w:vAlign w:val="center"/>
                </w:tcPr>
                <w:p w14:paraId="167E6E68">
                  <w:pPr>
                    <w:pStyle w:val="119"/>
                    <w:spacing w:before="0" w:line="200" w:lineRule="exact"/>
                    <w:ind w:left="0" w:right="0" w:firstLine="0"/>
                    <w:jc w:val="center"/>
                    <w:rPr>
                      <w:color w:val="auto"/>
                      <w:sz w:val="18"/>
                      <w:szCs w:val="18"/>
                      <w:highlight w:val="none"/>
                    </w:rPr>
                  </w:pPr>
                  <w:r>
                    <w:rPr>
                      <w:color w:val="auto"/>
                      <w:spacing w:val="0"/>
                      <w:sz w:val="18"/>
                      <w:szCs w:val="18"/>
                      <w:highlight w:val="none"/>
                    </w:rPr>
                    <w:t>建规火险分</w:t>
                  </w:r>
                  <w:r>
                    <w:rPr>
                      <w:color w:val="auto"/>
                      <w:sz w:val="18"/>
                      <w:szCs w:val="18"/>
                      <w:highlight w:val="none"/>
                    </w:rPr>
                    <w:t>级</w:t>
                  </w:r>
                </w:p>
              </w:tc>
              <w:tc>
                <w:tcPr>
                  <w:tcW w:w="2136" w:type="dxa"/>
                  <w:gridSpan w:val="3"/>
                  <w:vAlign w:val="center"/>
                </w:tcPr>
                <w:p w14:paraId="1A0F5DCB">
                  <w:pPr>
                    <w:pStyle w:val="119"/>
                    <w:spacing w:before="0" w:line="200" w:lineRule="exact"/>
                    <w:ind w:left="0"/>
                    <w:jc w:val="center"/>
                    <w:rPr>
                      <w:color w:val="auto"/>
                      <w:sz w:val="18"/>
                      <w:szCs w:val="18"/>
                      <w:highlight w:val="none"/>
                    </w:rPr>
                  </w:pPr>
                  <w:r>
                    <w:rPr>
                      <w:color w:val="auto"/>
                      <w:sz w:val="18"/>
                      <w:szCs w:val="18"/>
                      <w:highlight w:val="none"/>
                    </w:rPr>
                    <w:t>戊</w:t>
                  </w:r>
                </w:p>
              </w:tc>
              <w:tc>
                <w:tcPr>
                  <w:tcW w:w="1218" w:type="dxa"/>
                  <w:vAlign w:val="center"/>
                </w:tcPr>
                <w:p w14:paraId="14C369AA">
                  <w:pPr>
                    <w:pStyle w:val="119"/>
                    <w:spacing w:before="0" w:line="200" w:lineRule="exact"/>
                    <w:ind w:left="0"/>
                    <w:jc w:val="center"/>
                    <w:rPr>
                      <w:color w:val="auto"/>
                      <w:sz w:val="18"/>
                      <w:szCs w:val="18"/>
                      <w:highlight w:val="none"/>
                    </w:rPr>
                  </w:pPr>
                  <w:r>
                    <w:rPr>
                      <w:color w:val="auto"/>
                      <w:spacing w:val="0"/>
                      <w:sz w:val="18"/>
                      <w:szCs w:val="18"/>
                      <w:highlight w:val="none"/>
                    </w:rPr>
                    <w:t>稳定性</w:t>
                  </w:r>
                </w:p>
              </w:tc>
              <w:tc>
                <w:tcPr>
                  <w:tcW w:w="1272" w:type="dxa"/>
                  <w:gridSpan w:val="2"/>
                  <w:vAlign w:val="center"/>
                </w:tcPr>
                <w:p w14:paraId="217E3E91">
                  <w:pPr>
                    <w:pStyle w:val="119"/>
                    <w:spacing w:before="0" w:line="200" w:lineRule="exact"/>
                    <w:ind w:left="0"/>
                    <w:jc w:val="center"/>
                    <w:rPr>
                      <w:color w:val="auto"/>
                      <w:sz w:val="18"/>
                      <w:szCs w:val="18"/>
                      <w:highlight w:val="none"/>
                    </w:rPr>
                  </w:pPr>
                  <w:r>
                    <w:rPr>
                      <w:color w:val="auto"/>
                      <w:spacing w:val="0"/>
                      <w:sz w:val="18"/>
                      <w:szCs w:val="18"/>
                      <w:highlight w:val="none"/>
                    </w:rPr>
                    <w:t>稳定</w:t>
                  </w:r>
                </w:p>
              </w:tc>
              <w:tc>
                <w:tcPr>
                  <w:tcW w:w="1434" w:type="dxa"/>
                  <w:vAlign w:val="center"/>
                </w:tcPr>
                <w:p w14:paraId="2345F2E1">
                  <w:pPr>
                    <w:pStyle w:val="119"/>
                    <w:spacing w:before="0" w:line="200" w:lineRule="exact"/>
                    <w:ind w:left="0"/>
                    <w:jc w:val="center"/>
                    <w:rPr>
                      <w:color w:val="auto"/>
                      <w:sz w:val="18"/>
                      <w:szCs w:val="18"/>
                      <w:highlight w:val="none"/>
                    </w:rPr>
                  </w:pPr>
                  <w:r>
                    <w:rPr>
                      <w:color w:val="auto"/>
                      <w:spacing w:val="0"/>
                      <w:sz w:val="18"/>
                      <w:szCs w:val="18"/>
                      <w:highlight w:val="none"/>
                    </w:rPr>
                    <w:t>聚合危害</w:t>
                  </w:r>
                </w:p>
              </w:tc>
              <w:tc>
                <w:tcPr>
                  <w:tcW w:w="1354" w:type="dxa"/>
                  <w:gridSpan w:val="2"/>
                  <w:vAlign w:val="center"/>
                </w:tcPr>
                <w:p w14:paraId="28E90819">
                  <w:pPr>
                    <w:pStyle w:val="119"/>
                    <w:spacing w:before="0" w:line="200" w:lineRule="exact"/>
                    <w:ind w:left="0"/>
                    <w:jc w:val="center"/>
                    <w:rPr>
                      <w:color w:val="auto"/>
                      <w:sz w:val="18"/>
                      <w:szCs w:val="18"/>
                      <w:highlight w:val="none"/>
                    </w:rPr>
                  </w:pPr>
                  <w:r>
                    <w:rPr>
                      <w:color w:val="auto"/>
                      <w:spacing w:val="0"/>
                      <w:sz w:val="18"/>
                      <w:szCs w:val="18"/>
                      <w:highlight w:val="none"/>
                    </w:rPr>
                    <w:t>不聚合</w:t>
                  </w:r>
                </w:p>
              </w:tc>
            </w:tr>
            <w:tr w14:paraId="6E7A3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bottom w:val="nil"/>
                  </w:tcBorders>
                  <w:vAlign w:val="center"/>
                </w:tcPr>
                <w:p w14:paraId="0378D92B">
                  <w:pPr>
                    <w:pStyle w:val="119"/>
                    <w:spacing w:before="0" w:line="200" w:lineRule="exact"/>
                    <w:jc w:val="center"/>
                    <w:rPr>
                      <w:rFonts w:ascii="Times New Roman"/>
                      <w:color w:val="auto"/>
                      <w:sz w:val="18"/>
                      <w:szCs w:val="18"/>
                      <w:highlight w:val="none"/>
                    </w:rPr>
                  </w:pPr>
                </w:p>
              </w:tc>
              <w:tc>
                <w:tcPr>
                  <w:tcW w:w="1168" w:type="dxa"/>
                  <w:vAlign w:val="center"/>
                </w:tcPr>
                <w:p w14:paraId="3D3126D6">
                  <w:pPr>
                    <w:pStyle w:val="119"/>
                    <w:spacing w:before="0" w:line="200" w:lineRule="exact"/>
                    <w:ind w:left="0"/>
                    <w:jc w:val="center"/>
                    <w:rPr>
                      <w:color w:val="auto"/>
                      <w:sz w:val="18"/>
                      <w:szCs w:val="18"/>
                      <w:highlight w:val="none"/>
                    </w:rPr>
                  </w:pPr>
                  <w:r>
                    <w:rPr>
                      <w:color w:val="auto"/>
                      <w:spacing w:val="0"/>
                      <w:sz w:val="18"/>
                      <w:szCs w:val="18"/>
                      <w:highlight w:val="none"/>
                    </w:rPr>
                    <w:t>禁忌物</w:t>
                  </w:r>
                </w:p>
              </w:tc>
              <w:tc>
                <w:tcPr>
                  <w:tcW w:w="7414" w:type="dxa"/>
                  <w:gridSpan w:val="9"/>
                  <w:vAlign w:val="center"/>
                </w:tcPr>
                <w:p w14:paraId="790F27A5">
                  <w:pPr>
                    <w:pStyle w:val="119"/>
                    <w:spacing w:before="0" w:line="200" w:lineRule="exact"/>
                    <w:ind w:left="0"/>
                    <w:jc w:val="center"/>
                    <w:rPr>
                      <w:color w:val="auto"/>
                      <w:sz w:val="18"/>
                      <w:szCs w:val="18"/>
                      <w:highlight w:val="none"/>
                    </w:rPr>
                  </w:pPr>
                  <w:r>
                    <w:rPr>
                      <w:color w:val="auto"/>
                      <w:spacing w:val="0"/>
                      <w:sz w:val="18"/>
                      <w:szCs w:val="18"/>
                      <w:highlight w:val="none"/>
                    </w:rPr>
                    <w:t>强酸、易燃或可燃物、二氧化碳、过氧化物、水。</w:t>
                  </w:r>
                </w:p>
              </w:tc>
            </w:tr>
            <w:tr w14:paraId="515F0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bottom w:val="nil"/>
                  </w:tcBorders>
                  <w:vAlign w:val="center"/>
                </w:tcPr>
                <w:p w14:paraId="6C1368CA">
                  <w:pPr>
                    <w:pStyle w:val="119"/>
                    <w:spacing w:before="0" w:line="200" w:lineRule="exact"/>
                    <w:jc w:val="center"/>
                    <w:rPr>
                      <w:rFonts w:ascii="Times New Roman"/>
                      <w:color w:val="auto"/>
                      <w:sz w:val="18"/>
                      <w:szCs w:val="18"/>
                      <w:highlight w:val="none"/>
                    </w:rPr>
                  </w:pPr>
                </w:p>
              </w:tc>
              <w:tc>
                <w:tcPr>
                  <w:tcW w:w="1168" w:type="dxa"/>
                  <w:vAlign w:val="center"/>
                </w:tcPr>
                <w:p w14:paraId="60FCBE00">
                  <w:pPr>
                    <w:pStyle w:val="119"/>
                    <w:spacing w:before="0" w:line="200" w:lineRule="exact"/>
                    <w:ind w:left="0"/>
                    <w:jc w:val="center"/>
                    <w:rPr>
                      <w:color w:val="auto"/>
                      <w:sz w:val="18"/>
                      <w:szCs w:val="18"/>
                      <w:highlight w:val="none"/>
                    </w:rPr>
                  </w:pPr>
                  <w:r>
                    <w:rPr>
                      <w:color w:val="auto"/>
                      <w:spacing w:val="0"/>
                      <w:sz w:val="18"/>
                      <w:szCs w:val="18"/>
                      <w:highlight w:val="none"/>
                    </w:rPr>
                    <w:t>储运条件</w:t>
                  </w:r>
                </w:p>
                <w:p w14:paraId="400707F6">
                  <w:pPr>
                    <w:pStyle w:val="119"/>
                    <w:spacing w:before="0" w:line="200" w:lineRule="exact"/>
                    <w:ind w:left="0"/>
                    <w:jc w:val="center"/>
                    <w:rPr>
                      <w:color w:val="auto"/>
                      <w:sz w:val="18"/>
                      <w:szCs w:val="18"/>
                      <w:highlight w:val="none"/>
                    </w:rPr>
                  </w:pPr>
                  <w:r>
                    <w:rPr>
                      <w:color w:val="auto"/>
                      <w:spacing w:val="0"/>
                      <w:sz w:val="18"/>
                      <w:szCs w:val="18"/>
                      <w:highlight w:val="none"/>
                    </w:rPr>
                    <w:t>与泄漏处</w:t>
                  </w:r>
                </w:p>
                <w:p w14:paraId="27699CDE">
                  <w:pPr>
                    <w:pStyle w:val="119"/>
                    <w:spacing w:before="0" w:line="200" w:lineRule="exact"/>
                    <w:ind w:left="0"/>
                    <w:jc w:val="center"/>
                    <w:rPr>
                      <w:color w:val="auto"/>
                      <w:sz w:val="18"/>
                      <w:szCs w:val="18"/>
                      <w:highlight w:val="none"/>
                    </w:rPr>
                  </w:pPr>
                  <w:r>
                    <w:rPr>
                      <w:color w:val="auto"/>
                      <w:sz w:val="18"/>
                      <w:szCs w:val="18"/>
                      <w:highlight w:val="none"/>
                    </w:rPr>
                    <w:t>理</w:t>
                  </w:r>
                </w:p>
              </w:tc>
              <w:tc>
                <w:tcPr>
                  <w:tcW w:w="7414" w:type="dxa"/>
                  <w:gridSpan w:val="9"/>
                  <w:vAlign w:val="center"/>
                </w:tcPr>
                <w:p w14:paraId="099BD658">
                  <w:pPr>
                    <w:pStyle w:val="119"/>
                    <w:spacing w:before="0" w:line="200" w:lineRule="exact"/>
                    <w:ind w:left="0" w:right="0"/>
                    <w:jc w:val="both"/>
                    <w:rPr>
                      <w:color w:val="auto"/>
                      <w:sz w:val="18"/>
                      <w:szCs w:val="18"/>
                      <w:highlight w:val="none"/>
                    </w:rPr>
                  </w:pPr>
                  <w:r>
                    <w:rPr>
                      <w:color w:val="auto"/>
                      <w:spacing w:val="0"/>
                      <w:sz w:val="18"/>
                      <w:szCs w:val="18"/>
                      <w:highlight w:val="none"/>
                    </w:rPr>
                    <w:t>储运条件：储存于干燥清洁的仓间内，注意防潮和雨淋。应与易燃或可燃物及酸类分开存放。搬运时应轻装轻卸，防止包装和容器损坏。雨天不宜运输。泄漏处理：隔离泄漏污染区，周围</w:t>
                  </w:r>
                  <w:r>
                    <w:rPr>
                      <w:rFonts w:hint="default" w:eastAsia="Times New Roman"/>
                      <w:color w:val="auto"/>
                      <w:spacing w:val="0"/>
                      <w:sz w:val="18"/>
                      <w:szCs w:val="18"/>
                      <w:highlight w:val="none"/>
                      <w:lang w:eastAsia="zh-CN"/>
                    </w:rPr>
                    <w:t>设置</w:t>
                  </w:r>
                  <w:r>
                    <w:rPr>
                      <w:color w:val="auto"/>
                      <w:spacing w:val="0"/>
                      <w:sz w:val="18"/>
                      <w:szCs w:val="18"/>
                      <w:highlight w:val="none"/>
                    </w:rPr>
                    <w:t>警告标志，建议应急处理人员戴好防毒面具，穿化学防护服。不要直接接触泄漏物，用</w:t>
                  </w:r>
                  <w:r>
                    <w:rPr>
                      <w:rFonts w:hint="default" w:eastAsia="Times New Roman"/>
                      <w:color w:val="auto"/>
                      <w:spacing w:val="0"/>
                      <w:sz w:val="18"/>
                      <w:szCs w:val="18"/>
                      <w:highlight w:val="none"/>
                      <w:lang w:eastAsia="zh-CN"/>
                    </w:rPr>
                    <w:t>清洁的铲子收集</w:t>
                  </w:r>
                  <w:r>
                    <w:rPr>
                      <w:color w:val="auto"/>
                      <w:spacing w:val="0"/>
                      <w:sz w:val="18"/>
                      <w:szCs w:val="18"/>
                      <w:highlight w:val="none"/>
                    </w:rPr>
                    <w:t>于干燥洁净有盖的容器中，以少量加入大量水中，调节至中性，再放入废水系统。也可以用大量水冲洗，经稀释的洗水放入废水系统。如大量泄漏，收集回收或无害处理后废弃。</w:t>
                  </w:r>
                </w:p>
              </w:tc>
            </w:tr>
            <w:tr w14:paraId="59A1C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83" w:type="dxa"/>
                  <w:vMerge w:val="continue"/>
                  <w:tcBorders>
                    <w:top w:val="nil"/>
                  </w:tcBorders>
                  <w:vAlign w:val="center"/>
                </w:tcPr>
                <w:p w14:paraId="0943D636">
                  <w:pPr>
                    <w:pStyle w:val="119"/>
                    <w:spacing w:before="0" w:line="200" w:lineRule="exact"/>
                    <w:jc w:val="center"/>
                    <w:rPr>
                      <w:rFonts w:ascii="Times New Roman"/>
                      <w:color w:val="auto"/>
                      <w:sz w:val="18"/>
                      <w:szCs w:val="18"/>
                      <w:highlight w:val="none"/>
                    </w:rPr>
                  </w:pPr>
                </w:p>
              </w:tc>
              <w:tc>
                <w:tcPr>
                  <w:tcW w:w="1168" w:type="dxa"/>
                  <w:vAlign w:val="center"/>
                </w:tcPr>
                <w:p w14:paraId="7B4F1E45">
                  <w:pPr>
                    <w:pStyle w:val="119"/>
                    <w:spacing w:before="0" w:line="200" w:lineRule="exact"/>
                    <w:ind w:left="0"/>
                    <w:jc w:val="center"/>
                    <w:rPr>
                      <w:color w:val="auto"/>
                      <w:sz w:val="18"/>
                      <w:szCs w:val="18"/>
                      <w:highlight w:val="none"/>
                    </w:rPr>
                  </w:pPr>
                  <w:r>
                    <w:rPr>
                      <w:color w:val="auto"/>
                      <w:spacing w:val="0"/>
                      <w:sz w:val="18"/>
                      <w:szCs w:val="18"/>
                      <w:highlight w:val="none"/>
                    </w:rPr>
                    <w:t>灭火方法</w:t>
                  </w:r>
                </w:p>
              </w:tc>
              <w:tc>
                <w:tcPr>
                  <w:tcW w:w="7414" w:type="dxa"/>
                  <w:gridSpan w:val="9"/>
                  <w:vAlign w:val="center"/>
                </w:tcPr>
                <w:p w14:paraId="6A063D7D">
                  <w:pPr>
                    <w:pStyle w:val="119"/>
                    <w:spacing w:before="0" w:line="200" w:lineRule="exact"/>
                    <w:ind w:left="0"/>
                    <w:jc w:val="both"/>
                    <w:rPr>
                      <w:color w:val="auto"/>
                      <w:sz w:val="18"/>
                      <w:szCs w:val="18"/>
                      <w:highlight w:val="none"/>
                    </w:rPr>
                  </w:pPr>
                  <w:r>
                    <w:rPr>
                      <w:color w:val="auto"/>
                      <w:spacing w:val="0"/>
                      <w:sz w:val="18"/>
                      <w:szCs w:val="18"/>
                      <w:highlight w:val="none"/>
                    </w:rPr>
                    <w:t>用水、砂土扑救，但须防止物品遇水产生飞溅，造成灼伤。</w:t>
                  </w:r>
                </w:p>
              </w:tc>
            </w:tr>
          </w:tbl>
          <w:p w14:paraId="3173A001">
            <w:pPr>
              <w:adjustRightInd w:val="0"/>
              <w:snapToGrid w:val="0"/>
              <w:spacing w:line="360" w:lineRule="auto"/>
              <w:jc w:val="center"/>
              <w:rPr>
                <w:rFonts w:hint="default"/>
                <w:bCs/>
                <w:color w:val="auto"/>
                <w:sz w:val="24"/>
                <w:szCs w:val="24"/>
                <w:highlight w:val="none"/>
                <w:lang w:val="en-US" w:eastAsia="zh-CN"/>
              </w:rPr>
            </w:pPr>
            <w:r>
              <w:rPr>
                <w:b/>
                <w:bCs/>
                <w:color w:val="auto"/>
                <w:spacing w:val="-2"/>
                <w:highlight w:val="none"/>
              </w:rPr>
              <w:t>表</w:t>
            </w:r>
            <w:r>
              <w:rPr>
                <w:rFonts w:ascii="Times New Roman" w:hAnsi="Times New Roman" w:eastAsia="Times New Roman" w:cs="Times New Roman"/>
                <w:b/>
                <w:bCs/>
                <w:color w:val="auto"/>
                <w:spacing w:val="-2"/>
                <w:highlight w:val="none"/>
              </w:rPr>
              <w:t>4-</w:t>
            </w:r>
            <w:r>
              <w:rPr>
                <w:rFonts w:hint="eastAsia" w:cs="Times New Roman"/>
                <w:b/>
                <w:bCs/>
                <w:color w:val="auto"/>
                <w:spacing w:val="-2"/>
                <w:highlight w:val="none"/>
                <w:lang w:val="en-US" w:eastAsia="zh-CN"/>
              </w:rPr>
              <w:t>2</w:t>
            </w:r>
            <w:r>
              <w:rPr>
                <w:rFonts w:hint="default" w:ascii="Times New Roman" w:hAnsi="Times New Roman" w:eastAsia="宋体" w:cs="Times New Roman"/>
                <w:b/>
                <w:bCs/>
                <w:color w:val="auto"/>
                <w:spacing w:val="-2"/>
                <w:highlight w:val="none"/>
                <w:lang w:val="en-US" w:eastAsia="zh-CN"/>
              </w:rPr>
              <w:t>0</w:t>
            </w:r>
            <w:r>
              <w:rPr>
                <w:rFonts w:hint="default" w:cs="Times New Roman"/>
                <w:b/>
                <w:bCs/>
                <w:color w:val="auto"/>
                <w:spacing w:val="-2"/>
                <w:highlight w:val="none"/>
                <w:lang w:val="en-US" w:eastAsia="zh-CN"/>
              </w:rPr>
              <w:t xml:space="preserve">          </w:t>
            </w:r>
            <w:r>
              <w:rPr>
                <w:b/>
                <w:bCs/>
                <w:color w:val="auto"/>
                <w:spacing w:val="-2"/>
                <w:highlight w:val="none"/>
              </w:rPr>
              <w:t>天然气的理化性质及危险特性表</w:t>
            </w:r>
          </w:p>
          <w:tbl>
            <w:tblPr>
              <w:tblStyle w:val="118"/>
              <w:tblW w:w="4997"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70"/>
              <w:gridCol w:w="1328"/>
              <w:gridCol w:w="1617"/>
              <w:gridCol w:w="395"/>
              <w:gridCol w:w="1377"/>
              <w:gridCol w:w="720"/>
              <w:gridCol w:w="540"/>
              <w:gridCol w:w="1619"/>
              <w:gridCol w:w="1024"/>
            </w:tblGrid>
            <w:tr w14:paraId="34871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restart"/>
                  <w:vAlign w:val="center"/>
                </w:tcPr>
                <w:p w14:paraId="76B8B38C">
                  <w:pPr>
                    <w:pStyle w:val="119"/>
                    <w:spacing w:before="0" w:line="200" w:lineRule="exact"/>
                    <w:ind w:left="0"/>
                    <w:jc w:val="center"/>
                    <w:rPr>
                      <w:color w:val="auto"/>
                      <w:sz w:val="18"/>
                      <w:szCs w:val="18"/>
                      <w:highlight w:val="none"/>
                    </w:rPr>
                  </w:pPr>
                  <w:r>
                    <w:rPr>
                      <w:color w:val="auto"/>
                      <w:spacing w:val="0"/>
                      <w:sz w:val="18"/>
                      <w:szCs w:val="18"/>
                      <w:highlight w:val="none"/>
                    </w:rPr>
                    <w:t>标识</w:t>
                  </w:r>
                </w:p>
              </w:tc>
              <w:tc>
                <w:tcPr>
                  <w:tcW w:w="3286" w:type="pct"/>
                  <w:gridSpan w:val="6"/>
                  <w:vAlign w:val="center"/>
                </w:tcPr>
                <w:p w14:paraId="4B1E7B41">
                  <w:pPr>
                    <w:pStyle w:val="119"/>
                    <w:spacing w:before="0" w:line="200" w:lineRule="exact"/>
                    <w:ind w:left="0"/>
                    <w:jc w:val="center"/>
                    <w:rPr>
                      <w:color w:val="auto"/>
                      <w:sz w:val="18"/>
                      <w:szCs w:val="18"/>
                      <w:highlight w:val="none"/>
                    </w:rPr>
                  </w:pPr>
                  <w:r>
                    <w:rPr>
                      <w:color w:val="auto"/>
                      <w:spacing w:val="0"/>
                      <w:position w:val="0"/>
                      <w:sz w:val="18"/>
                      <w:szCs w:val="18"/>
                      <w:highlight w:val="none"/>
                    </w:rPr>
                    <w:t>中文名：天然气</w:t>
                  </w:r>
                  <w:r>
                    <w:rPr>
                      <w:rFonts w:ascii="Times New Roman" w:hAnsi="Times New Roman" w:eastAsia="Times New Roman" w:cs="Times New Roman"/>
                      <w:color w:val="auto"/>
                      <w:spacing w:val="0"/>
                      <w:position w:val="0"/>
                      <w:sz w:val="18"/>
                      <w:szCs w:val="18"/>
                      <w:highlight w:val="none"/>
                    </w:rPr>
                    <w:t>[</w:t>
                  </w:r>
                  <w:r>
                    <w:rPr>
                      <w:color w:val="auto"/>
                      <w:spacing w:val="0"/>
                      <w:position w:val="0"/>
                      <w:sz w:val="18"/>
                      <w:szCs w:val="18"/>
                      <w:highlight w:val="none"/>
                    </w:rPr>
                    <w:t>含甲烷，压缩的</w:t>
                  </w:r>
                  <w:r>
                    <w:rPr>
                      <w:rFonts w:ascii="Times New Roman" w:hAnsi="Times New Roman" w:eastAsia="Times New Roman" w:cs="Times New Roman"/>
                      <w:color w:val="auto"/>
                      <w:spacing w:val="0"/>
                      <w:position w:val="0"/>
                      <w:sz w:val="18"/>
                      <w:szCs w:val="18"/>
                      <w:highlight w:val="none"/>
                    </w:rPr>
                    <w:t>]</w:t>
                  </w:r>
                  <w:r>
                    <w:rPr>
                      <w:color w:val="auto"/>
                      <w:spacing w:val="0"/>
                      <w:position w:val="0"/>
                      <w:sz w:val="18"/>
                      <w:szCs w:val="18"/>
                      <w:highlight w:val="none"/>
                    </w:rPr>
                    <w:t>；沼气</w:t>
                  </w:r>
                </w:p>
              </w:tc>
              <w:tc>
                <w:tcPr>
                  <w:tcW w:w="1453" w:type="pct"/>
                  <w:gridSpan w:val="2"/>
                  <w:vAlign w:val="center"/>
                </w:tcPr>
                <w:p w14:paraId="6FC3B603">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危险货物编号：</w:t>
                  </w:r>
                  <w:r>
                    <w:rPr>
                      <w:rFonts w:ascii="Times New Roman" w:hAnsi="Times New Roman" w:eastAsia="Times New Roman" w:cs="Times New Roman"/>
                      <w:color w:val="auto"/>
                      <w:spacing w:val="0"/>
                      <w:position w:val="0"/>
                      <w:sz w:val="18"/>
                      <w:szCs w:val="18"/>
                      <w:highlight w:val="none"/>
                    </w:rPr>
                    <w:t>21007</w:t>
                  </w:r>
                </w:p>
              </w:tc>
            </w:tr>
            <w:tr w14:paraId="562E0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vAlign w:val="center"/>
                </w:tcPr>
                <w:p w14:paraId="6BA15248">
                  <w:pPr>
                    <w:pStyle w:val="119"/>
                    <w:spacing w:line="200" w:lineRule="exact"/>
                    <w:jc w:val="center"/>
                    <w:rPr>
                      <w:rFonts w:ascii="Times New Roman"/>
                      <w:color w:val="auto"/>
                      <w:sz w:val="18"/>
                      <w:highlight w:val="none"/>
                    </w:rPr>
                  </w:pPr>
                </w:p>
              </w:tc>
              <w:tc>
                <w:tcPr>
                  <w:tcW w:w="3286" w:type="pct"/>
                  <w:gridSpan w:val="6"/>
                  <w:tcBorders>
                    <w:bottom w:val="single" w:color="000000" w:sz="2" w:space="0"/>
                  </w:tcBorders>
                  <w:vAlign w:val="center"/>
                </w:tcPr>
                <w:p w14:paraId="1C9B689C">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英文名：</w:t>
                  </w:r>
                  <w:r>
                    <w:rPr>
                      <w:rFonts w:ascii="Times New Roman" w:hAnsi="Times New Roman" w:eastAsia="Times New Roman" w:cs="Times New Roman"/>
                      <w:color w:val="auto"/>
                      <w:position w:val="0"/>
                      <w:sz w:val="18"/>
                      <w:szCs w:val="18"/>
                      <w:highlight w:val="none"/>
                    </w:rPr>
                    <w:t>naturalgas</w:t>
                  </w:r>
                  <w:r>
                    <w:rPr>
                      <w:color w:val="auto"/>
                      <w:spacing w:val="0"/>
                      <w:position w:val="0"/>
                      <w:sz w:val="18"/>
                      <w:szCs w:val="18"/>
                      <w:highlight w:val="none"/>
                    </w:rPr>
                    <w:t>，</w:t>
                  </w:r>
                  <w:r>
                    <w:rPr>
                      <w:rFonts w:ascii="Times New Roman" w:hAnsi="Times New Roman" w:eastAsia="Times New Roman" w:cs="Times New Roman"/>
                      <w:color w:val="auto"/>
                      <w:position w:val="0"/>
                      <w:sz w:val="18"/>
                      <w:szCs w:val="18"/>
                      <w:highlight w:val="none"/>
                    </w:rPr>
                    <w:t>NG</w:t>
                  </w:r>
                </w:p>
              </w:tc>
              <w:tc>
                <w:tcPr>
                  <w:tcW w:w="1453" w:type="pct"/>
                  <w:gridSpan w:val="2"/>
                  <w:tcBorders>
                    <w:bottom w:val="single" w:color="000000" w:sz="2" w:space="0"/>
                  </w:tcBorders>
                  <w:vAlign w:val="center"/>
                </w:tcPr>
                <w:p w14:paraId="7BCE164F">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position w:val="0"/>
                      <w:sz w:val="18"/>
                      <w:szCs w:val="18"/>
                      <w:highlight w:val="none"/>
                    </w:rPr>
                    <w:t>UN</w:t>
                  </w:r>
                  <w:r>
                    <w:rPr>
                      <w:color w:val="auto"/>
                      <w:spacing w:val="0"/>
                      <w:position w:val="0"/>
                      <w:sz w:val="18"/>
                      <w:szCs w:val="18"/>
                      <w:highlight w:val="none"/>
                    </w:rPr>
                    <w:t>编号：</w:t>
                  </w:r>
                  <w:r>
                    <w:rPr>
                      <w:rFonts w:ascii="Times New Roman" w:hAnsi="Times New Roman" w:eastAsia="Times New Roman" w:cs="Times New Roman"/>
                      <w:color w:val="auto"/>
                      <w:spacing w:val="0"/>
                      <w:position w:val="0"/>
                      <w:sz w:val="18"/>
                      <w:szCs w:val="18"/>
                      <w:highlight w:val="none"/>
                    </w:rPr>
                    <w:t>1971</w:t>
                  </w:r>
                </w:p>
              </w:tc>
            </w:tr>
            <w:tr w14:paraId="6E4E3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vAlign w:val="center"/>
                </w:tcPr>
                <w:p w14:paraId="4825B3F4">
                  <w:pPr>
                    <w:pStyle w:val="119"/>
                    <w:spacing w:line="200" w:lineRule="exact"/>
                    <w:jc w:val="center"/>
                    <w:rPr>
                      <w:rFonts w:ascii="Times New Roman"/>
                      <w:color w:val="auto"/>
                      <w:sz w:val="18"/>
                      <w:highlight w:val="none"/>
                    </w:rPr>
                  </w:pPr>
                </w:p>
              </w:tc>
              <w:tc>
                <w:tcPr>
                  <w:tcW w:w="1619" w:type="pct"/>
                  <w:gridSpan w:val="2"/>
                  <w:tcBorders>
                    <w:top w:val="single" w:color="000000" w:sz="2" w:space="0"/>
                  </w:tcBorders>
                  <w:vAlign w:val="center"/>
                </w:tcPr>
                <w:p w14:paraId="2BFC940E">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分子式：</w:t>
                  </w:r>
                  <w:r>
                    <w:rPr>
                      <w:rFonts w:ascii="Times New Roman" w:hAnsi="Times New Roman" w:eastAsia="Times New Roman" w:cs="Times New Roman"/>
                      <w:color w:val="auto"/>
                      <w:spacing w:val="0"/>
                      <w:position w:val="0"/>
                      <w:sz w:val="18"/>
                      <w:szCs w:val="18"/>
                      <w:highlight w:val="none"/>
                    </w:rPr>
                    <w:t>/</w:t>
                  </w:r>
                </w:p>
              </w:tc>
              <w:tc>
                <w:tcPr>
                  <w:tcW w:w="1370" w:type="pct"/>
                  <w:gridSpan w:val="3"/>
                  <w:tcBorders>
                    <w:top w:val="single" w:color="000000" w:sz="2" w:space="0"/>
                  </w:tcBorders>
                  <w:vAlign w:val="center"/>
                </w:tcPr>
                <w:p w14:paraId="66053711">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分子量：</w:t>
                  </w:r>
                  <w:r>
                    <w:rPr>
                      <w:rFonts w:ascii="Times New Roman" w:hAnsi="Times New Roman" w:eastAsia="Times New Roman" w:cs="Times New Roman"/>
                      <w:color w:val="auto"/>
                      <w:spacing w:val="0"/>
                      <w:position w:val="0"/>
                      <w:sz w:val="18"/>
                      <w:szCs w:val="18"/>
                      <w:highlight w:val="none"/>
                    </w:rPr>
                    <w:t>/</w:t>
                  </w:r>
                </w:p>
              </w:tc>
              <w:tc>
                <w:tcPr>
                  <w:tcW w:w="1749" w:type="pct"/>
                  <w:gridSpan w:val="3"/>
                  <w:tcBorders>
                    <w:top w:val="single" w:color="000000" w:sz="2" w:space="0"/>
                  </w:tcBorders>
                  <w:vAlign w:val="center"/>
                </w:tcPr>
                <w:p w14:paraId="0627A2EA">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position w:val="0"/>
                      <w:sz w:val="18"/>
                      <w:szCs w:val="18"/>
                      <w:highlight w:val="none"/>
                    </w:rPr>
                    <w:t>CAS</w:t>
                  </w:r>
                  <w:r>
                    <w:rPr>
                      <w:color w:val="auto"/>
                      <w:spacing w:val="0"/>
                      <w:position w:val="0"/>
                      <w:sz w:val="18"/>
                      <w:szCs w:val="18"/>
                      <w:highlight w:val="none"/>
                    </w:rPr>
                    <w:t>号：</w:t>
                  </w:r>
                  <w:r>
                    <w:rPr>
                      <w:rFonts w:ascii="Times New Roman" w:hAnsi="Times New Roman" w:eastAsia="Times New Roman" w:cs="Times New Roman"/>
                      <w:color w:val="auto"/>
                      <w:spacing w:val="0"/>
                      <w:position w:val="0"/>
                      <w:sz w:val="18"/>
                      <w:szCs w:val="18"/>
                      <w:highlight w:val="none"/>
                    </w:rPr>
                    <w:t>8006-14-2</w:t>
                  </w:r>
                </w:p>
              </w:tc>
            </w:tr>
            <w:tr w14:paraId="6192F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restart"/>
                  <w:tcBorders>
                    <w:bottom w:val="nil"/>
                  </w:tcBorders>
                  <w:vAlign w:val="center"/>
                </w:tcPr>
                <w:p w14:paraId="6605DA98">
                  <w:pPr>
                    <w:pStyle w:val="119"/>
                    <w:spacing w:before="0" w:line="200" w:lineRule="exact"/>
                    <w:ind w:left="0"/>
                    <w:jc w:val="center"/>
                    <w:rPr>
                      <w:color w:val="auto"/>
                      <w:sz w:val="18"/>
                      <w:szCs w:val="18"/>
                      <w:highlight w:val="none"/>
                    </w:rPr>
                  </w:pPr>
                  <w:r>
                    <w:rPr>
                      <w:color w:val="auto"/>
                      <w:spacing w:val="0"/>
                      <w:sz w:val="18"/>
                      <w:szCs w:val="18"/>
                      <w:highlight w:val="none"/>
                    </w:rPr>
                    <w:t>理化性质</w:t>
                  </w:r>
                </w:p>
              </w:tc>
              <w:tc>
                <w:tcPr>
                  <w:tcW w:w="730" w:type="pct"/>
                  <w:vAlign w:val="center"/>
                </w:tcPr>
                <w:p w14:paraId="43F7E463">
                  <w:pPr>
                    <w:pStyle w:val="119"/>
                    <w:spacing w:before="0" w:line="200" w:lineRule="exact"/>
                    <w:ind w:left="0"/>
                    <w:jc w:val="center"/>
                    <w:rPr>
                      <w:color w:val="auto"/>
                      <w:sz w:val="18"/>
                      <w:szCs w:val="18"/>
                      <w:highlight w:val="none"/>
                    </w:rPr>
                  </w:pPr>
                  <w:r>
                    <w:rPr>
                      <w:color w:val="auto"/>
                      <w:spacing w:val="0"/>
                      <w:sz w:val="18"/>
                      <w:szCs w:val="18"/>
                      <w:highlight w:val="none"/>
                    </w:rPr>
                    <w:t>外观与性状</w:t>
                  </w:r>
                </w:p>
              </w:tc>
              <w:tc>
                <w:tcPr>
                  <w:tcW w:w="4009" w:type="pct"/>
                  <w:gridSpan w:val="7"/>
                  <w:vAlign w:val="center"/>
                </w:tcPr>
                <w:p w14:paraId="0E4890DA">
                  <w:pPr>
                    <w:pStyle w:val="119"/>
                    <w:spacing w:before="0" w:line="200" w:lineRule="exact"/>
                    <w:ind w:left="0"/>
                    <w:jc w:val="center"/>
                    <w:rPr>
                      <w:color w:val="auto"/>
                      <w:sz w:val="18"/>
                      <w:szCs w:val="18"/>
                      <w:highlight w:val="none"/>
                    </w:rPr>
                  </w:pPr>
                  <w:r>
                    <w:rPr>
                      <w:color w:val="auto"/>
                      <w:spacing w:val="0"/>
                      <w:sz w:val="18"/>
                      <w:szCs w:val="18"/>
                      <w:highlight w:val="none"/>
                    </w:rPr>
                    <w:t>无色无臭气体。</w:t>
                  </w:r>
                </w:p>
              </w:tc>
            </w:tr>
            <w:tr w14:paraId="1C077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tcBorders>
                    <w:top w:val="nil"/>
                    <w:bottom w:val="nil"/>
                  </w:tcBorders>
                  <w:vAlign w:val="center"/>
                </w:tcPr>
                <w:p w14:paraId="3A0B8B5F">
                  <w:pPr>
                    <w:pStyle w:val="119"/>
                    <w:spacing w:line="200" w:lineRule="exact"/>
                    <w:jc w:val="center"/>
                    <w:rPr>
                      <w:rFonts w:ascii="Times New Roman"/>
                      <w:color w:val="auto"/>
                      <w:sz w:val="18"/>
                      <w:highlight w:val="none"/>
                    </w:rPr>
                  </w:pPr>
                </w:p>
              </w:tc>
              <w:tc>
                <w:tcPr>
                  <w:tcW w:w="730" w:type="pct"/>
                  <w:vAlign w:val="center"/>
                </w:tcPr>
                <w:p w14:paraId="394F030E">
                  <w:pPr>
                    <w:pStyle w:val="119"/>
                    <w:spacing w:before="0" w:line="200" w:lineRule="exact"/>
                    <w:ind w:left="0"/>
                    <w:jc w:val="center"/>
                    <w:rPr>
                      <w:color w:val="auto"/>
                      <w:sz w:val="18"/>
                      <w:szCs w:val="18"/>
                      <w:highlight w:val="none"/>
                    </w:rPr>
                  </w:pPr>
                  <w:r>
                    <w:rPr>
                      <w:color w:val="auto"/>
                      <w:spacing w:val="0"/>
                      <w:sz w:val="18"/>
                      <w:szCs w:val="18"/>
                      <w:highlight w:val="none"/>
                    </w:rPr>
                    <w:t>熔点(℃)</w:t>
                  </w:r>
                </w:p>
              </w:tc>
              <w:tc>
                <w:tcPr>
                  <w:tcW w:w="889" w:type="pct"/>
                  <w:vAlign w:val="center"/>
                </w:tcPr>
                <w:p w14:paraId="2B5653EE">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w:t>
                  </w:r>
                </w:p>
              </w:tc>
              <w:tc>
                <w:tcPr>
                  <w:tcW w:w="974" w:type="pct"/>
                  <w:gridSpan w:val="2"/>
                  <w:vAlign w:val="center"/>
                </w:tcPr>
                <w:p w14:paraId="1A191D23">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相对密度</w:t>
                  </w:r>
                  <w:r>
                    <w:rPr>
                      <w:rFonts w:hint="default" w:eastAsia="Times New Roman"/>
                      <w:color w:val="auto"/>
                      <w:spacing w:val="0"/>
                      <w:position w:val="0"/>
                      <w:sz w:val="18"/>
                      <w:szCs w:val="18"/>
                      <w:highlight w:val="none"/>
                      <w:lang w:eastAsia="zh-CN"/>
                    </w:rPr>
                    <w:t>（</w:t>
                  </w:r>
                  <w:r>
                    <w:rPr>
                      <w:color w:val="auto"/>
                      <w:spacing w:val="0"/>
                      <w:position w:val="0"/>
                      <w:sz w:val="18"/>
                      <w:szCs w:val="18"/>
                      <w:highlight w:val="none"/>
                    </w:rPr>
                    <w:t>水</w:t>
                  </w:r>
                  <w:r>
                    <w:rPr>
                      <w:rFonts w:ascii="Times New Roman" w:hAnsi="Times New Roman" w:eastAsia="Times New Roman" w:cs="Times New Roman"/>
                      <w:color w:val="auto"/>
                      <w:spacing w:val="0"/>
                      <w:position w:val="0"/>
                      <w:sz w:val="18"/>
                      <w:szCs w:val="18"/>
                      <w:highlight w:val="none"/>
                    </w:rPr>
                    <w:t>=1)</w:t>
                  </w:r>
                </w:p>
              </w:tc>
              <w:tc>
                <w:tcPr>
                  <w:tcW w:w="396" w:type="pct"/>
                  <w:vAlign w:val="center"/>
                </w:tcPr>
                <w:p w14:paraId="0FFFF072">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0.415</w:t>
                  </w:r>
                </w:p>
              </w:tc>
              <w:tc>
                <w:tcPr>
                  <w:tcW w:w="1187" w:type="pct"/>
                  <w:gridSpan w:val="2"/>
                  <w:vAlign w:val="center"/>
                </w:tcPr>
                <w:p w14:paraId="76A4E282">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相对密度</w:t>
                  </w:r>
                  <w:r>
                    <w:rPr>
                      <w:rFonts w:hint="default" w:eastAsia="Times New Roman"/>
                      <w:color w:val="auto"/>
                      <w:spacing w:val="0"/>
                      <w:position w:val="0"/>
                      <w:sz w:val="18"/>
                      <w:szCs w:val="18"/>
                      <w:highlight w:val="none"/>
                      <w:lang w:eastAsia="zh-CN"/>
                    </w:rPr>
                    <w:t>（</w:t>
                  </w:r>
                  <w:r>
                    <w:rPr>
                      <w:color w:val="auto"/>
                      <w:spacing w:val="0"/>
                      <w:position w:val="0"/>
                      <w:sz w:val="18"/>
                      <w:szCs w:val="18"/>
                      <w:highlight w:val="none"/>
                    </w:rPr>
                    <w:t>空气</w:t>
                  </w:r>
                  <w:r>
                    <w:rPr>
                      <w:rFonts w:ascii="Times New Roman" w:hAnsi="Times New Roman" w:eastAsia="Times New Roman" w:cs="Times New Roman"/>
                      <w:color w:val="auto"/>
                      <w:spacing w:val="0"/>
                      <w:position w:val="0"/>
                      <w:sz w:val="18"/>
                      <w:szCs w:val="18"/>
                      <w:highlight w:val="none"/>
                    </w:rPr>
                    <w:t>=1)</w:t>
                  </w:r>
                </w:p>
              </w:tc>
              <w:tc>
                <w:tcPr>
                  <w:tcW w:w="562" w:type="pct"/>
                  <w:vAlign w:val="center"/>
                </w:tcPr>
                <w:p w14:paraId="56DC6062">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0.55</w:t>
                  </w:r>
                </w:p>
              </w:tc>
            </w:tr>
            <w:tr w14:paraId="3D822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tcBorders>
                    <w:top w:val="nil"/>
                    <w:bottom w:val="nil"/>
                  </w:tcBorders>
                  <w:vAlign w:val="center"/>
                </w:tcPr>
                <w:p w14:paraId="06BF21B9">
                  <w:pPr>
                    <w:pStyle w:val="119"/>
                    <w:spacing w:line="200" w:lineRule="exact"/>
                    <w:jc w:val="center"/>
                    <w:rPr>
                      <w:rFonts w:ascii="Times New Roman"/>
                      <w:color w:val="auto"/>
                      <w:sz w:val="18"/>
                      <w:highlight w:val="none"/>
                    </w:rPr>
                  </w:pPr>
                </w:p>
              </w:tc>
              <w:tc>
                <w:tcPr>
                  <w:tcW w:w="730" w:type="pct"/>
                  <w:vAlign w:val="center"/>
                </w:tcPr>
                <w:p w14:paraId="0EA2C993">
                  <w:pPr>
                    <w:pStyle w:val="119"/>
                    <w:spacing w:before="0" w:line="200" w:lineRule="exact"/>
                    <w:ind w:left="0"/>
                    <w:jc w:val="center"/>
                    <w:rPr>
                      <w:color w:val="auto"/>
                      <w:sz w:val="18"/>
                      <w:szCs w:val="18"/>
                      <w:highlight w:val="none"/>
                    </w:rPr>
                  </w:pPr>
                  <w:r>
                    <w:rPr>
                      <w:color w:val="auto"/>
                      <w:spacing w:val="0"/>
                      <w:sz w:val="18"/>
                      <w:szCs w:val="18"/>
                      <w:highlight w:val="none"/>
                    </w:rPr>
                    <w:t>沸点(℃)</w:t>
                  </w:r>
                </w:p>
              </w:tc>
              <w:tc>
                <w:tcPr>
                  <w:tcW w:w="889" w:type="pct"/>
                  <w:vAlign w:val="center"/>
                </w:tcPr>
                <w:p w14:paraId="1DCBA666">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-161.5</w:t>
                  </w:r>
                </w:p>
              </w:tc>
              <w:tc>
                <w:tcPr>
                  <w:tcW w:w="1370" w:type="pct"/>
                  <w:gridSpan w:val="3"/>
                  <w:vAlign w:val="center"/>
                </w:tcPr>
                <w:p w14:paraId="30FF161F">
                  <w:pPr>
                    <w:pStyle w:val="119"/>
                    <w:spacing w:before="0" w:line="200" w:lineRule="exact"/>
                    <w:ind w:left="0"/>
                    <w:jc w:val="center"/>
                    <w:rPr>
                      <w:color w:val="auto"/>
                      <w:sz w:val="18"/>
                      <w:szCs w:val="18"/>
                      <w:highlight w:val="none"/>
                    </w:rPr>
                  </w:pPr>
                  <w:r>
                    <w:rPr>
                      <w:color w:val="auto"/>
                      <w:spacing w:val="0"/>
                      <w:position w:val="0"/>
                      <w:sz w:val="18"/>
                      <w:szCs w:val="18"/>
                      <w:highlight w:val="none"/>
                    </w:rPr>
                    <w:t>饱和蒸气压（</w:t>
                  </w:r>
                  <w:r>
                    <w:rPr>
                      <w:rFonts w:ascii="Times New Roman" w:hAnsi="Times New Roman" w:eastAsia="Times New Roman" w:cs="Times New Roman"/>
                      <w:color w:val="auto"/>
                      <w:position w:val="0"/>
                      <w:sz w:val="18"/>
                      <w:szCs w:val="18"/>
                      <w:highlight w:val="none"/>
                    </w:rPr>
                    <w:t>kPa</w:t>
                  </w:r>
                  <w:r>
                    <w:rPr>
                      <w:color w:val="auto"/>
                      <w:spacing w:val="0"/>
                      <w:position w:val="0"/>
                      <w:sz w:val="18"/>
                      <w:szCs w:val="18"/>
                      <w:highlight w:val="none"/>
                    </w:rPr>
                    <w:t>）</w:t>
                  </w:r>
                </w:p>
              </w:tc>
              <w:tc>
                <w:tcPr>
                  <w:tcW w:w="1749" w:type="pct"/>
                  <w:gridSpan w:val="3"/>
                  <w:vAlign w:val="center"/>
                </w:tcPr>
                <w:p w14:paraId="5BBA0219">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w:t>
                  </w:r>
                </w:p>
              </w:tc>
            </w:tr>
            <w:tr w14:paraId="037CB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tcBorders>
                    <w:top w:val="nil"/>
                  </w:tcBorders>
                  <w:vAlign w:val="center"/>
                </w:tcPr>
                <w:p w14:paraId="3451B536">
                  <w:pPr>
                    <w:pStyle w:val="119"/>
                    <w:spacing w:line="200" w:lineRule="exact"/>
                    <w:jc w:val="center"/>
                    <w:rPr>
                      <w:rFonts w:ascii="Times New Roman"/>
                      <w:color w:val="auto"/>
                      <w:sz w:val="18"/>
                      <w:highlight w:val="none"/>
                    </w:rPr>
                  </w:pPr>
                </w:p>
              </w:tc>
              <w:tc>
                <w:tcPr>
                  <w:tcW w:w="730" w:type="pct"/>
                  <w:vAlign w:val="center"/>
                </w:tcPr>
                <w:p w14:paraId="266A6BE8">
                  <w:pPr>
                    <w:pStyle w:val="119"/>
                    <w:spacing w:before="0" w:line="200" w:lineRule="exact"/>
                    <w:ind w:left="0"/>
                    <w:jc w:val="center"/>
                    <w:rPr>
                      <w:color w:val="auto"/>
                      <w:sz w:val="18"/>
                      <w:szCs w:val="18"/>
                      <w:highlight w:val="none"/>
                    </w:rPr>
                  </w:pPr>
                  <w:r>
                    <w:rPr>
                      <w:color w:val="auto"/>
                      <w:spacing w:val="0"/>
                      <w:sz w:val="18"/>
                      <w:szCs w:val="18"/>
                      <w:highlight w:val="none"/>
                    </w:rPr>
                    <w:t>溶解性</w:t>
                  </w:r>
                </w:p>
              </w:tc>
              <w:tc>
                <w:tcPr>
                  <w:tcW w:w="4009" w:type="pct"/>
                  <w:gridSpan w:val="7"/>
                  <w:vAlign w:val="center"/>
                </w:tcPr>
                <w:p w14:paraId="14D63166">
                  <w:pPr>
                    <w:pStyle w:val="119"/>
                    <w:spacing w:before="0" w:line="200" w:lineRule="exact"/>
                    <w:ind w:left="0"/>
                    <w:jc w:val="center"/>
                    <w:rPr>
                      <w:color w:val="auto"/>
                      <w:sz w:val="18"/>
                      <w:szCs w:val="18"/>
                      <w:highlight w:val="none"/>
                    </w:rPr>
                  </w:pPr>
                  <w:r>
                    <w:rPr>
                      <w:color w:val="auto"/>
                      <w:spacing w:val="0"/>
                      <w:sz w:val="18"/>
                      <w:szCs w:val="18"/>
                      <w:highlight w:val="none"/>
                    </w:rPr>
                    <w:t>微溶于水，溶于乙醇、乙醚。</w:t>
                  </w:r>
                </w:p>
              </w:tc>
            </w:tr>
            <w:tr w14:paraId="27D6A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restart"/>
                  <w:tcBorders>
                    <w:bottom w:val="nil"/>
                  </w:tcBorders>
                  <w:vAlign w:val="center"/>
                </w:tcPr>
                <w:p w14:paraId="1CC53833">
                  <w:pPr>
                    <w:pStyle w:val="119"/>
                    <w:spacing w:before="0" w:line="200" w:lineRule="exact"/>
                    <w:ind w:left="0"/>
                    <w:jc w:val="center"/>
                    <w:rPr>
                      <w:color w:val="auto"/>
                      <w:sz w:val="18"/>
                      <w:szCs w:val="18"/>
                      <w:highlight w:val="none"/>
                    </w:rPr>
                  </w:pPr>
                  <w:r>
                    <w:rPr>
                      <w:color w:val="auto"/>
                      <w:spacing w:val="0"/>
                      <w:sz w:val="18"/>
                      <w:szCs w:val="18"/>
                      <w:highlight w:val="none"/>
                    </w:rPr>
                    <w:t>毒性及健康危害</w:t>
                  </w:r>
                </w:p>
              </w:tc>
              <w:tc>
                <w:tcPr>
                  <w:tcW w:w="730" w:type="pct"/>
                  <w:vAlign w:val="center"/>
                </w:tcPr>
                <w:p w14:paraId="01EF3D52">
                  <w:pPr>
                    <w:pStyle w:val="119"/>
                    <w:spacing w:before="0" w:line="200" w:lineRule="exact"/>
                    <w:ind w:left="0"/>
                    <w:jc w:val="center"/>
                    <w:rPr>
                      <w:color w:val="auto"/>
                      <w:sz w:val="18"/>
                      <w:szCs w:val="18"/>
                      <w:highlight w:val="none"/>
                    </w:rPr>
                  </w:pPr>
                  <w:r>
                    <w:rPr>
                      <w:color w:val="auto"/>
                      <w:spacing w:val="0"/>
                      <w:sz w:val="18"/>
                      <w:szCs w:val="18"/>
                      <w:highlight w:val="none"/>
                    </w:rPr>
                    <w:t>侵入途径</w:t>
                  </w:r>
                </w:p>
              </w:tc>
              <w:tc>
                <w:tcPr>
                  <w:tcW w:w="4009" w:type="pct"/>
                  <w:gridSpan w:val="7"/>
                  <w:tcBorders>
                    <w:right w:val="single" w:color="000000" w:sz="2" w:space="0"/>
                  </w:tcBorders>
                  <w:vAlign w:val="center"/>
                </w:tcPr>
                <w:p w14:paraId="01AE5D30">
                  <w:pPr>
                    <w:pStyle w:val="119"/>
                    <w:spacing w:before="0" w:line="200" w:lineRule="exact"/>
                    <w:ind w:left="0"/>
                    <w:jc w:val="center"/>
                    <w:rPr>
                      <w:color w:val="auto"/>
                      <w:sz w:val="18"/>
                      <w:szCs w:val="18"/>
                      <w:highlight w:val="none"/>
                    </w:rPr>
                  </w:pPr>
                  <w:r>
                    <w:rPr>
                      <w:color w:val="auto"/>
                      <w:sz w:val="18"/>
                      <w:szCs w:val="18"/>
                      <w:highlight w:val="none"/>
                    </w:rPr>
                    <w:t>吸入。</w:t>
                  </w:r>
                </w:p>
              </w:tc>
            </w:tr>
            <w:tr w14:paraId="365D1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tcBorders>
                    <w:top w:val="nil"/>
                    <w:bottom w:val="nil"/>
                  </w:tcBorders>
                  <w:vAlign w:val="center"/>
                </w:tcPr>
                <w:p w14:paraId="7EDA699F">
                  <w:pPr>
                    <w:pStyle w:val="119"/>
                    <w:spacing w:line="200" w:lineRule="exact"/>
                    <w:jc w:val="center"/>
                    <w:rPr>
                      <w:rFonts w:ascii="Times New Roman"/>
                      <w:color w:val="auto"/>
                      <w:sz w:val="18"/>
                      <w:highlight w:val="none"/>
                    </w:rPr>
                  </w:pPr>
                </w:p>
              </w:tc>
              <w:tc>
                <w:tcPr>
                  <w:tcW w:w="730" w:type="pct"/>
                  <w:tcBorders>
                    <w:bottom w:val="single" w:color="000000" w:sz="2" w:space="0"/>
                  </w:tcBorders>
                  <w:vAlign w:val="center"/>
                </w:tcPr>
                <w:p w14:paraId="0B86A7F0">
                  <w:pPr>
                    <w:pStyle w:val="119"/>
                    <w:spacing w:before="0" w:line="200" w:lineRule="exact"/>
                    <w:ind w:left="0"/>
                    <w:jc w:val="center"/>
                    <w:rPr>
                      <w:color w:val="auto"/>
                      <w:sz w:val="18"/>
                      <w:szCs w:val="18"/>
                      <w:highlight w:val="none"/>
                    </w:rPr>
                  </w:pPr>
                  <w:r>
                    <w:rPr>
                      <w:color w:val="auto"/>
                      <w:spacing w:val="0"/>
                      <w:sz w:val="18"/>
                      <w:szCs w:val="18"/>
                      <w:highlight w:val="none"/>
                    </w:rPr>
                    <w:t>健康危害</w:t>
                  </w:r>
                </w:p>
              </w:tc>
              <w:tc>
                <w:tcPr>
                  <w:tcW w:w="4009" w:type="pct"/>
                  <w:gridSpan w:val="7"/>
                  <w:tcBorders>
                    <w:bottom w:val="single" w:color="000000" w:sz="2" w:space="0"/>
                  </w:tcBorders>
                  <w:vAlign w:val="center"/>
                </w:tcPr>
                <w:p w14:paraId="6DC49B62">
                  <w:pPr>
                    <w:pStyle w:val="119"/>
                    <w:spacing w:before="0" w:line="200" w:lineRule="exact"/>
                    <w:ind w:left="0" w:right="0" w:firstLine="0"/>
                    <w:jc w:val="both"/>
                    <w:rPr>
                      <w:color w:val="auto"/>
                      <w:sz w:val="18"/>
                      <w:szCs w:val="18"/>
                      <w:highlight w:val="none"/>
                    </w:rPr>
                  </w:pPr>
                  <w:r>
                    <w:rPr>
                      <w:color w:val="auto"/>
                      <w:spacing w:val="0"/>
                      <w:sz w:val="18"/>
                      <w:szCs w:val="18"/>
                      <w:highlight w:val="none"/>
                    </w:rPr>
                    <w:t>天然气主要由甲烷组成，其性质与纯甲烷相似，属</w:t>
                  </w:r>
                  <w:r>
                    <w:rPr>
                      <w:rFonts w:ascii="Times New Roman" w:hAnsi="Times New Roman" w:eastAsia="Times New Roman" w:cs="Times New Roman"/>
                      <w:color w:val="auto"/>
                      <w:spacing w:val="0"/>
                      <w:sz w:val="18"/>
                      <w:szCs w:val="18"/>
                      <w:highlight w:val="none"/>
                    </w:rPr>
                    <w:t>“</w:t>
                  </w:r>
                  <w:r>
                    <w:rPr>
                      <w:color w:val="auto"/>
                      <w:spacing w:val="0"/>
                      <w:sz w:val="18"/>
                      <w:szCs w:val="18"/>
                      <w:highlight w:val="none"/>
                    </w:rPr>
                    <w:t>单纯窒息性</w:t>
                  </w:r>
                  <w:r>
                    <w:rPr>
                      <w:rFonts w:ascii="Times New Roman" w:hAnsi="Times New Roman" w:eastAsia="Times New Roman" w:cs="Times New Roman"/>
                      <w:color w:val="auto"/>
                      <w:spacing w:val="0"/>
                      <w:sz w:val="18"/>
                      <w:szCs w:val="18"/>
                      <w:highlight w:val="none"/>
                    </w:rPr>
                    <w:t>”</w:t>
                  </w:r>
                  <w:r>
                    <w:rPr>
                      <w:color w:val="auto"/>
                      <w:spacing w:val="0"/>
                      <w:sz w:val="18"/>
                      <w:szCs w:val="18"/>
                      <w:highlight w:val="none"/>
                    </w:rPr>
                    <w:t>气体，高浓度时因缺氧而引起窒息。空气中甲烷浓度达到</w:t>
                  </w:r>
                  <w:r>
                    <w:rPr>
                      <w:rFonts w:ascii="Times New Roman" w:hAnsi="Times New Roman" w:eastAsia="Times New Roman" w:cs="Times New Roman"/>
                      <w:color w:val="auto"/>
                      <w:spacing w:val="0"/>
                      <w:sz w:val="18"/>
                      <w:szCs w:val="18"/>
                      <w:highlight w:val="none"/>
                    </w:rPr>
                    <w:t>25%</w:t>
                  </w:r>
                  <w:r>
                    <w:rPr>
                      <w:color w:val="auto"/>
                      <w:spacing w:val="0"/>
                      <w:sz w:val="18"/>
                      <w:szCs w:val="18"/>
                      <w:highlight w:val="none"/>
                    </w:rPr>
                    <w:t>～</w:t>
                  </w:r>
                  <w:r>
                    <w:rPr>
                      <w:rFonts w:ascii="Times New Roman" w:hAnsi="Times New Roman" w:eastAsia="Times New Roman" w:cs="Times New Roman"/>
                      <w:color w:val="auto"/>
                      <w:spacing w:val="0"/>
                      <w:sz w:val="18"/>
                      <w:szCs w:val="18"/>
                      <w:highlight w:val="none"/>
                    </w:rPr>
                    <w:t>30%</w:t>
                  </w:r>
                  <w:r>
                    <w:rPr>
                      <w:color w:val="auto"/>
                      <w:spacing w:val="0"/>
                      <w:sz w:val="18"/>
                      <w:szCs w:val="18"/>
                      <w:highlight w:val="none"/>
                    </w:rPr>
                    <w:t>时，出现头昏、呼吸加速、运动失调。</w:t>
                  </w:r>
                </w:p>
              </w:tc>
            </w:tr>
            <w:tr w14:paraId="52E4F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tcBorders>
                    <w:top w:val="nil"/>
                  </w:tcBorders>
                  <w:vAlign w:val="center"/>
                </w:tcPr>
                <w:p w14:paraId="259F3E4C">
                  <w:pPr>
                    <w:pStyle w:val="119"/>
                    <w:spacing w:line="200" w:lineRule="exact"/>
                    <w:jc w:val="center"/>
                    <w:rPr>
                      <w:rFonts w:ascii="Times New Roman"/>
                      <w:color w:val="auto"/>
                      <w:sz w:val="18"/>
                      <w:highlight w:val="none"/>
                    </w:rPr>
                  </w:pPr>
                </w:p>
              </w:tc>
              <w:tc>
                <w:tcPr>
                  <w:tcW w:w="730" w:type="pct"/>
                  <w:tcBorders>
                    <w:top w:val="single" w:color="000000" w:sz="2" w:space="0"/>
                  </w:tcBorders>
                  <w:vAlign w:val="center"/>
                </w:tcPr>
                <w:p w14:paraId="015CE83E">
                  <w:pPr>
                    <w:pStyle w:val="119"/>
                    <w:spacing w:before="0" w:line="200" w:lineRule="exact"/>
                    <w:ind w:left="0"/>
                    <w:jc w:val="center"/>
                    <w:rPr>
                      <w:color w:val="auto"/>
                      <w:sz w:val="18"/>
                      <w:szCs w:val="18"/>
                      <w:highlight w:val="none"/>
                    </w:rPr>
                  </w:pPr>
                  <w:r>
                    <w:rPr>
                      <w:color w:val="auto"/>
                      <w:spacing w:val="0"/>
                      <w:sz w:val="18"/>
                      <w:szCs w:val="18"/>
                      <w:highlight w:val="none"/>
                    </w:rPr>
                    <w:t>急救方法</w:t>
                  </w:r>
                </w:p>
              </w:tc>
              <w:tc>
                <w:tcPr>
                  <w:tcW w:w="4009" w:type="pct"/>
                  <w:gridSpan w:val="7"/>
                  <w:tcBorders>
                    <w:top w:val="single" w:color="000000" w:sz="2" w:space="0"/>
                  </w:tcBorders>
                  <w:vAlign w:val="center"/>
                </w:tcPr>
                <w:p w14:paraId="5EFDCB6A">
                  <w:pPr>
                    <w:pStyle w:val="119"/>
                    <w:spacing w:before="0" w:line="200" w:lineRule="exact"/>
                    <w:ind w:left="0" w:right="0"/>
                    <w:jc w:val="both"/>
                    <w:rPr>
                      <w:color w:val="auto"/>
                      <w:sz w:val="18"/>
                      <w:szCs w:val="18"/>
                      <w:highlight w:val="none"/>
                    </w:rPr>
                  </w:pPr>
                  <w:r>
                    <w:rPr>
                      <w:color w:val="auto"/>
                      <w:spacing w:val="0"/>
                      <w:sz w:val="18"/>
                      <w:szCs w:val="18"/>
                      <w:highlight w:val="none"/>
                    </w:rPr>
                    <w:t>应使吸入天然气的患者脱离污染区，安置休息并保暖；当呼吸失调时进行输氧；如呼吸停止，应先清洗口腔和呼吸道中</w:t>
                  </w:r>
                  <w:r>
                    <w:rPr>
                      <w:rFonts w:hint="default" w:eastAsia="Times New Roman"/>
                      <w:color w:val="auto"/>
                      <w:spacing w:val="0"/>
                      <w:sz w:val="18"/>
                      <w:szCs w:val="18"/>
                      <w:highlight w:val="none"/>
                      <w:lang w:eastAsia="zh-CN"/>
                    </w:rPr>
                    <w:t>的黏液</w:t>
                  </w:r>
                  <w:r>
                    <w:rPr>
                      <w:color w:val="auto"/>
                      <w:spacing w:val="0"/>
                      <w:sz w:val="18"/>
                      <w:szCs w:val="18"/>
                      <w:highlight w:val="none"/>
                    </w:rPr>
                    <w:t>及呕吐物，然后立即进行口对口人工呼吸，并送医院急救。</w:t>
                  </w:r>
                </w:p>
              </w:tc>
            </w:tr>
            <w:tr w14:paraId="27066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restart"/>
                  <w:tcBorders>
                    <w:bottom w:val="nil"/>
                  </w:tcBorders>
                  <w:vAlign w:val="center"/>
                </w:tcPr>
                <w:p w14:paraId="0BB09FCE">
                  <w:pPr>
                    <w:pStyle w:val="119"/>
                    <w:spacing w:before="0" w:line="200" w:lineRule="exact"/>
                    <w:ind w:left="0"/>
                    <w:jc w:val="center"/>
                    <w:rPr>
                      <w:color w:val="auto"/>
                      <w:sz w:val="18"/>
                      <w:szCs w:val="18"/>
                      <w:highlight w:val="none"/>
                    </w:rPr>
                  </w:pPr>
                  <w:r>
                    <w:rPr>
                      <w:color w:val="auto"/>
                      <w:spacing w:val="0"/>
                      <w:sz w:val="18"/>
                      <w:szCs w:val="18"/>
                      <w:highlight w:val="none"/>
                    </w:rPr>
                    <w:t>燃烧爆炸危险性</w:t>
                  </w:r>
                </w:p>
              </w:tc>
              <w:tc>
                <w:tcPr>
                  <w:tcW w:w="730" w:type="pct"/>
                  <w:vAlign w:val="center"/>
                </w:tcPr>
                <w:p w14:paraId="24DBD532">
                  <w:pPr>
                    <w:pStyle w:val="119"/>
                    <w:spacing w:before="0" w:line="200" w:lineRule="exact"/>
                    <w:ind w:left="0"/>
                    <w:jc w:val="center"/>
                    <w:rPr>
                      <w:color w:val="auto"/>
                      <w:sz w:val="18"/>
                      <w:szCs w:val="18"/>
                      <w:highlight w:val="none"/>
                    </w:rPr>
                  </w:pPr>
                  <w:r>
                    <w:rPr>
                      <w:color w:val="auto"/>
                      <w:spacing w:val="0"/>
                      <w:sz w:val="18"/>
                      <w:szCs w:val="18"/>
                      <w:highlight w:val="none"/>
                    </w:rPr>
                    <w:t>燃烧性</w:t>
                  </w:r>
                </w:p>
              </w:tc>
              <w:tc>
                <w:tcPr>
                  <w:tcW w:w="1106" w:type="pct"/>
                  <w:gridSpan w:val="2"/>
                  <w:vAlign w:val="center"/>
                </w:tcPr>
                <w:p w14:paraId="0CFDA2F9">
                  <w:pPr>
                    <w:pStyle w:val="119"/>
                    <w:spacing w:before="0" w:line="200" w:lineRule="exact"/>
                    <w:ind w:left="0"/>
                    <w:jc w:val="center"/>
                    <w:rPr>
                      <w:color w:val="auto"/>
                      <w:sz w:val="18"/>
                      <w:szCs w:val="18"/>
                      <w:highlight w:val="none"/>
                    </w:rPr>
                  </w:pPr>
                  <w:r>
                    <w:rPr>
                      <w:color w:val="auto"/>
                      <w:spacing w:val="0"/>
                      <w:sz w:val="18"/>
                      <w:szCs w:val="18"/>
                      <w:highlight w:val="none"/>
                    </w:rPr>
                    <w:t>易燃</w:t>
                  </w:r>
                </w:p>
              </w:tc>
              <w:tc>
                <w:tcPr>
                  <w:tcW w:w="1153" w:type="pct"/>
                  <w:gridSpan w:val="2"/>
                  <w:vAlign w:val="center"/>
                </w:tcPr>
                <w:p w14:paraId="5BF41A23">
                  <w:pPr>
                    <w:pStyle w:val="119"/>
                    <w:spacing w:before="0" w:line="200" w:lineRule="exact"/>
                    <w:ind w:left="0"/>
                    <w:jc w:val="center"/>
                    <w:rPr>
                      <w:color w:val="auto"/>
                      <w:sz w:val="18"/>
                      <w:szCs w:val="18"/>
                      <w:highlight w:val="none"/>
                    </w:rPr>
                  </w:pPr>
                  <w:r>
                    <w:rPr>
                      <w:color w:val="auto"/>
                      <w:spacing w:val="0"/>
                      <w:sz w:val="18"/>
                      <w:szCs w:val="18"/>
                      <w:highlight w:val="none"/>
                    </w:rPr>
                    <w:t>燃烧分解物</w:t>
                  </w:r>
                </w:p>
              </w:tc>
              <w:tc>
                <w:tcPr>
                  <w:tcW w:w="1749" w:type="pct"/>
                  <w:gridSpan w:val="3"/>
                  <w:vAlign w:val="center"/>
                </w:tcPr>
                <w:p w14:paraId="5484D13F">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w:t>
                  </w:r>
                </w:p>
              </w:tc>
            </w:tr>
            <w:tr w14:paraId="123F4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tcBorders>
                    <w:top w:val="nil"/>
                    <w:bottom w:val="nil"/>
                  </w:tcBorders>
                  <w:vAlign w:val="center"/>
                </w:tcPr>
                <w:p w14:paraId="083C95D6">
                  <w:pPr>
                    <w:pStyle w:val="119"/>
                    <w:spacing w:line="200" w:lineRule="exact"/>
                    <w:jc w:val="center"/>
                    <w:rPr>
                      <w:rFonts w:ascii="Times New Roman"/>
                      <w:color w:val="auto"/>
                      <w:sz w:val="18"/>
                      <w:highlight w:val="none"/>
                    </w:rPr>
                  </w:pPr>
                </w:p>
              </w:tc>
              <w:tc>
                <w:tcPr>
                  <w:tcW w:w="730" w:type="pct"/>
                  <w:vAlign w:val="center"/>
                </w:tcPr>
                <w:p w14:paraId="4745F378">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闪点</w:t>
                  </w:r>
                  <w:r>
                    <w:rPr>
                      <w:rFonts w:hint="default" w:eastAsia="Times New Roman"/>
                      <w:color w:val="auto"/>
                      <w:spacing w:val="0"/>
                      <w:position w:val="0"/>
                      <w:sz w:val="18"/>
                      <w:szCs w:val="18"/>
                      <w:highlight w:val="none"/>
                      <w:lang w:eastAsia="zh-CN"/>
                    </w:rPr>
                    <w:t>（</w:t>
                  </w:r>
                  <w:r>
                    <w:rPr>
                      <w:color w:val="auto"/>
                      <w:spacing w:val="0"/>
                      <w:position w:val="0"/>
                      <w:sz w:val="18"/>
                      <w:szCs w:val="18"/>
                      <w:highlight w:val="none"/>
                    </w:rPr>
                    <w:t>℃</w:t>
                  </w:r>
                  <w:r>
                    <w:rPr>
                      <w:rFonts w:hint="default" w:eastAsia="Times New Roman"/>
                      <w:color w:val="auto"/>
                      <w:spacing w:val="0"/>
                      <w:position w:val="0"/>
                      <w:sz w:val="18"/>
                      <w:szCs w:val="18"/>
                      <w:highlight w:val="none"/>
                      <w:lang w:eastAsia="zh-CN"/>
                    </w:rPr>
                    <w:t>）</w:t>
                  </w:r>
                </w:p>
              </w:tc>
              <w:tc>
                <w:tcPr>
                  <w:tcW w:w="1106" w:type="pct"/>
                  <w:gridSpan w:val="2"/>
                  <w:vAlign w:val="center"/>
                </w:tcPr>
                <w:p w14:paraId="4F7D46D6">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w:t>
                  </w:r>
                </w:p>
              </w:tc>
              <w:tc>
                <w:tcPr>
                  <w:tcW w:w="1153" w:type="pct"/>
                  <w:gridSpan w:val="2"/>
                  <w:vAlign w:val="center"/>
                </w:tcPr>
                <w:p w14:paraId="49B0EB41">
                  <w:pPr>
                    <w:pStyle w:val="119"/>
                    <w:spacing w:before="0" w:line="200" w:lineRule="exact"/>
                    <w:ind w:left="0"/>
                    <w:jc w:val="center"/>
                    <w:rPr>
                      <w:color w:val="auto"/>
                      <w:sz w:val="18"/>
                      <w:szCs w:val="18"/>
                      <w:highlight w:val="none"/>
                    </w:rPr>
                  </w:pPr>
                  <w:r>
                    <w:rPr>
                      <w:color w:val="auto"/>
                      <w:spacing w:val="0"/>
                      <w:position w:val="0"/>
                      <w:sz w:val="18"/>
                      <w:szCs w:val="18"/>
                      <w:highlight w:val="none"/>
                    </w:rPr>
                    <w:t>爆炸上限（</w:t>
                  </w:r>
                  <w:r>
                    <w:rPr>
                      <w:rFonts w:ascii="Times New Roman" w:hAnsi="Times New Roman" w:eastAsia="Times New Roman" w:cs="Times New Roman"/>
                      <w:color w:val="auto"/>
                      <w:spacing w:val="0"/>
                      <w:position w:val="0"/>
                      <w:sz w:val="18"/>
                      <w:szCs w:val="18"/>
                      <w:highlight w:val="none"/>
                    </w:rPr>
                    <w:t>v%</w:t>
                  </w:r>
                  <w:r>
                    <w:rPr>
                      <w:color w:val="auto"/>
                      <w:spacing w:val="0"/>
                      <w:position w:val="0"/>
                      <w:sz w:val="18"/>
                      <w:szCs w:val="18"/>
                      <w:highlight w:val="none"/>
                    </w:rPr>
                    <w:t>）</w:t>
                  </w:r>
                </w:p>
              </w:tc>
              <w:tc>
                <w:tcPr>
                  <w:tcW w:w="1749" w:type="pct"/>
                  <w:gridSpan w:val="3"/>
                  <w:vAlign w:val="center"/>
                </w:tcPr>
                <w:p w14:paraId="45017177">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15</w:t>
                  </w:r>
                </w:p>
              </w:tc>
            </w:tr>
            <w:tr w14:paraId="46DF0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tcBorders>
                    <w:top w:val="nil"/>
                    <w:bottom w:val="nil"/>
                  </w:tcBorders>
                  <w:vAlign w:val="center"/>
                </w:tcPr>
                <w:p w14:paraId="641F21B3">
                  <w:pPr>
                    <w:pStyle w:val="119"/>
                    <w:spacing w:line="200" w:lineRule="exact"/>
                    <w:jc w:val="center"/>
                    <w:rPr>
                      <w:rFonts w:ascii="Times New Roman"/>
                      <w:color w:val="auto"/>
                      <w:sz w:val="18"/>
                      <w:highlight w:val="none"/>
                    </w:rPr>
                  </w:pPr>
                </w:p>
              </w:tc>
              <w:tc>
                <w:tcPr>
                  <w:tcW w:w="730" w:type="pct"/>
                  <w:vAlign w:val="center"/>
                </w:tcPr>
                <w:p w14:paraId="0971F033">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引燃温度</w:t>
                  </w:r>
                  <w:r>
                    <w:rPr>
                      <w:rFonts w:hint="default" w:eastAsia="Times New Roman"/>
                      <w:color w:val="auto"/>
                      <w:spacing w:val="0"/>
                      <w:position w:val="0"/>
                      <w:sz w:val="18"/>
                      <w:szCs w:val="18"/>
                      <w:highlight w:val="none"/>
                      <w:lang w:eastAsia="zh-CN"/>
                    </w:rPr>
                    <w:t>（</w:t>
                  </w:r>
                  <w:r>
                    <w:rPr>
                      <w:color w:val="auto"/>
                      <w:spacing w:val="0"/>
                      <w:position w:val="0"/>
                      <w:sz w:val="18"/>
                      <w:szCs w:val="18"/>
                      <w:highlight w:val="none"/>
                    </w:rPr>
                    <w:t>℃</w:t>
                  </w:r>
                  <w:r>
                    <w:rPr>
                      <w:rFonts w:hint="default" w:eastAsia="Times New Roman"/>
                      <w:color w:val="auto"/>
                      <w:spacing w:val="0"/>
                      <w:position w:val="0"/>
                      <w:sz w:val="18"/>
                      <w:szCs w:val="18"/>
                      <w:highlight w:val="none"/>
                      <w:lang w:eastAsia="zh-CN"/>
                    </w:rPr>
                    <w:t>）</w:t>
                  </w:r>
                </w:p>
              </w:tc>
              <w:tc>
                <w:tcPr>
                  <w:tcW w:w="1106" w:type="pct"/>
                  <w:gridSpan w:val="2"/>
                  <w:vAlign w:val="center"/>
                </w:tcPr>
                <w:p w14:paraId="0A2281D7">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537</w:t>
                  </w:r>
                </w:p>
              </w:tc>
              <w:tc>
                <w:tcPr>
                  <w:tcW w:w="1153" w:type="pct"/>
                  <w:gridSpan w:val="2"/>
                  <w:vAlign w:val="center"/>
                </w:tcPr>
                <w:p w14:paraId="1F324D53">
                  <w:pPr>
                    <w:pStyle w:val="119"/>
                    <w:spacing w:before="0" w:line="200" w:lineRule="exact"/>
                    <w:ind w:left="0"/>
                    <w:jc w:val="center"/>
                    <w:rPr>
                      <w:color w:val="auto"/>
                      <w:sz w:val="18"/>
                      <w:szCs w:val="18"/>
                      <w:highlight w:val="none"/>
                    </w:rPr>
                  </w:pPr>
                  <w:r>
                    <w:rPr>
                      <w:color w:val="auto"/>
                      <w:spacing w:val="0"/>
                      <w:position w:val="0"/>
                      <w:sz w:val="18"/>
                      <w:szCs w:val="18"/>
                      <w:highlight w:val="none"/>
                    </w:rPr>
                    <w:t>爆炸下限（</w:t>
                  </w:r>
                  <w:r>
                    <w:rPr>
                      <w:rFonts w:ascii="Times New Roman" w:hAnsi="Times New Roman" w:eastAsia="Times New Roman" w:cs="Times New Roman"/>
                      <w:color w:val="auto"/>
                      <w:spacing w:val="0"/>
                      <w:position w:val="0"/>
                      <w:sz w:val="18"/>
                      <w:szCs w:val="18"/>
                      <w:highlight w:val="none"/>
                    </w:rPr>
                    <w:t>v%</w:t>
                  </w:r>
                  <w:r>
                    <w:rPr>
                      <w:color w:val="auto"/>
                      <w:spacing w:val="0"/>
                      <w:position w:val="0"/>
                      <w:sz w:val="18"/>
                      <w:szCs w:val="18"/>
                      <w:highlight w:val="none"/>
                    </w:rPr>
                    <w:t>）</w:t>
                  </w:r>
                </w:p>
              </w:tc>
              <w:tc>
                <w:tcPr>
                  <w:tcW w:w="1749" w:type="pct"/>
                  <w:gridSpan w:val="3"/>
                  <w:vAlign w:val="center"/>
                </w:tcPr>
                <w:p w14:paraId="0E884F59">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position w:val="0"/>
                      <w:sz w:val="18"/>
                      <w:szCs w:val="18"/>
                      <w:highlight w:val="none"/>
                    </w:rPr>
                    <w:t>5.3</w:t>
                  </w:r>
                </w:p>
              </w:tc>
            </w:tr>
            <w:tr w14:paraId="78F8F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tcBorders>
                    <w:top w:val="nil"/>
                    <w:bottom w:val="nil"/>
                  </w:tcBorders>
                  <w:vAlign w:val="center"/>
                </w:tcPr>
                <w:p w14:paraId="27C593A1">
                  <w:pPr>
                    <w:pStyle w:val="119"/>
                    <w:spacing w:line="200" w:lineRule="exact"/>
                    <w:jc w:val="center"/>
                    <w:rPr>
                      <w:rFonts w:ascii="Times New Roman"/>
                      <w:color w:val="auto"/>
                      <w:sz w:val="18"/>
                      <w:highlight w:val="none"/>
                    </w:rPr>
                  </w:pPr>
                </w:p>
              </w:tc>
              <w:tc>
                <w:tcPr>
                  <w:tcW w:w="730" w:type="pct"/>
                  <w:vAlign w:val="center"/>
                </w:tcPr>
                <w:p w14:paraId="036BF2B4">
                  <w:pPr>
                    <w:pStyle w:val="119"/>
                    <w:spacing w:before="0" w:line="200" w:lineRule="exact"/>
                    <w:ind w:left="0"/>
                    <w:jc w:val="center"/>
                    <w:rPr>
                      <w:color w:val="auto"/>
                      <w:sz w:val="18"/>
                      <w:szCs w:val="18"/>
                      <w:highlight w:val="none"/>
                    </w:rPr>
                  </w:pPr>
                  <w:r>
                    <w:rPr>
                      <w:color w:val="auto"/>
                      <w:spacing w:val="0"/>
                      <w:sz w:val="18"/>
                      <w:szCs w:val="18"/>
                      <w:highlight w:val="none"/>
                    </w:rPr>
                    <w:t>危险特性</w:t>
                  </w:r>
                </w:p>
              </w:tc>
              <w:tc>
                <w:tcPr>
                  <w:tcW w:w="4009" w:type="pct"/>
                  <w:gridSpan w:val="7"/>
                  <w:vAlign w:val="center"/>
                </w:tcPr>
                <w:p w14:paraId="4C249E53">
                  <w:pPr>
                    <w:pStyle w:val="119"/>
                    <w:spacing w:before="0" w:line="200" w:lineRule="exact"/>
                    <w:ind w:left="0" w:right="0" w:firstLine="0"/>
                    <w:jc w:val="both"/>
                    <w:rPr>
                      <w:color w:val="auto"/>
                      <w:sz w:val="18"/>
                      <w:szCs w:val="18"/>
                      <w:highlight w:val="none"/>
                    </w:rPr>
                  </w:pPr>
                  <w:r>
                    <w:rPr>
                      <w:color w:val="auto"/>
                      <w:spacing w:val="0"/>
                      <w:sz w:val="18"/>
                      <w:szCs w:val="18"/>
                      <w:highlight w:val="none"/>
                    </w:rPr>
                    <w:t>蒸气能与空气形成爆炸性混合物；遇热源、明火着火、爆炸危险。与五氟化溴、氯气、次氯酸、三氟化氮、液氧、二氟化溴、强氧化剂接触剧烈反应。</w:t>
                  </w:r>
                </w:p>
              </w:tc>
            </w:tr>
            <w:tr w14:paraId="25BA4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tcBorders>
                    <w:top w:val="nil"/>
                    <w:bottom w:val="nil"/>
                  </w:tcBorders>
                  <w:vAlign w:val="center"/>
                </w:tcPr>
                <w:p w14:paraId="34DF7A64">
                  <w:pPr>
                    <w:pStyle w:val="119"/>
                    <w:spacing w:line="200" w:lineRule="exact"/>
                    <w:jc w:val="center"/>
                    <w:rPr>
                      <w:rFonts w:ascii="Times New Roman"/>
                      <w:color w:val="auto"/>
                      <w:sz w:val="18"/>
                      <w:highlight w:val="none"/>
                    </w:rPr>
                  </w:pPr>
                </w:p>
              </w:tc>
              <w:tc>
                <w:tcPr>
                  <w:tcW w:w="730" w:type="pct"/>
                  <w:vAlign w:val="center"/>
                </w:tcPr>
                <w:p w14:paraId="576D4EDF">
                  <w:pPr>
                    <w:pStyle w:val="119"/>
                    <w:spacing w:before="0" w:line="200" w:lineRule="exact"/>
                    <w:ind w:left="0" w:right="0" w:firstLine="0"/>
                    <w:jc w:val="center"/>
                    <w:rPr>
                      <w:color w:val="auto"/>
                      <w:sz w:val="18"/>
                      <w:szCs w:val="18"/>
                      <w:highlight w:val="none"/>
                    </w:rPr>
                  </w:pPr>
                  <w:r>
                    <w:rPr>
                      <w:color w:val="auto"/>
                      <w:spacing w:val="0"/>
                      <w:sz w:val="18"/>
                      <w:szCs w:val="18"/>
                      <w:highlight w:val="none"/>
                    </w:rPr>
                    <w:t>储运条件与泄漏处理</w:t>
                  </w:r>
                </w:p>
              </w:tc>
              <w:tc>
                <w:tcPr>
                  <w:tcW w:w="4009" w:type="pct"/>
                  <w:gridSpan w:val="7"/>
                  <w:vAlign w:val="center"/>
                </w:tcPr>
                <w:p w14:paraId="57CA728B">
                  <w:pPr>
                    <w:pStyle w:val="119"/>
                    <w:spacing w:before="0" w:line="200" w:lineRule="exact"/>
                    <w:ind w:left="0" w:right="0" w:firstLine="0"/>
                    <w:jc w:val="center"/>
                    <w:rPr>
                      <w:color w:val="auto"/>
                      <w:sz w:val="18"/>
                      <w:szCs w:val="18"/>
                      <w:highlight w:val="none"/>
                    </w:rPr>
                  </w:pPr>
                  <w:r>
                    <w:rPr>
                      <w:b w:val="0"/>
                      <w:bCs w:val="0"/>
                      <w:color w:val="auto"/>
                      <w:spacing w:val="0"/>
                      <w:sz w:val="18"/>
                      <w:szCs w:val="18"/>
                      <w:highlight w:val="none"/>
                    </w:rPr>
                    <w:t>储运条件</w:t>
                  </w:r>
                  <w:r>
                    <w:rPr>
                      <w:color w:val="auto"/>
                      <w:spacing w:val="0"/>
                      <w:sz w:val="18"/>
                      <w:szCs w:val="18"/>
                      <w:highlight w:val="none"/>
                    </w:rPr>
                    <w:t>：储存在阴凉、通风良好的专用库房内或大型气柜，远离容易起火的地方。与五氟化溴、氯气、二氧化氯、三氟化氮、液氧、二氟化氧、氧化剂隔离储运。</w:t>
                  </w:r>
                  <w:r>
                    <w:rPr>
                      <w:b w:val="0"/>
                      <w:bCs w:val="0"/>
                      <w:color w:val="auto"/>
                      <w:spacing w:val="0"/>
                      <w:sz w:val="18"/>
                      <w:szCs w:val="18"/>
                      <w:highlight w:val="none"/>
                    </w:rPr>
                    <w:t>泄漏处理</w:t>
                  </w:r>
                  <w:r>
                    <w:rPr>
                      <w:color w:val="auto"/>
                      <w:spacing w:val="0"/>
                      <w:sz w:val="18"/>
                      <w:szCs w:val="18"/>
                      <w:highlight w:val="none"/>
                    </w:rPr>
                    <w:t>：切断火源，勿使其燃烧，同时关闭阀门等，制止渗漏；并用雾状水保护阀门人员；操作时必须穿戴防毒面具与手套。对残余废气或钢瓶泄漏出气要用排风机排至空旷地方。</w:t>
                  </w:r>
                </w:p>
              </w:tc>
            </w:tr>
            <w:tr w14:paraId="35B1E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59" w:type="pct"/>
                  <w:vMerge w:val="continue"/>
                  <w:tcBorders>
                    <w:top w:val="nil"/>
                  </w:tcBorders>
                  <w:vAlign w:val="center"/>
                </w:tcPr>
                <w:p w14:paraId="1C97D3D4">
                  <w:pPr>
                    <w:pStyle w:val="119"/>
                    <w:spacing w:line="200" w:lineRule="exact"/>
                    <w:jc w:val="center"/>
                    <w:rPr>
                      <w:rFonts w:ascii="Times New Roman"/>
                      <w:color w:val="auto"/>
                      <w:sz w:val="18"/>
                      <w:highlight w:val="none"/>
                    </w:rPr>
                  </w:pPr>
                </w:p>
              </w:tc>
              <w:tc>
                <w:tcPr>
                  <w:tcW w:w="730" w:type="pct"/>
                  <w:vAlign w:val="center"/>
                </w:tcPr>
                <w:p w14:paraId="6554BF01">
                  <w:pPr>
                    <w:pStyle w:val="119"/>
                    <w:spacing w:before="0" w:line="200" w:lineRule="exact"/>
                    <w:ind w:left="0"/>
                    <w:jc w:val="center"/>
                    <w:rPr>
                      <w:color w:val="auto"/>
                      <w:sz w:val="18"/>
                      <w:szCs w:val="18"/>
                      <w:highlight w:val="none"/>
                    </w:rPr>
                  </w:pPr>
                  <w:r>
                    <w:rPr>
                      <w:color w:val="auto"/>
                      <w:spacing w:val="0"/>
                      <w:sz w:val="18"/>
                      <w:szCs w:val="18"/>
                      <w:highlight w:val="none"/>
                    </w:rPr>
                    <w:t>灭火方法</w:t>
                  </w:r>
                </w:p>
              </w:tc>
              <w:tc>
                <w:tcPr>
                  <w:tcW w:w="4009" w:type="pct"/>
                  <w:gridSpan w:val="7"/>
                  <w:vAlign w:val="center"/>
                </w:tcPr>
                <w:p w14:paraId="4BCFED42">
                  <w:pPr>
                    <w:pStyle w:val="119"/>
                    <w:spacing w:before="0" w:line="200" w:lineRule="exact"/>
                    <w:ind w:left="0"/>
                    <w:jc w:val="center"/>
                    <w:rPr>
                      <w:color w:val="auto"/>
                      <w:sz w:val="18"/>
                      <w:szCs w:val="18"/>
                      <w:highlight w:val="none"/>
                    </w:rPr>
                  </w:pPr>
                  <w:r>
                    <w:rPr>
                      <w:color w:val="auto"/>
                      <w:spacing w:val="0"/>
                      <w:sz w:val="18"/>
                      <w:szCs w:val="18"/>
                      <w:highlight w:val="none"/>
                    </w:rPr>
                    <w:t>用泡沫、雾状水、二氧化碳、干粉。</w:t>
                  </w:r>
                </w:p>
              </w:tc>
            </w:tr>
          </w:tbl>
          <w:p w14:paraId="452CC2FA">
            <w:pPr>
              <w:adjustRightInd w:val="0"/>
              <w:snapToGrid w:val="0"/>
              <w:spacing w:line="360" w:lineRule="auto"/>
              <w:jc w:val="center"/>
              <w:rPr>
                <w:b/>
                <w:bCs/>
                <w:color w:val="auto"/>
                <w:spacing w:val="-2"/>
                <w:highlight w:val="none"/>
              </w:rPr>
            </w:pPr>
            <w:r>
              <w:rPr>
                <w:b/>
                <w:bCs/>
                <w:color w:val="auto"/>
                <w:spacing w:val="-2"/>
                <w:highlight w:val="none"/>
              </w:rPr>
              <w:t>表</w:t>
            </w:r>
            <w:r>
              <w:rPr>
                <w:rFonts w:ascii="Times New Roman" w:hAnsi="Times New Roman" w:eastAsia="Times New Roman" w:cs="Times New Roman"/>
                <w:b/>
                <w:bCs/>
                <w:color w:val="auto"/>
                <w:spacing w:val="-2"/>
                <w:highlight w:val="none"/>
              </w:rPr>
              <w:t>4-</w:t>
            </w:r>
            <w:r>
              <w:rPr>
                <w:rFonts w:hint="eastAsia" w:cs="Times New Roman"/>
                <w:b/>
                <w:bCs/>
                <w:color w:val="auto"/>
                <w:spacing w:val="-2"/>
                <w:highlight w:val="none"/>
                <w:lang w:val="en-US" w:eastAsia="zh-CN"/>
              </w:rPr>
              <w:t>2</w:t>
            </w:r>
            <w:r>
              <w:rPr>
                <w:rFonts w:hint="default" w:ascii="Times New Roman" w:hAnsi="Times New Roman" w:eastAsia="宋体" w:cs="Times New Roman"/>
                <w:b/>
                <w:bCs/>
                <w:color w:val="auto"/>
                <w:spacing w:val="-2"/>
                <w:highlight w:val="none"/>
                <w:lang w:val="en-US" w:eastAsia="zh-CN"/>
              </w:rPr>
              <w:t>1</w:t>
            </w:r>
            <w:r>
              <w:rPr>
                <w:rFonts w:hint="default" w:cs="Times New Roman"/>
                <w:b/>
                <w:bCs/>
                <w:color w:val="auto"/>
                <w:spacing w:val="-2"/>
                <w:highlight w:val="none"/>
                <w:lang w:val="en-US" w:eastAsia="zh-CN"/>
              </w:rPr>
              <w:t xml:space="preserve">        </w:t>
            </w:r>
            <w:r>
              <w:rPr>
                <w:b/>
                <w:bCs/>
                <w:color w:val="auto"/>
                <w:spacing w:val="-2"/>
                <w:highlight w:val="none"/>
              </w:rPr>
              <w:t>硝酸的理化性质及危险特性</w:t>
            </w:r>
          </w:p>
          <w:tbl>
            <w:tblPr>
              <w:tblStyle w:val="118"/>
              <w:tblW w:w="4997"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46"/>
              <w:gridCol w:w="1195"/>
              <w:gridCol w:w="1366"/>
              <w:gridCol w:w="205"/>
              <w:gridCol w:w="307"/>
              <w:gridCol w:w="1426"/>
              <w:gridCol w:w="867"/>
              <w:gridCol w:w="427"/>
              <w:gridCol w:w="1466"/>
              <w:gridCol w:w="58"/>
              <w:gridCol w:w="1327"/>
            </w:tblGrid>
            <w:tr w14:paraId="5E5FE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restart"/>
                  <w:tcBorders>
                    <w:bottom w:val="nil"/>
                  </w:tcBorders>
                  <w:textDirection w:val="tbRlV"/>
                  <w:vAlign w:val="center"/>
                </w:tcPr>
                <w:p w14:paraId="07168FF1">
                  <w:pPr>
                    <w:pStyle w:val="119"/>
                    <w:spacing w:before="0" w:line="200" w:lineRule="exact"/>
                    <w:ind w:left="0"/>
                    <w:jc w:val="center"/>
                    <w:rPr>
                      <w:color w:val="auto"/>
                      <w:sz w:val="18"/>
                      <w:szCs w:val="18"/>
                      <w:highlight w:val="none"/>
                    </w:rPr>
                  </w:pPr>
                  <w:r>
                    <w:rPr>
                      <w:color w:val="auto"/>
                      <w:spacing w:val="0"/>
                      <w:sz w:val="18"/>
                      <w:szCs w:val="18"/>
                      <w:highlight w:val="none"/>
                    </w:rPr>
                    <w:t>标识</w:t>
                  </w:r>
                </w:p>
              </w:tc>
              <w:tc>
                <w:tcPr>
                  <w:tcW w:w="2951" w:type="pct"/>
                  <w:gridSpan w:val="6"/>
                  <w:vAlign w:val="center"/>
                </w:tcPr>
                <w:p w14:paraId="203A6B67">
                  <w:pPr>
                    <w:pStyle w:val="119"/>
                    <w:spacing w:before="0" w:line="200" w:lineRule="exact"/>
                    <w:ind w:left="0"/>
                    <w:jc w:val="center"/>
                    <w:rPr>
                      <w:color w:val="auto"/>
                      <w:sz w:val="18"/>
                      <w:szCs w:val="18"/>
                      <w:highlight w:val="none"/>
                    </w:rPr>
                  </w:pPr>
                  <w:r>
                    <w:rPr>
                      <w:color w:val="auto"/>
                      <w:spacing w:val="0"/>
                      <w:sz w:val="18"/>
                      <w:szCs w:val="18"/>
                      <w:highlight w:val="none"/>
                    </w:rPr>
                    <w:t>中文名：硝酸；硝酸氢；硝漒水</w:t>
                  </w:r>
                </w:p>
              </w:tc>
              <w:tc>
                <w:tcPr>
                  <w:tcW w:w="1803" w:type="pct"/>
                  <w:gridSpan w:val="4"/>
                  <w:vAlign w:val="center"/>
                </w:tcPr>
                <w:p w14:paraId="418B4075">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危险货物编号：</w:t>
                  </w:r>
                  <w:r>
                    <w:rPr>
                      <w:rFonts w:ascii="Times New Roman" w:hAnsi="Times New Roman" w:eastAsia="Times New Roman" w:cs="Times New Roman"/>
                      <w:color w:val="auto"/>
                      <w:spacing w:val="0"/>
                      <w:position w:val="0"/>
                      <w:sz w:val="18"/>
                      <w:szCs w:val="18"/>
                      <w:highlight w:val="none"/>
                    </w:rPr>
                    <w:t>81002</w:t>
                  </w:r>
                </w:p>
              </w:tc>
            </w:tr>
            <w:tr w14:paraId="6B75F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bottom w:val="nil"/>
                  </w:tcBorders>
                  <w:textDirection w:val="tbRlV"/>
                  <w:vAlign w:val="center"/>
                </w:tcPr>
                <w:p w14:paraId="3FCAA346">
                  <w:pPr>
                    <w:pStyle w:val="119"/>
                    <w:spacing w:line="200" w:lineRule="exact"/>
                    <w:jc w:val="center"/>
                    <w:rPr>
                      <w:rFonts w:ascii="Times New Roman"/>
                      <w:color w:val="auto"/>
                      <w:sz w:val="18"/>
                      <w:highlight w:val="none"/>
                    </w:rPr>
                  </w:pPr>
                </w:p>
              </w:tc>
              <w:tc>
                <w:tcPr>
                  <w:tcW w:w="2951" w:type="pct"/>
                  <w:gridSpan w:val="6"/>
                  <w:vAlign w:val="center"/>
                </w:tcPr>
                <w:p w14:paraId="5F1B2261">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英文名：</w:t>
                  </w:r>
                  <w:r>
                    <w:rPr>
                      <w:rFonts w:ascii="Times New Roman" w:hAnsi="Times New Roman" w:eastAsia="Times New Roman" w:cs="Times New Roman"/>
                      <w:color w:val="auto"/>
                      <w:position w:val="0"/>
                      <w:sz w:val="18"/>
                      <w:szCs w:val="18"/>
                      <w:highlight w:val="none"/>
                    </w:rPr>
                    <w:t>Nitricacid</w:t>
                  </w:r>
                </w:p>
              </w:tc>
              <w:tc>
                <w:tcPr>
                  <w:tcW w:w="1803" w:type="pct"/>
                  <w:gridSpan w:val="4"/>
                  <w:vAlign w:val="center"/>
                </w:tcPr>
                <w:p w14:paraId="27F27E23">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position w:val="0"/>
                      <w:sz w:val="18"/>
                      <w:szCs w:val="18"/>
                      <w:highlight w:val="none"/>
                    </w:rPr>
                    <w:t>UN</w:t>
                  </w:r>
                  <w:r>
                    <w:rPr>
                      <w:color w:val="auto"/>
                      <w:spacing w:val="0"/>
                      <w:position w:val="0"/>
                      <w:sz w:val="18"/>
                      <w:szCs w:val="18"/>
                      <w:highlight w:val="none"/>
                    </w:rPr>
                    <w:t>编号：</w:t>
                  </w:r>
                  <w:r>
                    <w:rPr>
                      <w:rFonts w:ascii="Times New Roman" w:hAnsi="Times New Roman" w:eastAsia="Times New Roman" w:cs="Times New Roman"/>
                      <w:color w:val="auto"/>
                      <w:spacing w:val="0"/>
                      <w:position w:val="0"/>
                      <w:sz w:val="18"/>
                      <w:szCs w:val="18"/>
                      <w:highlight w:val="none"/>
                    </w:rPr>
                    <w:t>2031</w:t>
                  </w:r>
                </w:p>
              </w:tc>
            </w:tr>
            <w:tr w14:paraId="6948C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tcBorders>
                  <w:textDirection w:val="tbRlV"/>
                  <w:vAlign w:val="center"/>
                </w:tcPr>
                <w:p w14:paraId="43573B1C">
                  <w:pPr>
                    <w:pStyle w:val="119"/>
                    <w:spacing w:line="200" w:lineRule="exact"/>
                    <w:jc w:val="center"/>
                    <w:rPr>
                      <w:rFonts w:ascii="Times New Roman"/>
                      <w:color w:val="auto"/>
                      <w:sz w:val="18"/>
                      <w:highlight w:val="none"/>
                    </w:rPr>
                  </w:pPr>
                </w:p>
              </w:tc>
              <w:tc>
                <w:tcPr>
                  <w:tcW w:w="1521" w:type="pct"/>
                  <w:gridSpan w:val="3"/>
                  <w:vAlign w:val="center"/>
                </w:tcPr>
                <w:p w14:paraId="7DE36B57">
                  <w:pPr>
                    <w:pStyle w:val="119"/>
                    <w:spacing w:before="0" w:line="200" w:lineRule="exact"/>
                    <w:ind w:left="0"/>
                    <w:jc w:val="center"/>
                    <w:rPr>
                      <w:rFonts w:hint="default" w:ascii="Times New Roman" w:hAnsi="Times New Roman" w:eastAsia="宋体" w:cs="Times New Roman"/>
                      <w:color w:val="auto"/>
                      <w:sz w:val="18"/>
                      <w:szCs w:val="18"/>
                      <w:highlight w:val="none"/>
                      <w:lang w:eastAsia="zh-CN"/>
                    </w:rPr>
                  </w:pPr>
                  <w:r>
                    <w:rPr>
                      <w:color w:val="auto"/>
                      <w:spacing w:val="0"/>
                      <w:position w:val="0"/>
                      <w:sz w:val="18"/>
                      <w:szCs w:val="18"/>
                      <w:highlight w:val="none"/>
                    </w:rPr>
                    <w:t>分子式：</w:t>
                  </w:r>
                  <w:r>
                    <w:rPr>
                      <w:rFonts w:ascii="Times New Roman" w:hAnsi="Times New Roman" w:eastAsia="Times New Roman" w:cs="Times New Roman"/>
                      <w:color w:val="auto"/>
                      <w:position w:val="0"/>
                      <w:sz w:val="18"/>
                      <w:szCs w:val="18"/>
                      <w:highlight w:val="none"/>
                    </w:rPr>
                    <w:t>HNO</w:t>
                  </w:r>
                  <w:r>
                    <w:rPr>
                      <w:rFonts w:hint="default" w:eastAsia="宋体" w:cs="Times New Roman"/>
                      <w:color w:val="auto"/>
                      <w:spacing w:val="0"/>
                      <w:sz w:val="18"/>
                      <w:szCs w:val="18"/>
                      <w:highlight w:val="none"/>
                      <w:lang w:val="en-US" w:eastAsia="zh-CN"/>
                    </w:rPr>
                    <w:t>=</w:t>
                  </w:r>
                </w:p>
              </w:tc>
              <w:tc>
                <w:tcPr>
                  <w:tcW w:w="1430" w:type="pct"/>
                  <w:gridSpan w:val="3"/>
                  <w:vAlign w:val="center"/>
                </w:tcPr>
                <w:p w14:paraId="0F6E3056">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分子量：</w:t>
                  </w:r>
                  <w:r>
                    <w:rPr>
                      <w:rFonts w:ascii="Times New Roman" w:hAnsi="Times New Roman" w:eastAsia="Times New Roman" w:cs="Times New Roman"/>
                      <w:color w:val="auto"/>
                      <w:spacing w:val="0"/>
                      <w:position w:val="0"/>
                      <w:sz w:val="18"/>
                      <w:szCs w:val="18"/>
                      <w:highlight w:val="none"/>
                    </w:rPr>
                    <w:t>63.01</w:t>
                  </w:r>
                </w:p>
              </w:tc>
              <w:tc>
                <w:tcPr>
                  <w:tcW w:w="1803" w:type="pct"/>
                  <w:gridSpan w:val="4"/>
                  <w:vAlign w:val="center"/>
                </w:tcPr>
                <w:p w14:paraId="1AEFCAD8">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position w:val="0"/>
                      <w:sz w:val="18"/>
                      <w:szCs w:val="18"/>
                      <w:highlight w:val="none"/>
                    </w:rPr>
                    <w:t>CAS</w:t>
                  </w:r>
                  <w:r>
                    <w:rPr>
                      <w:color w:val="auto"/>
                      <w:spacing w:val="0"/>
                      <w:position w:val="0"/>
                      <w:sz w:val="18"/>
                      <w:szCs w:val="18"/>
                      <w:highlight w:val="none"/>
                    </w:rPr>
                    <w:t>号：</w:t>
                  </w:r>
                  <w:r>
                    <w:rPr>
                      <w:rFonts w:ascii="Times New Roman" w:hAnsi="Times New Roman" w:eastAsia="Times New Roman" w:cs="Times New Roman"/>
                      <w:color w:val="auto"/>
                      <w:spacing w:val="0"/>
                      <w:position w:val="0"/>
                      <w:sz w:val="18"/>
                      <w:szCs w:val="18"/>
                      <w:highlight w:val="none"/>
                    </w:rPr>
                    <w:t>7697-37-2</w:t>
                  </w:r>
                </w:p>
              </w:tc>
            </w:tr>
            <w:tr w14:paraId="56DB8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restart"/>
                  <w:tcBorders>
                    <w:bottom w:val="nil"/>
                  </w:tcBorders>
                  <w:textDirection w:val="tbRlV"/>
                  <w:vAlign w:val="center"/>
                </w:tcPr>
                <w:p w14:paraId="7BA034CA">
                  <w:pPr>
                    <w:pStyle w:val="119"/>
                    <w:spacing w:before="0" w:line="200" w:lineRule="exact"/>
                    <w:ind w:left="0"/>
                    <w:jc w:val="center"/>
                    <w:rPr>
                      <w:color w:val="auto"/>
                      <w:spacing w:val="0"/>
                      <w:sz w:val="18"/>
                      <w:szCs w:val="18"/>
                      <w:highlight w:val="none"/>
                    </w:rPr>
                  </w:pPr>
                  <w:r>
                    <w:rPr>
                      <w:color w:val="auto"/>
                      <w:spacing w:val="0"/>
                      <w:sz w:val="18"/>
                      <w:szCs w:val="18"/>
                      <w:highlight w:val="none"/>
                    </w:rPr>
                    <w:t>理化性质</w:t>
                  </w:r>
                </w:p>
              </w:tc>
              <w:tc>
                <w:tcPr>
                  <w:tcW w:w="657" w:type="pct"/>
                  <w:vAlign w:val="center"/>
                </w:tcPr>
                <w:p w14:paraId="288810CC">
                  <w:pPr>
                    <w:pStyle w:val="119"/>
                    <w:spacing w:before="0" w:line="200" w:lineRule="exact"/>
                    <w:ind w:left="0"/>
                    <w:jc w:val="center"/>
                    <w:rPr>
                      <w:color w:val="auto"/>
                      <w:sz w:val="18"/>
                      <w:szCs w:val="18"/>
                      <w:highlight w:val="none"/>
                    </w:rPr>
                  </w:pPr>
                  <w:r>
                    <w:rPr>
                      <w:color w:val="auto"/>
                      <w:spacing w:val="0"/>
                      <w:sz w:val="18"/>
                      <w:szCs w:val="18"/>
                      <w:highlight w:val="none"/>
                    </w:rPr>
                    <w:t>外观与性状</w:t>
                  </w:r>
                </w:p>
              </w:tc>
              <w:tc>
                <w:tcPr>
                  <w:tcW w:w="4097" w:type="pct"/>
                  <w:gridSpan w:val="9"/>
                  <w:vAlign w:val="center"/>
                </w:tcPr>
                <w:p w14:paraId="0E08F859">
                  <w:pPr>
                    <w:pStyle w:val="119"/>
                    <w:spacing w:before="0" w:line="200" w:lineRule="exact"/>
                    <w:ind w:left="0"/>
                    <w:jc w:val="center"/>
                    <w:rPr>
                      <w:color w:val="auto"/>
                      <w:sz w:val="18"/>
                      <w:szCs w:val="18"/>
                      <w:highlight w:val="none"/>
                    </w:rPr>
                  </w:pPr>
                  <w:r>
                    <w:rPr>
                      <w:color w:val="auto"/>
                      <w:spacing w:val="0"/>
                      <w:sz w:val="18"/>
                      <w:szCs w:val="18"/>
                      <w:highlight w:val="none"/>
                    </w:rPr>
                    <w:t>纯品为无色透明发烟液体，有酸味。</w:t>
                  </w:r>
                </w:p>
              </w:tc>
            </w:tr>
            <w:tr w14:paraId="19865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bottom w:val="nil"/>
                  </w:tcBorders>
                  <w:textDirection w:val="tbRlV"/>
                  <w:vAlign w:val="center"/>
                </w:tcPr>
                <w:p w14:paraId="749CAB75">
                  <w:pPr>
                    <w:pStyle w:val="119"/>
                    <w:spacing w:before="0" w:line="200" w:lineRule="exact"/>
                    <w:ind w:left="0"/>
                    <w:jc w:val="center"/>
                    <w:rPr>
                      <w:color w:val="auto"/>
                      <w:spacing w:val="0"/>
                      <w:sz w:val="18"/>
                      <w:szCs w:val="18"/>
                      <w:highlight w:val="none"/>
                    </w:rPr>
                  </w:pPr>
                </w:p>
              </w:tc>
              <w:tc>
                <w:tcPr>
                  <w:tcW w:w="657" w:type="pct"/>
                  <w:vAlign w:val="center"/>
                </w:tcPr>
                <w:p w14:paraId="172CD485">
                  <w:pPr>
                    <w:pStyle w:val="119"/>
                    <w:spacing w:before="0" w:line="200" w:lineRule="exact"/>
                    <w:ind w:left="0"/>
                    <w:jc w:val="center"/>
                    <w:rPr>
                      <w:color w:val="auto"/>
                      <w:sz w:val="18"/>
                      <w:szCs w:val="18"/>
                      <w:highlight w:val="none"/>
                    </w:rPr>
                  </w:pPr>
                  <w:r>
                    <w:rPr>
                      <w:color w:val="auto"/>
                      <w:spacing w:val="0"/>
                      <w:sz w:val="18"/>
                      <w:szCs w:val="18"/>
                      <w:highlight w:val="none"/>
                    </w:rPr>
                    <w:t>熔点(℃)</w:t>
                  </w:r>
                </w:p>
              </w:tc>
              <w:tc>
                <w:tcPr>
                  <w:tcW w:w="751" w:type="pct"/>
                  <w:vAlign w:val="center"/>
                </w:tcPr>
                <w:p w14:paraId="034AF06C">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position w:val="0"/>
                      <w:sz w:val="18"/>
                      <w:szCs w:val="18"/>
                      <w:highlight w:val="none"/>
                    </w:rPr>
                    <w:t>-42</w:t>
                  </w:r>
                </w:p>
              </w:tc>
              <w:tc>
                <w:tcPr>
                  <w:tcW w:w="1066" w:type="pct"/>
                  <w:gridSpan w:val="3"/>
                  <w:vAlign w:val="center"/>
                </w:tcPr>
                <w:p w14:paraId="2DCEA20D">
                  <w:pPr>
                    <w:pStyle w:val="119"/>
                    <w:spacing w:before="0"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相对密度</w:t>
                  </w:r>
                  <w:r>
                    <w:rPr>
                      <w:rFonts w:hint="default" w:eastAsia="Times New Roman"/>
                      <w:color w:val="auto"/>
                      <w:spacing w:val="0"/>
                      <w:position w:val="0"/>
                      <w:sz w:val="18"/>
                      <w:szCs w:val="18"/>
                      <w:highlight w:val="none"/>
                      <w:lang w:eastAsia="zh-CN"/>
                    </w:rPr>
                    <w:t>（</w:t>
                  </w:r>
                  <w:r>
                    <w:rPr>
                      <w:color w:val="auto"/>
                      <w:spacing w:val="0"/>
                      <w:position w:val="0"/>
                      <w:sz w:val="18"/>
                      <w:szCs w:val="18"/>
                      <w:highlight w:val="none"/>
                    </w:rPr>
                    <w:t>水</w:t>
                  </w:r>
                  <w:r>
                    <w:rPr>
                      <w:rFonts w:ascii="Times New Roman" w:hAnsi="Times New Roman" w:eastAsia="Times New Roman" w:cs="Times New Roman"/>
                      <w:color w:val="auto"/>
                      <w:spacing w:val="0"/>
                      <w:position w:val="0"/>
                      <w:sz w:val="18"/>
                      <w:szCs w:val="18"/>
                      <w:highlight w:val="none"/>
                    </w:rPr>
                    <w:t>=1)</w:t>
                  </w:r>
                </w:p>
              </w:tc>
              <w:tc>
                <w:tcPr>
                  <w:tcW w:w="476" w:type="pct"/>
                  <w:vAlign w:val="center"/>
                </w:tcPr>
                <w:p w14:paraId="6250B9EF">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1.5</w:t>
                  </w:r>
                </w:p>
              </w:tc>
              <w:tc>
                <w:tcPr>
                  <w:tcW w:w="1073" w:type="pct"/>
                  <w:gridSpan w:val="3"/>
                  <w:vAlign w:val="center"/>
                </w:tcPr>
                <w:p w14:paraId="7DB760E5">
                  <w:pPr>
                    <w:pStyle w:val="119"/>
                    <w:spacing w:line="200" w:lineRule="exact"/>
                    <w:ind w:left="0"/>
                    <w:jc w:val="center"/>
                    <w:rPr>
                      <w:rFonts w:ascii="Times New Roman" w:hAnsi="Times New Roman" w:eastAsia="Times New Roman" w:cs="Times New Roman"/>
                      <w:color w:val="auto"/>
                      <w:sz w:val="18"/>
                      <w:szCs w:val="18"/>
                      <w:highlight w:val="none"/>
                    </w:rPr>
                  </w:pPr>
                  <w:r>
                    <w:rPr>
                      <w:color w:val="auto"/>
                      <w:spacing w:val="0"/>
                      <w:position w:val="0"/>
                      <w:sz w:val="18"/>
                      <w:szCs w:val="18"/>
                      <w:highlight w:val="none"/>
                    </w:rPr>
                    <w:t>相对密度</w:t>
                  </w:r>
                  <w:r>
                    <w:rPr>
                      <w:rFonts w:hint="default" w:eastAsia="Times New Roman"/>
                      <w:color w:val="auto"/>
                      <w:spacing w:val="0"/>
                      <w:position w:val="0"/>
                      <w:sz w:val="18"/>
                      <w:szCs w:val="18"/>
                      <w:highlight w:val="none"/>
                      <w:lang w:eastAsia="zh-CN"/>
                    </w:rPr>
                    <w:t>（</w:t>
                  </w:r>
                  <w:r>
                    <w:rPr>
                      <w:color w:val="auto"/>
                      <w:spacing w:val="0"/>
                      <w:position w:val="0"/>
                      <w:sz w:val="18"/>
                      <w:szCs w:val="18"/>
                      <w:highlight w:val="none"/>
                    </w:rPr>
                    <w:t>空气</w:t>
                  </w:r>
                  <w:r>
                    <w:rPr>
                      <w:rFonts w:ascii="Times New Roman" w:hAnsi="Times New Roman" w:eastAsia="Times New Roman" w:cs="Times New Roman"/>
                      <w:color w:val="auto"/>
                      <w:spacing w:val="0"/>
                      <w:position w:val="0"/>
                      <w:sz w:val="18"/>
                      <w:szCs w:val="18"/>
                      <w:highlight w:val="none"/>
                    </w:rPr>
                    <w:t>=1</w:t>
                  </w:r>
                  <w:r>
                    <w:rPr>
                      <w:rFonts w:hint="default" w:eastAsia="Times New Roman" w:cs="Times New Roman"/>
                      <w:color w:val="auto"/>
                      <w:spacing w:val="0"/>
                      <w:position w:val="0"/>
                      <w:sz w:val="18"/>
                      <w:szCs w:val="18"/>
                      <w:highlight w:val="none"/>
                      <w:lang w:eastAsia="zh-CN"/>
                    </w:rPr>
                    <w:t>）</w:t>
                  </w:r>
                </w:p>
              </w:tc>
              <w:tc>
                <w:tcPr>
                  <w:tcW w:w="729" w:type="pct"/>
                  <w:vAlign w:val="center"/>
                </w:tcPr>
                <w:p w14:paraId="2F1628CC">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position w:val="0"/>
                      <w:sz w:val="18"/>
                      <w:szCs w:val="18"/>
                      <w:highlight w:val="none"/>
                    </w:rPr>
                    <w:t>2.17</w:t>
                  </w:r>
                </w:p>
              </w:tc>
            </w:tr>
            <w:tr w14:paraId="4FC6E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bottom w:val="nil"/>
                  </w:tcBorders>
                  <w:textDirection w:val="tbRlV"/>
                  <w:vAlign w:val="center"/>
                </w:tcPr>
                <w:p w14:paraId="5E4BECE1">
                  <w:pPr>
                    <w:pStyle w:val="119"/>
                    <w:spacing w:before="0" w:line="200" w:lineRule="exact"/>
                    <w:ind w:left="0"/>
                    <w:jc w:val="center"/>
                    <w:rPr>
                      <w:color w:val="auto"/>
                      <w:spacing w:val="0"/>
                      <w:sz w:val="18"/>
                      <w:szCs w:val="18"/>
                      <w:highlight w:val="none"/>
                    </w:rPr>
                  </w:pPr>
                </w:p>
              </w:tc>
              <w:tc>
                <w:tcPr>
                  <w:tcW w:w="657" w:type="pct"/>
                  <w:vAlign w:val="center"/>
                </w:tcPr>
                <w:p w14:paraId="7F831046">
                  <w:pPr>
                    <w:pStyle w:val="119"/>
                    <w:spacing w:before="0" w:line="200" w:lineRule="exact"/>
                    <w:ind w:left="0"/>
                    <w:jc w:val="center"/>
                    <w:rPr>
                      <w:color w:val="auto"/>
                      <w:sz w:val="18"/>
                      <w:szCs w:val="18"/>
                      <w:highlight w:val="none"/>
                    </w:rPr>
                  </w:pPr>
                  <w:r>
                    <w:rPr>
                      <w:color w:val="auto"/>
                      <w:spacing w:val="0"/>
                      <w:sz w:val="18"/>
                      <w:szCs w:val="18"/>
                      <w:highlight w:val="none"/>
                    </w:rPr>
                    <w:t>沸点(℃)</w:t>
                  </w:r>
                </w:p>
              </w:tc>
              <w:tc>
                <w:tcPr>
                  <w:tcW w:w="751" w:type="pct"/>
                  <w:vAlign w:val="center"/>
                </w:tcPr>
                <w:p w14:paraId="708C5C33">
                  <w:pPr>
                    <w:pStyle w:val="119"/>
                    <w:spacing w:before="0" w:line="200" w:lineRule="exact"/>
                    <w:ind w:left="0"/>
                    <w:jc w:val="center"/>
                    <w:rPr>
                      <w:rFonts w:ascii="Times New Roman" w:hAnsi="Times New Roman" w:eastAsia="Times New Roman" w:cs="Times New Roman"/>
                      <w:color w:val="auto"/>
                      <w:sz w:val="18"/>
                      <w:szCs w:val="18"/>
                      <w:highlight w:val="none"/>
                    </w:rPr>
                  </w:pPr>
                  <w:r>
                    <w:rPr>
                      <w:rFonts w:ascii="Times New Roman" w:hAnsi="Times New Roman" w:eastAsia="Times New Roman" w:cs="Times New Roman"/>
                      <w:color w:val="auto"/>
                      <w:spacing w:val="0"/>
                      <w:position w:val="0"/>
                      <w:sz w:val="18"/>
                      <w:szCs w:val="18"/>
                      <w:highlight w:val="none"/>
                    </w:rPr>
                    <w:t>86</w:t>
                  </w:r>
                </w:p>
              </w:tc>
              <w:tc>
                <w:tcPr>
                  <w:tcW w:w="1542" w:type="pct"/>
                  <w:gridSpan w:val="4"/>
                  <w:vAlign w:val="center"/>
                </w:tcPr>
                <w:p w14:paraId="34583698">
                  <w:pPr>
                    <w:pStyle w:val="119"/>
                    <w:spacing w:before="0" w:line="200" w:lineRule="exact"/>
                    <w:ind w:left="0"/>
                    <w:jc w:val="center"/>
                    <w:rPr>
                      <w:color w:val="auto"/>
                      <w:sz w:val="18"/>
                      <w:szCs w:val="18"/>
                      <w:highlight w:val="none"/>
                    </w:rPr>
                  </w:pPr>
                  <w:r>
                    <w:rPr>
                      <w:color w:val="auto"/>
                      <w:spacing w:val="0"/>
                      <w:position w:val="0"/>
                      <w:sz w:val="18"/>
                      <w:szCs w:val="18"/>
                      <w:highlight w:val="none"/>
                    </w:rPr>
                    <w:t>饱和蒸气压（</w:t>
                  </w:r>
                  <w:r>
                    <w:rPr>
                      <w:rFonts w:ascii="Times New Roman" w:hAnsi="Times New Roman" w:eastAsia="Times New Roman" w:cs="Times New Roman"/>
                      <w:color w:val="auto"/>
                      <w:position w:val="0"/>
                      <w:sz w:val="18"/>
                      <w:szCs w:val="18"/>
                      <w:highlight w:val="none"/>
                    </w:rPr>
                    <w:t>kPa</w:t>
                  </w:r>
                  <w:r>
                    <w:rPr>
                      <w:color w:val="auto"/>
                      <w:spacing w:val="0"/>
                      <w:position w:val="0"/>
                      <w:sz w:val="18"/>
                      <w:szCs w:val="18"/>
                      <w:highlight w:val="none"/>
                    </w:rPr>
                    <w:t>）</w:t>
                  </w:r>
                </w:p>
              </w:tc>
              <w:tc>
                <w:tcPr>
                  <w:tcW w:w="1803" w:type="pct"/>
                  <w:gridSpan w:val="4"/>
                  <w:vAlign w:val="center"/>
                </w:tcPr>
                <w:p w14:paraId="6A048839">
                  <w:pPr>
                    <w:pStyle w:val="119"/>
                    <w:spacing w:before="0" w:line="200" w:lineRule="exact"/>
                    <w:ind w:left="0"/>
                    <w:jc w:val="center"/>
                    <w:rPr>
                      <w:color w:val="auto"/>
                      <w:sz w:val="18"/>
                      <w:szCs w:val="18"/>
                      <w:highlight w:val="none"/>
                    </w:rPr>
                  </w:pPr>
                  <w:r>
                    <w:rPr>
                      <w:rFonts w:ascii="Times New Roman" w:hAnsi="Times New Roman" w:eastAsia="Times New Roman" w:cs="Times New Roman"/>
                      <w:color w:val="auto"/>
                      <w:spacing w:val="0"/>
                      <w:position w:val="0"/>
                      <w:sz w:val="18"/>
                      <w:szCs w:val="18"/>
                      <w:highlight w:val="none"/>
                    </w:rPr>
                    <w:t>4.4/20</w:t>
                  </w:r>
                  <w:r>
                    <w:rPr>
                      <w:color w:val="auto"/>
                      <w:spacing w:val="0"/>
                      <w:position w:val="0"/>
                      <w:sz w:val="18"/>
                      <w:szCs w:val="18"/>
                      <w:highlight w:val="none"/>
                    </w:rPr>
                    <w:t>℃</w:t>
                  </w:r>
                </w:p>
              </w:tc>
            </w:tr>
            <w:tr w14:paraId="06B60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tcBorders>
                  <w:textDirection w:val="tbRlV"/>
                  <w:vAlign w:val="center"/>
                </w:tcPr>
                <w:p w14:paraId="58B90C1D">
                  <w:pPr>
                    <w:pStyle w:val="119"/>
                    <w:spacing w:before="0" w:line="200" w:lineRule="exact"/>
                    <w:ind w:left="0"/>
                    <w:jc w:val="center"/>
                    <w:rPr>
                      <w:color w:val="auto"/>
                      <w:spacing w:val="0"/>
                      <w:sz w:val="18"/>
                      <w:szCs w:val="18"/>
                      <w:highlight w:val="none"/>
                    </w:rPr>
                  </w:pPr>
                </w:p>
              </w:tc>
              <w:tc>
                <w:tcPr>
                  <w:tcW w:w="657" w:type="pct"/>
                  <w:vAlign w:val="center"/>
                </w:tcPr>
                <w:p w14:paraId="014C615E">
                  <w:pPr>
                    <w:pStyle w:val="119"/>
                    <w:spacing w:before="0" w:line="200" w:lineRule="exact"/>
                    <w:ind w:left="0"/>
                    <w:jc w:val="center"/>
                    <w:rPr>
                      <w:color w:val="auto"/>
                      <w:sz w:val="18"/>
                      <w:szCs w:val="18"/>
                      <w:highlight w:val="none"/>
                    </w:rPr>
                  </w:pPr>
                  <w:r>
                    <w:rPr>
                      <w:color w:val="auto"/>
                      <w:spacing w:val="0"/>
                      <w:sz w:val="18"/>
                      <w:szCs w:val="18"/>
                      <w:highlight w:val="none"/>
                    </w:rPr>
                    <w:t>溶解性</w:t>
                  </w:r>
                </w:p>
              </w:tc>
              <w:tc>
                <w:tcPr>
                  <w:tcW w:w="4097" w:type="pct"/>
                  <w:gridSpan w:val="9"/>
                  <w:vAlign w:val="center"/>
                </w:tcPr>
                <w:p w14:paraId="04958B64">
                  <w:pPr>
                    <w:pStyle w:val="119"/>
                    <w:spacing w:before="0" w:line="200" w:lineRule="exact"/>
                    <w:ind w:left="0"/>
                    <w:jc w:val="center"/>
                    <w:rPr>
                      <w:color w:val="auto"/>
                      <w:sz w:val="18"/>
                      <w:szCs w:val="18"/>
                      <w:highlight w:val="none"/>
                    </w:rPr>
                  </w:pPr>
                  <w:r>
                    <w:rPr>
                      <w:color w:val="auto"/>
                      <w:spacing w:val="0"/>
                      <w:sz w:val="18"/>
                      <w:szCs w:val="18"/>
                      <w:highlight w:val="none"/>
                    </w:rPr>
                    <w:t>与水混溶。</w:t>
                  </w:r>
                </w:p>
              </w:tc>
            </w:tr>
            <w:tr w14:paraId="386C4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restart"/>
                  <w:textDirection w:val="tbRlV"/>
                  <w:vAlign w:val="center"/>
                </w:tcPr>
                <w:p w14:paraId="3B1C1A1E">
                  <w:pPr>
                    <w:pStyle w:val="119"/>
                    <w:spacing w:before="0" w:line="200" w:lineRule="exact"/>
                    <w:ind w:left="0"/>
                    <w:jc w:val="center"/>
                    <w:rPr>
                      <w:color w:val="auto"/>
                      <w:spacing w:val="0"/>
                      <w:sz w:val="18"/>
                      <w:szCs w:val="18"/>
                      <w:highlight w:val="none"/>
                    </w:rPr>
                  </w:pPr>
                  <w:r>
                    <w:rPr>
                      <w:color w:val="auto"/>
                      <w:spacing w:val="0"/>
                      <w:sz w:val="18"/>
                      <w:szCs w:val="18"/>
                      <w:highlight w:val="none"/>
                    </w:rPr>
                    <w:t>毒性及健康危害</w:t>
                  </w:r>
                </w:p>
              </w:tc>
              <w:tc>
                <w:tcPr>
                  <w:tcW w:w="657" w:type="pct"/>
                  <w:vAlign w:val="center"/>
                </w:tcPr>
                <w:p w14:paraId="7699618B">
                  <w:pPr>
                    <w:pStyle w:val="119"/>
                    <w:spacing w:before="0" w:line="200" w:lineRule="exact"/>
                    <w:ind w:left="0"/>
                    <w:jc w:val="center"/>
                    <w:rPr>
                      <w:color w:val="auto"/>
                      <w:sz w:val="18"/>
                      <w:szCs w:val="18"/>
                      <w:highlight w:val="none"/>
                    </w:rPr>
                  </w:pPr>
                  <w:r>
                    <w:rPr>
                      <w:color w:val="auto"/>
                      <w:spacing w:val="0"/>
                      <w:sz w:val="18"/>
                      <w:szCs w:val="18"/>
                      <w:highlight w:val="none"/>
                    </w:rPr>
                    <w:t>侵入途径</w:t>
                  </w:r>
                </w:p>
              </w:tc>
              <w:tc>
                <w:tcPr>
                  <w:tcW w:w="4097" w:type="pct"/>
                  <w:gridSpan w:val="9"/>
                  <w:tcBorders>
                    <w:right w:val="single" w:color="000000" w:sz="2" w:space="0"/>
                  </w:tcBorders>
                  <w:vAlign w:val="center"/>
                </w:tcPr>
                <w:p w14:paraId="3C13F830">
                  <w:pPr>
                    <w:pStyle w:val="119"/>
                    <w:spacing w:before="0" w:line="200" w:lineRule="exact"/>
                    <w:ind w:left="0"/>
                    <w:jc w:val="center"/>
                    <w:rPr>
                      <w:color w:val="auto"/>
                      <w:sz w:val="18"/>
                      <w:szCs w:val="18"/>
                      <w:highlight w:val="none"/>
                    </w:rPr>
                  </w:pPr>
                  <w:r>
                    <w:rPr>
                      <w:color w:val="auto"/>
                      <w:spacing w:val="0"/>
                      <w:sz w:val="18"/>
                      <w:szCs w:val="18"/>
                      <w:highlight w:val="none"/>
                    </w:rPr>
                    <w:t>吸入、食入、经皮吸收</w:t>
                  </w:r>
                </w:p>
              </w:tc>
            </w:tr>
            <w:tr w14:paraId="12024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extDirection w:val="tbRlV"/>
                  <w:vAlign w:val="center"/>
                </w:tcPr>
                <w:p w14:paraId="45C5B3B3">
                  <w:pPr>
                    <w:pStyle w:val="119"/>
                    <w:spacing w:before="0" w:line="200" w:lineRule="exact"/>
                    <w:ind w:left="0"/>
                    <w:jc w:val="center"/>
                    <w:rPr>
                      <w:color w:val="auto"/>
                      <w:spacing w:val="0"/>
                      <w:sz w:val="18"/>
                      <w:szCs w:val="18"/>
                      <w:highlight w:val="none"/>
                    </w:rPr>
                  </w:pPr>
                </w:p>
              </w:tc>
              <w:tc>
                <w:tcPr>
                  <w:tcW w:w="657" w:type="pct"/>
                  <w:vAlign w:val="center"/>
                </w:tcPr>
                <w:p w14:paraId="5EC9990E">
                  <w:pPr>
                    <w:pStyle w:val="119"/>
                    <w:spacing w:before="0" w:line="200" w:lineRule="exact"/>
                    <w:ind w:left="0"/>
                    <w:jc w:val="center"/>
                    <w:rPr>
                      <w:color w:val="auto"/>
                      <w:sz w:val="18"/>
                      <w:szCs w:val="18"/>
                      <w:highlight w:val="none"/>
                    </w:rPr>
                  </w:pPr>
                  <w:r>
                    <w:rPr>
                      <w:color w:val="auto"/>
                      <w:spacing w:val="0"/>
                      <w:sz w:val="18"/>
                      <w:szCs w:val="18"/>
                      <w:highlight w:val="none"/>
                    </w:rPr>
                    <w:t>健康危害</w:t>
                  </w:r>
                </w:p>
              </w:tc>
              <w:tc>
                <w:tcPr>
                  <w:tcW w:w="4097" w:type="pct"/>
                  <w:gridSpan w:val="9"/>
                  <w:vAlign w:val="center"/>
                </w:tcPr>
                <w:p w14:paraId="4961AFCF">
                  <w:pPr>
                    <w:pStyle w:val="119"/>
                    <w:spacing w:before="0" w:line="200" w:lineRule="exact"/>
                    <w:ind w:left="0" w:right="0" w:firstLine="0"/>
                    <w:jc w:val="both"/>
                    <w:rPr>
                      <w:rFonts w:hint="default" w:eastAsia="宋体"/>
                      <w:color w:val="auto"/>
                      <w:sz w:val="18"/>
                      <w:szCs w:val="18"/>
                      <w:highlight w:val="none"/>
                      <w:lang w:eastAsia="zh-CN"/>
                    </w:rPr>
                  </w:pPr>
                  <w:r>
                    <w:rPr>
                      <w:color w:val="auto"/>
                      <w:spacing w:val="0"/>
                      <w:sz w:val="18"/>
                      <w:szCs w:val="18"/>
                      <w:highlight w:val="none"/>
                    </w:rPr>
                    <w:t>其蒸气有刺激作用，引起粘膜和上呼吸道的刺激症状。如流泪、咽喉刺激感、呛咳、并伴有头痛、头晕、胸闷等。长期接触可引起牙齿酸蚀症，皮肤接触引起灼伤。口服硝酸，引起上消化道剧痛、烧灼伤以至形成溃疡；严重者可能有胃穿孔、腹膜炎、喉痉挛、肾损害、休克</w:t>
                  </w:r>
                  <w:r>
                    <w:rPr>
                      <w:rFonts w:hint="default" w:eastAsia="Times New Roman"/>
                      <w:color w:val="auto"/>
                      <w:spacing w:val="0"/>
                      <w:sz w:val="18"/>
                      <w:szCs w:val="18"/>
                      <w:highlight w:val="none"/>
                      <w:lang w:eastAsia="zh-CN"/>
                    </w:rPr>
                    <w:t>以致</w:t>
                  </w:r>
                  <w:r>
                    <w:rPr>
                      <w:color w:val="auto"/>
                      <w:spacing w:val="0"/>
                      <w:sz w:val="18"/>
                      <w:szCs w:val="18"/>
                      <w:highlight w:val="none"/>
                    </w:rPr>
                    <w:t>窒息等。</w:t>
                  </w:r>
                </w:p>
              </w:tc>
            </w:tr>
            <w:tr w14:paraId="37499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extDirection w:val="tbRlV"/>
                  <w:vAlign w:val="center"/>
                </w:tcPr>
                <w:p w14:paraId="7DA0CAE1">
                  <w:pPr>
                    <w:pStyle w:val="119"/>
                    <w:spacing w:before="0" w:line="200" w:lineRule="exact"/>
                    <w:ind w:left="0"/>
                    <w:jc w:val="center"/>
                    <w:rPr>
                      <w:color w:val="auto"/>
                      <w:spacing w:val="0"/>
                      <w:sz w:val="18"/>
                      <w:szCs w:val="18"/>
                      <w:highlight w:val="none"/>
                    </w:rPr>
                  </w:pPr>
                </w:p>
              </w:tc>
              <w:tc>
                <w:tcPr>
                  <w:tcW w:w="657" w:type="pct"/>
                  <w:shd w:val="clear" w:color="auto" w:fill="auto"/>
                  <w:vAlign w:val="center"/>
                </w:tcPr>
                <w:p w14:paraId="587122D6">
                  <w:pPr>
                    <w:pStyle w:val="119"/>
                    <w:spacing w:before="0" w:line="200" w:lineRule="exact"/>
                    <w:ind w:left="0" w:leftChars="0"/>
                    <w:jc w:val="center"/>
                    <w:rPr>
                      <w:rFonts w:ascii="Times New Roman" w:hAnsi="Times New Roman" w:eastAsia="Times New Roman" w:cs="Times New Roman"/>
                      <w:color w:val="auto"/>
                      <w:spacing w:val="0"/>
                      <w:kern w:val="2"/>
                      <w:sz w:val="18"/>
                      <w:szCs w:val="18"/>
                      <w:highlight w:val="none"/>
                      <w:lang w:val="en-US" w:eastAsia="en-US" w:bidi="ar-SA"/>
                    </w:rPr>
                  </w:pPr>
                  <w:r>
                    <w:rPr>
                      <w:color w:val="auto"/>
                      <w:spacing w:val="0"/>
                      <w:sz w:val="18"/>
                      <w:szCs w:val="18"/>
                      <w:highlight w:val="none"/>
                    </w:rPr>
                    <w:t>急救方法</w:t>
                  </w:r>
                </w:p>
              </w:tc>
              <w:tc>
                <w:tcPr>
                  <w:tcW w:w="4097" w:type="pct"/>
                  <w:gridSpan w:val="9"/>
                  <w:shd w:val="clear" w:color="auto" w:fill="auto"/>
                  <w:vAlign w:val="center"/>
                </w:tcPr>
                <w:p w14:paraId="5AD5324D">
                  <w:pPr>
                    <w:pStyle w:val="119"/>
                    <w:spacing w:before="0" w:line="200" w:lineRule="exact"/>
                    <w:ind w:left="0" w:right="0" w:firstLine="0"/>
                    <w:jc w:val="both"/>
                    <w:rPr>
                      <w:color w:val="auto"/>
                      <w:sz w:val="18"/>
                      <w:szCs w:val="18"/>
                      <w:highlight w:val="none"/>
                    </w:rPr>
                  </w:pPr>
                  <w:r>
                    <w:rPr>
                      <w:color w:val="auto"/>
                      <w:spacing w:val="0"/>
                      <w:sz w:val="18"/>
                      <w:szCs w:val="18"/>
                      <w:highlight w:val="none"/>
                    </w:rPr>
                    <w:t>皮肤接触：立即用水冲洗至少</w:t>
                  </w:r>
                  <w:r>
                    <w:rPr>
                      <w:rFonts w:ascii="Times New Roman" w:hAnsi="Times New Roman" w:eastAsia="Times New Roman" w:cs="Times New Roman"/>
                      <w:color w:val="auto"/>
                      <w:spacing w:val="0"/>
                      <w:sz w:val="18"/>
                      <w:szCs w:val="18"/>
                      <w:highlight w:val="none"/>
                    </w:rPr>
                    <w:t>15</w:t>
                  </w:r>
                  <w:r>
                    <w:rPr>
                      <w:color w:val="auto"/>
                      <w:spacing w:val="0"/>
                      <w:sz w:val="18"/>
                      <w:szCs w:val="18"/>
                      <w:highlight w:val="none"/>
                    </w:rPr>
                    <w:t>分钟。或用</w:t>
                  </w:r>
                  <w:r>
                    <w:rPr>
                      <w:rFonts w:ascii="Times New Roman" w:hAnsi="Times New Roman" w:eastAsia="Times New Roman" w:cs="Times New Roman"/>
                      <w:color w:val="auto"/>
                      <w:spacing w:val="0"/>
                      <w:sz w:val="18"/>
                      <w:szCs w:val="18"/>
                      <w:highlight w:val="none"/>
                    </w:rPr>
                    <w:t>2%</w:t>
                  </w:r>
                  <w:r>
                    <w:rPr>
                      <w:color w:val="auto"/>
                      <w:spacing w:val="0"/>
                      <w:sz w:val="18"/>
                      <w:szCs w:val="18"/>
                      <w:highlight w:val="none"/>
                    </w:rPr>
                    <w:t>碳酸氢钠溶液冲洗。若有灼伤，就医治疗。眼睛接触：立即提起眼睑，用流动清水或生理盐水冲洗至少</w:t>
                  </w:r>
                  <w:r>
                    <w:rPr>
                      <w:rFonts w:ascii="Times New Roman" w:hAnsi="Times New Roman" w:eastAsia="Times New Roman" w:cs="Times New Roman"/>
                      <w:color w:val="auto"/>
                      <w:spacing w:val="0"/>
                      <w:sz w:val="18"/>
                      <w:szCs w:val="18"/>
                      <w:highlight w:val="none"/>
                    </w:rPr>
                    <w:t>15</w:t>
                  </w:r>
                  <w:r>
                    <w:rPr>
                      <w:color w:val="auto"/>
                      <w:spacing w:val="0"/>
                      <w:sz w:val="18"/>
                      <w:szCs w:val="18"/>
                      <w:highlight w:val="none"/>
                    </w:rPr>
                    <w:t>分钟。就医。吸入：迅速脱离现场至空气新鲜处。</w:t>
                  </w:r>
                </w:p>
                <w:p w14:paraId="05AE55E0">
                  <w:pPr>
                    <w:pStyle w:val="119"/>
                    <w:spacing w:line="200" w:lineRule="exact"/>
                    <w:ind w:left="0" w:leftChars="0" w:right="0" w:rightChars="0" w:firstLine="0" w:firstLineChars="0"/>
                    <w:jc w:val="both"/>
                    <w:rPr>
                      <w:rFonts w:ascii="Times New Roman" w:hAnsi="Times New Roman" w:eastAsia="Times New Roman" w:cs="Times New Roman"/>
                      <w:color w:val="auto"/>
                      <w:spacing w:val="0"/>
                      <w:kern w:val="2"/>
                      <w:sz w:val="18"/>
                      <w:szCs w:val="18"/>
                      <w:highlight w:val="none"/>
                      <w:lang w:val="en-US" w:eastAsia="en-US" w:bidi="ar-SA"/>
                    </w:rPr>
                  </w:pPr>
                  <w:r>
                    <w:rPr>
                      <w:color w:val="auto"/>
                      <w:spacing w:val="0"/>
                      <w:sz w:val="18"/>
                      <w:szCs w:val="18"/>
                      <w:highlight w:val="none"/>
                    </w:rPr>
                    <w:t>呼吸困难时给输氧。给予</w:t>
                  </w:r>
                  <w:r>
                    <w:rPr>
                      <w:rFonts w:ascii="Times New Roman" w:hAnsi="Times New Roman" w:eastAsia="Times New Roman" w:cs="Times New Roman"/>
                      <w:color w:val="auto"/>
                      <w:spacing w:val="0"/>
                      <w:sz w:val="18"/>
                      <w:szCs w:val="18"/>
                      <w:highlight w:val="none"/>
                    </w:rPr>
                    <w:t>2-4%</w:t>
                  </w:r>
                  <w:r>
                    <w:rPr>
                      <w:color w:val="auto"/>
                      <w:spacing w:val="0"/>
                      <w:sz w:val="18"/>
                      <w:szCs w:val="18"/>
                      <w:highlight w:val="none"/>
                    </w:rPr>
                    <w:t>碳酸氢钠溶液雾化吸入。就医。食入：误服者给牛奶、蛋清、植物油等口服，不可催吐。立即就医。</w:t>
                  </w:r>
                </w:p>
              </w:tc>
            </w:tr>
            <w:tr w14:paraId="78DB4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restart"/>
                  <w:tcBorders>
                    <w:top w:val="nil"/>
                    <w:bottom w:val="nil"/>
                  </w:tcBorders>
                  <w:textDirection w:val="tbRlV"/>
                  <w:vAlign w:val="center"/>
                </w:tcPr>
                <w:p w14:paraId="72B940A8">
                  <w:pPr>
                    <w:pStyle w:val="119"/>
                    <w:spacing w:before="0" w:line="200" w:lineRule="exact"/>
                    <w:ind w:left="0" w:leftChars="0"/>
                    <w:jc w:val="center"/>
                    <w:rPr>
                      <w:rFonts w:ascii="Times New Roman"/>
                      <w:color w:val="auto"/>
                      <w:sz w:val="18"/>
                      <w:highlight w:val="none"/>
                    </w:rPr>
                  </w:pPr>
                  <w:r>
                    <w:rPr>
                      <w:color w:val="auto"/>
                      <w:spacing w:val="0"/>
                      <w:sz w:val="18"/>
                      <w:szCs w:val="18"/>
                      <w:highlight w:val="none"/>
                    </w:rPr>
                    <w:t>燃烧爆炸危险性</w:t>
                  </w:r>
                </w:p>
              </w:tc>
              <w:tc>
                <w:tcPr>
                  <w:tcW w:w="657" w:type="pct"/>
                  <w:vAlign w:val="center"/>
                </w:tcPr>
                <w:p w14:paraId="3901E940">
                  <w:pPr>
                    <w:pStyle w:val="119"/>
                    <w:spacing w:before="0" w:line="200" w:lineRule="exact"/>
                    <w:ind w:left="0" w:leftChars="0"/>
                    <w:jc w:val="center"/>
                    <w:rPr>
                      <w:color w:val="auto"/>
                      <w:spacing w:val="0"/>
                      <w:sz w:val="18"/>
                      <w:szCs w:val="18"/>
                      <w:highlight w:val="none"/>
                    </w:rPr>
                  </w:pPr>
                  <w:r>
                    <w:rPr>
                      <w:color w:val="auto"/>
                      <w:spacing w:val="0"/>
                      <w:sz w:val="18"/>
                      <w:szCs w:val="18"/>
                      <w:highlight w:val="none"/>
                    </w:rPr>
                    <w:t>燃烧性</w:t>
                  </w:r>
                </w:p>
              </w:tc>
              <w:tc>
                <w:tcPr>
                  <w:tcW w:w="1033" w:type="pct"/>
                  <w:gridSpan w:val="3"/>
                  <w:vAlign w:val="center"/>
                </w:tcPr>
                <w:p w14:paraId="06537E5E">
                  <w:pPr>
                    <w:pStyle w:val="119"/>
                    <w:spacing w:before="0" w:line="200" w:lineRule="exact"/>
                    <w:ind w:left="0" w:leftChars="0"/>
                    <w:jc w:val="center"/>
                    <w:rPr>
                      <w:color w:val="auto"/>
                      <w:spacing w:val="0"/>
                      <w:sz w:val="18"/>
                      <w:szCs w:val="18"/>
                      <w:highlight w:val="none"/>
                    </w:rPr>
                  </w:pPr>
                  <w:r>
                    <w:rPr>
                      <w:color w:val="auto"/>
                      <w:spacing w:val="0"/>
                      <w:sz w:val="18"/>
                      <w:szCs w:val="18"/>
                      <w:highlight w:val="none"/>
                    </w:rPr>
                    <w:t>不燃</w:t>
                  </w:r>
                </w:p>
              </w:tc>
              <w:tc>
                <w:tcPr>
                  <w:tcW w:w="1496" w:type="pct"/>
                  <w:gridSpan w:val="3"/>
                  <w:vAlign w:val="center"/>
                </w:tcPr>
                <w:p w14:paraId="7D0415DB">
                  <w:pPr>
                    <w:pStyle w:val="119"/>
                    <w:spacing w:before="0" w:line="200" w:lineRule="exact"/>
                    <w:ind w:left="0" w:leftChars="0"/>
                    <w:jc w:val="center"/>
                    <w:rPr>
                      <w:color w:val="auto"/>
                      <w:highlight w:val="none"/>
                    </w:rPr>
                  </w:pPr>
                  <w:r>
                    <w:rPr>
                      <w:color w:val="auto"/>
                      <w:spacing w:val="0"/>
                      <w:sz w:val="18"/>
                      <w:szCs w:val="18"/>
                      <w:highlight w:val="none"/>
                    </w:rPr>
                    <w:t>燃烧分解物</w:t>
                  </w:r>
                </w:p>
              </w:tc>
              <w:tc>
                <w:tcPr>
                  <w:tcW w:w="1568" w:type="pct"/>
                  <w:gridSpan w:val="3"/>
                  <w:vAlign w:val="center"/>
                </w:tcPr>
                <w:p w14:paraId="54AC9745">
                  <w:pPr>
                    <w:pStyle w:val="119"/>
                    <w:spacing w:before="0" w:line="200" w:lineRule="exact"/>
                    <w:ind w:left="0" w:leftChars="0"/>
                    <w:jc w:val="center"/>
                    <w:rPr>
                      <w:color w:val="auto"/>
                      <w:highlight w:val="none"/>
                    </w:rPr>
                  </w:pPr>
                  <w:r>
                    <w:rPr>
                      <w:color w:val="auto"/>
                      <w:spacing w:val="0"/>
                      <w:sz w:val="18"/>
                      <w:szCs w:val="18"/>
                      <w:highlight w:val="none"/>
                    </w:rPr>
                    <w:t>氧化氮</w:t>
                  </w:r>
                </w:p>
              </w:tc>
            </w:tr>
            <w:tr w14:paraId="2B663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bottom w:val="nil"/>
                  </w:tcBorders>
                  <w:textDirection w:val="tbRlV"/>
                  <w:vAlign w:val="center"/>
                </w:tcPr>
                <w:p w14:paraId="350ED581">
                  <w:pPr>
                    <w:pStyle w:val="119"/>
                    <w:spacing w:line="200" w:lineRule="exact"/>
                    <w:jc w:val="center"/>
                    <w:rPr>
                      <w:rFonts w:ascii="Times New Roman"/>
                      <w:color w:val="auto"/>
                      <w:sz w:val="18"/>
                      <w:highlight w:val="none"/>
                    </w:rPr>
                  </w:pPr>
                </w:p>
              </w:tc>
              <w:tc>
                <w:tcPr>
                  <w:tcW w:w="657" w:type="pct"/>
                  <w:vAlign w:val="center"/>
                </w:tcPr>
                <w:p w14:paraId="550E1C97">
                  <w:pPr>
                    <w:pStyle w:val="119"/>
                    <w:spacing w:before="0" w:line="200" w:lineRule="exact"/>
                    <w:ind w:left="0" w:leftChars="0"/>
                    <w:jc w:val="center"/>
                    <w:rPr>
                      <w:color w:val="auto"/>
                      <w:spacing w:val="0"/>
                      <w:sz w:val="18"/>
                      <w:szCs w:val="18"/>
                      <w:highlight w:val="none"/>
                    </w:rPr>
                  </w:pPr>
                  <w:r>
                    <w:rPr>
                      <w:color w:val="auto"/>
                      <w:spacing w:val="0"/>
                      <w:position w:val="0"/>
                      <w:sz w:val="18"/>
                      <w:szCs w:val="18"/>
                      <w:highlight w:val="none"/>
                    </w:rPr>
                    <w:t>闪点</w:t>
                  </w:r>
                  <w:r>
                    <w:rPr>
                      <w:rFonts w:hint="default" w:eastAsia="Times New Roman"/>
                      <w:color w:val="auto"/>
                      <w:spacing w:val="0"/>
                      <w:position w:val="0"/>
                      <w:sz w:val="18"/>
                      <w:szCs w:val="18"/>
                      <w:highlight w:val="none"/>
                      <w:lang w:eastAsia="zh-CN"/>
                    </w:rPr>
                    <w:t>（</w:t>
                  </w:r>
                  <w:r>
                    <w:rPr>
                      <w:color w:val="auto"/>
                      <w:spacing w:val="0"/>
                      <w:position w:val="0"/>
                      <w:sz w:val="18"/>
                      <w:szCs w:val="18"/>
                      <w:highlight w:val="none"/>
                    </w:rPr>
                    <w:t>℃</w:t>
                  </w:r>
                  <w:r>
                    <w:rPr>
                      <w:rFonts w:hint="default" w:eastAsia="Times New Roman"/>
                      <w:color w:val="auto"/>
                      <w:spacing w:val="0"/>
                      <w:position w:val="0"/>
                      <w:sz w:val="18"/>
                      <w:szCs w:val="18"/>
                      <w:highlight w:val="none"/>
                      <w:lang w:eastAsia="zh-CN"/>
                    </w:rPr>
                    <w:t>）</w:t>
                  </w:r>
                </w:p>
              </w:tc>
              <w:tc>
                <w:tcPr>
                  <w:tcW w:w="1033" w:type="pct"/>
                  <w:gridSpan w:val="3"/>
                  <w:vAlign w:val="center"/>
                </w:tcPr>
                <w:p w14:paraId="70754DA2">
                  <w:pPr>
                    <w:pStyle w:val="119"/>
                    <w:spacing w:before="0" w:line="200" w:lineRule="exact"/>
                    <w:ind w:left="0"/>
                    <w:jc w:val="center"/>
                    <w:rPr>
                      <w:color w:val="auto"/>
                      <w:spacing w:val="0"/>
                      <w:sz w:val="18"/>
                      <w:szCs w:val="18"/>
                      <w:highlight w:val="none"/>
                    </w:rPr>
                  </w:pPr>
                  <w:r>
                    <w:rPr>
                      <w:rFonts w:ascii="Times New Roman" w:hAnsi="Times New Roman" w:eastAsia="Times New Roman" w:cs="Times New Roman"/>
                      <w:color w:val="auto"/>
                      <w:spacing w:val="0"/>
                      <w:position w:val="0"/>
                      <w:sz w:val="18"/>
                      <w:szCs w:val="18"/>
                      <w:highlight w:val="none"/>
                    </w:rPr>
                    <w:t>/</w:t>
                  </w:r>
                </w:p>
              </w:tc>
              <w:tc>
                <w:tcPr>
                  <w:tcW w:w="1496" w:type="pct"/>
                  <w:gridSpan w:val="3"/>
                  <w:vAlign w:val="center"/>
                </w:tcPr>
                <w:p w14:paraId="46137178">
                  <w:pPr>
                    <w:pStyle w:val="119"/>
                    <w:spacing w:before="0" w:line="200" w:lineRule="exact"/>
                    <w:ind w:left="0" w:leftChars="0"/>
                    <w:jc w:val="center"/>
                    <w:rPr>
                      <w:color w:val="auto"/>
                      <w:highlight w:val="none"/>
                    </w:rPr>
                  </w:pPr>
                  <w:r>
                    <w:rPr>
                      <w:color w:val="auto"/>
                      <w:spacing w:val="0"/>
                      <w:position w:val="0"/>
                      <w:sz w:val="18"/>
                      <w:szCs w:val="18"/>
                      <w:highlight w:val="none"/>
                    </w:rPr>
                    <w:t>爆炸上限（</w:t>
                  </w:r>
                  <w:r>
                    <w:rPr>
                      <w:rFonts w:ascii="Times New Roman" w:hAnsi="Times New Roman" w:eastAsia="Times New Roman" w:cs="Times New Roman"/>
                      <w:color w:val="auto"/>
                      <w:spacing w:val="0"/>
                      <w:position w:val="0"/>
                      <w:sz w:val="18"/>
                      <w:szCs w:val="18"/>
                      <w:highlight w:val="none"/>
                    </w:rPr>
                    <w:t>v%</w:t>
                  </w:r>
                  <w:r>
                    <w:rPr>
                      <w:color w:val="auto"/>
                      <w:spacing w:val="0"/>
                      <w:position w:val="0"/>
                      <w:sz w:val="18"/>
                      <w:szCs w:val="18"/>
                      <w:highlight w:val="none"/>
                    </w:rPr>
                    <w:t>）</w:t>
                  </w:r>
                </w:p>
              </w:tc>
              <w:tc>
                <w:tcPr>
                  <w:tcW w:w="1568" w:type="pct"/>
                  <w:gridSpan w:val="3"/>
                  <w:vAlign w:val="center"/>
                </w:tcPr>
                <w:p w14:paraId="7874CE38">
                  <w:pPr>
                    <w:pStyle w:val="119"/>
                    <w:spacing w:before="0" w:line="200" w:lineRule="exact"/>
                    <w:ind w:left="0"/>
                    <w:jc w:val="center"/>
                    <w:rPr>
                      <w:color w:val="auto"/>
                      <w:highlight w:val="none"/>
                    </w:rPr>
                  </w:pPr>
                  <w:r>
                    <w:rPr>
                      <w:rFonts w:ascii="Times New Roman" w:hAnsi="Times New Roman" w:eastAsia="Times New Roman" w:cs="Times New Roman"/>
                      <w:color w:val="auto"/>
                      <w:spacing w:val="0"/>
                      <w:position w:val="0"/>
                      <w:sz w:val="18"/>
                      <w:szCs w:val="18"/>
                      <w:highlight w:val="none"/>
                    </w:rPr>
                    <w:t>/</w:t>
                  </w:r>
                </w:p>
              </w:tc>
            </w:tr>
            <w:tr w14:paraId="3205D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bottom w:val="nil"/>
                  </w:tcBorders>
                  <w:textDirection w:val="tbRlV"/>
                  <w:vAlign w:val="center"/>
                </w:tcPr>
                <w:p w14:paraId="395CA735">
                  <w:pPr>
                    <w:pStyle w:val="119"/>
                    <w:spacing w:line="200" w:lineRule="exact"/>
                    <w:jc w:val="center"/>
                    <w:rPr>
                      <w:rFonts w:ascii="Times New Roman"/>
                      <w:color w:val="auto"/>
                      <w:sz w:val="18"/>
                      <w:highlight w:val="none"/>
                    </w:rPr>
                  </w:pPr>
                </w:p>
              </w:tc>
              <w:tc>
                <w:tcPr>
                  <w:tcW w:w="657" w:type="pct"/>
                  <w:vAlign w:val="center"/>
                </w:tcPr>
                <w:p w14:paraId="5BA7ABC1">
                  <w:pPr>
                    <w:pStyle w:val="119"/>
                    <w:spacing w:before="0" w:line="200" w:lineRule="exact"/>
                    <w:ind w:left="0" w:leftChars="0" w:right="0" w:rightChars="0" w:firstLine="0" w:firstLineChars="0"/>
                    <w:jc w:val="center"/>
                    <w:rPr>
                      <w:color w:val="auto"/>
                      <w:spacing w:val="0"/>
                      <w:sz w:val="18"/>
                      <w:szCs w:val="18"/>
                      <w:highlight w:val="none"/>
                    </w:rPr>
                  </w:pPr>
                  <w:r>
                    <w:rPr>
                      <w:color w:val="auto"/>
                      <w:spacing w:val="0"/>
                      <w:sz w:val="18"/>
                      <w:szCs w:val="18"/>
                      <w:highlight w:val="none"/>
                    </w:rPr>
                    <w:t>引燃温度</w:t>
                  </w:r>
                  <w:r>
                    <w:rPr>
                      <w:rFonts w:hint="default" w:eastAsia="Times New Roman"/>
                      <w:color w:val="auto"/>
                      <w:spacing w:val="0"/>
                      <w:sz w:val="18"/>
                      <w:szCs w:val="18"/>
                      <w:highlight w:val="none"/>
                      <w:lang w:eastAsia="zh-CN"/>
                    </w:rPr>
                    <w:t>（</w:t>
                  </w:r>
                  <w:r>
                    <w:rPr>
                      <w:color w:val="auto"/>
                      <w:spacing w:val="0"/>
                      <w:sz w:val="18"/>
                      <w:szCs w:val="18"/>
                      <w:highlight w:val="none"/>
                    </w:rPr>
                    <w:t>℃</w:t>
                  </w:r>
                  <w:r>
                    <w:rPr>
                      <w:rFonts w:hint="default" w:eastAsia="Times New Roman"/>
                      <w:color w:val="auto"/>
                      <w:spacing w:val="0"/>
                      <w:sz w:val="18"/>
                      <w:szCs w:val="18"/>
                      <w:highlight w:val="none"/>
                      <w:lang w:eastAsia="zh-CN"/>
                    </w:rPr>
                    <w:t>）</w:t>
                  </w:r>
                </w:p>
              </w:tc>
              <w:tc>
                <w:tcPr>
                  <w:tcW w:w="1033" w:type="pct"/>
                  <w:gridSpan w:val="3"/>
                  <w:vAlign w:val="center"/>
                </w:tcPr>
                <w:p w14:paraId="073DDFF3">
                  <w:pPr>
                    <w:pStyle w:val="119"/>
                    <w:spacing w:before="0" w:line="200" w:lineRule="exact"/>
                    <w:ind w:left="0"/>
                    <w:jc w:val="center"/>
                    <w:rPr>
                      <w:color w:val="auto"/>
                      <w:spacing w:val="0"/>
                      <w:sz w:val="18"/>
                      <w:szCs w:val="18"/>
                      <w:highlight w:val="none"/>
                    </w:rPr>
                  </w:pPr>
                  <w:r>
                    <w:rPr>
                      <w:rFonts w:ascii="Times New Roman" w:hAnsi="Times New Roman" w:eastAsia="Times New Roman" w:cs="Times New Roman"/>
                      <w:color w:val="auto"/>
                      <w:spacing w:val="0"/>
                      <w:position w:val="0"/>
                      <w:sz w:val="18"/>
                      <w:szCs w:val="18"/>
                      <w:highlight w:val="none"/>
                    </w:rPr>
                    <w:t>/</w:t>
                  </w:r>
                </w:p>
              </w:tc>
              <w:tc>
                <w:tcPr>
                  <w:tcW w:w="1496" w:type="pct"/>
                  <w:gridSpan w:val="3"/>
                  <w:vAlign w:val="center"/>
                </w:tcPr>
                <w:p w14:paraId="09107A76">
                  <w:pPr>
                    <w:pStyle w:val="119"/>
                    <w:spacing w:before="0" w:line="200" w:lineRule="exact"/>
                    <w:ind w:left="0" w:leftChars="0"/>
                    <w:jc w:val="center"/>
                    <w:rPr>
                      <w:color w:val="auto"/>
                      <w:highlight w:val="none"/>
                    </w:rPr>
                  </w:pPr>
                  <w:r>
                    <w:rPr>
                      <w:color w:val="auto"/>
                      <w:spacing w:val="0"/>
                      <w:position w:val="0"/>
                      <w:sz w:val="18"/>
                      <w:szCs w:val="18"/>
                      <w:highlight w:val="none"/>
                    </w:rPr>
                    <w:t>爆炸下限（</w:t>
                  </w:r>
                  <w:r>
                    <w:rPr>
                      <w:rFonts w:ascii="Times New Roman" w:hAnsi="Times New Roman" w:eastAsia="Times New Roman" w:cs="Times New Roman"/>
                      <w:color w:val="auto"/>
                      <w:spacing w:val="0"/>
                      <w:position w:val="0"/>
                      <w:sz w:val="18"/>
                      <w:szCs w:val="18"/>
                      <w:highlight w:val="none"/>
                    </w:rPr>
                    <w:t>v%</w:t>
                  </w:r>
                  <w:r>
                    <w:rPr>
                      <w:color w:val="auto"/>
                      <w:spacing w:val="0"/>
                      <w:position w:val="0"/>
                      <w:sz w:val="18"/>
                      <w:szCs w:val="18"/>
                      <w:highlight w:val="none"/>
                    </w:rPr>
                    <w:t>）</w:t>
                  </w:r>
                </w:p>
              </w:tc>
              <w:tc>
                <w:tcPr>
                  <w:tcW w:w="1568" w:type="pct"/>
                  <w:gridSpan w:val="3"/>
                  <w:vAlign w:val="center"/>
                </w:tcPr>
                <w:p w14:paraId="638F3340">
                  <w:pPr>
                    <w:pStyle w:val="119"/>
                    <w:spacing w:before="0" w:line="200" w:lineRule="exact"/>
                    <w:ind w:left="0"/>
                    <w:jc w:val="center"/>
                    <w:rPr>
                      <w:color w:val="auto"/>
                      <w:highlight w:val="none"/>
                    </w:rPr>
                  </w:pPr>
                  <w:r>
                    <w:rPr>
                      <w:rFonts w:ascii="Times New Roman" w:hAnsi="Times New Roman" w:eastAsia="Times New Roman" w:cs="Times New Roman"/>
                      <w:color w:val="auto"/>
                      <w:spacing w:val="0"/>
                      <w:position w:val="0"/>
                      <w:sz w:val="18"/>
                      <w:szCs w:val="18"/>
                      <w:highlight w:val="none"/>
                    </w:rPr>
                    <w:t>/</w:t>
                  </w:r>
                </w:p>
              </w:tc>
            </w:tr>
            <w:tr w14:paraId="2EC65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bottom w:val="nil"/>
                  </w:tcBorders>
                  <w:textDirection w:val="tbRlV"/>
                  <w:vAlign w:val="center"/>
                </w:tcPr>
                <w:p w14:paraId="374A074F">
                  <w:pPr>
                    <w:pStyle w:val="119"/>
                    <w:spacing w:line="200" w:lineRule="exact"/>
                    <w:jc w:val="center"/>
                    <w:rPr>
                      <w:rFonts w:ascii="Times New Roman"/>
                      <w:color w:val="auto"/>
                      <w:sz w:val="18"/>
                      <w:highlight w:val="none"/>
                    </w:rPr>
                  </w:pPr>
                </w:p>
              </w:tc>
              <w:tc>
                <w:tcPr>
                  <w:tcW w:w="657" w:type="pct"/>
                  <w:vAlign w:val="center"/>
                </w:tcPr>
                <w:p w14:paraId="0647D9FC">
                  <w:pPr>
                    <w:pStyle w:val="119"/>
                    <w:spacing w:before="0" w:line="200" w:lineRule="exact"/>
                    <w:ind w:left="0" w:leftChars="0"/>
                    <w:jc w:val="center"/>
                    <w:rPr>
                      <w:color w:val="auto"/>
                      <w:spacing w:val="0"/>
                      <w:sz w:val="18"/>
                      <w:szCs w:val="18"/>
                      <w:highlight w:val="none"/>
                    </w:rPr>
                  </w:pPr>
                  <w:r>
                    <w:rPr>
                      <w:color w:val="auto"/>
                      <w:spacing w:val="0"/>
                      <w:sz w:val="18"/>
                      <w:szCs w:val="18"/>
                      <w:highlight w:val="none"/>
                    </w:rPr>
                    <w:t>危险特性</w:t>
                  </w:r>
                </w:p>
              </w:tc>
              <w:tc>
                <w:tcPr>
                  <w:tcW w:w="4097" w:type="pct"/>
                  <w:gridSpan w:val="9"/>
                  <w:vAlign w:val="center"/>
                </w:tcPr>
                <w:p w14:paraId="616AB185">
                  <w:pPr>
                    <w:pStyle w:val="119"/>
                    <w:spacing w:before="0" w:line="200" w:lineRule="exact"/>
                    <w:ind w:left="0" w:leftChars="0" w:right="0" w:rightChars="0" w:firstLine="0" w:firstLineChars="0"/>
                    <w:jc w:val="both"/>
                    <w:rPr>
                      <w:color w:val="auto"/>
                      <w:spacing w:val="0"/>
                      <w:sz w:val="18"/>
                      <w:szCs w:val="18"/>
                      <w:highlight w:val="none"/>
                    </w:rPr>
                  </w:pPr>
                  <w:r>
                    <w:rPr>
                      <w:color w:val="auto"/>
                      <w:spacing w:val="0"/>
                      <w:sz w:val="18"/>
                      <w:szCs w:val="18"/>
                      <w:highlight w:val="none"/>
                    </w:rPr>
                    <w:t>强氧化剂。能与多种物质如金属粉末、电石、硫化氢、松节油等猛烈反应，甚至发生爆炸。与还原剂、可燃物如糖、纤维素、木屑、棉花、稻草或废纱头等接触，引起燃烧并散发出剧毒的棕色烟雾。具有强腐蚀性。</w:t>
                  </w:r>
                </w:p>
              </w:tc>
            </w:tr>
            <w:tr w14:paraId="0EE7A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bottom w:val="nil"/>
                  </w:tcBorders>
                  <w:textDirection w:val="tbRlV"/>
                  <w:vAlign w:val="center"/>
                </w:tcPr>
                <w:p w14:paraId="64BB86AA">
                  <w:pPr>
                    <w:pStyle w:val="119"/>
                    <w:spacing w:line="200" w:lineRule="exact"/>
                    <w:jc w:val="center"/>
                    <w:rPr>
                      <w:rFonts w:ascii="Times New Roman"/>
                      <w:color w:val="auto"/>
                      <w:sz w:val="18"/>
                      <w:highlight w:val="none"/>
                    </w:rPr>
                  </w:pPr>
                </w:p>
              </w:tc>
              <w:tc>
                <w:tcPr>
                  <w:tcW w:w="657" w:type="pct"/>
                  <w:vAlign w:val="center"/>
                </w:tcPr>
                <w:p w14:paraId="718442EB">
                  <w:pPr>
                    <w:pStyle w:val="119"/>
                    <w:spacing w:before="0" w:line="200" w:lineRule="exact"/>
                    <w:ind w:left="0" w:leftChars="0" w:right="0" w:rightChars="0" w:firstLine="0" w:firstLineChars="0"/>
                    <w:jc w:val="center"/>
                    <w:rPr>
                      <w:color w:val="auto"/>
                      <w:spacing w:val="0"/>
                      <w:sz w:val="18"/>
                      <w:szCs w:val="18"/>
                      <w:highlight w:val="none"/>
                    </w:rPr>
                  </w:pPr>
                  <w:r>
                    <w:rPr>
                      <w:color w:val="auto"/>
                      <w:spacing w:val="0"/>
                      <w:sz w:val="18"/>
                      <w:szCs w:val="18"/>
                      <w:highlight w:val="none"/>
                    </w:rPr>
                    <w:t>建规火险分</w:t>
                  </w:r>
                  <w:r>
                    <w:rPr>
                      <w:color w:val="auto"/>
                      <w:sz w:val="18"/>
                      <w:szCs w:val="18"/>
                      <w:highlight w:val="none"/>
                    </w:rPr>
                    <w:t>级</w:t>
                  </w:r>
                </w:p>
              </w:tc>
              <w:tc>
                <w:tcPr>
                  <w:tcW w:w="1033" w:type="pct"/>
                  <w:gridSpan w:val="3"/>
                  <w:vAlign w:val="center"/>
                </w:tcPr>
                <w:p w14:paraId="364753EF">
                  <w:pPr>
                    <w:pStyle w:val="119"/>
                    <w:spacing w:before="0" w:line="200" w:lineRule="exact"/>
                    <w:ind w:left="0" w:leftChars="0"/>
                    <w:jc w:val="center"/>
                    <w:rPr>
                      <w:color w:val="auto"/>
                      <w:spacing w:val="0"/>
                      <w:sz w:val="18"/>
                      <w:szCs w:val="18"/>
                      <w:highlight w:val="none"/>
                    </w:rPr>
                  </w:pPr>
                  <w:r>
                    <w:rPr>
                      <w:color w:val="auto"/>
                      <w:position w:val="0"/>
                      <w:sz w:val="18"/>
                      <w:szCs w:val="18"/>
                      <w:highlight w:val="none"/>
                    </w:rPr>
                    <w:t>乙</w:t>
                  </w:r>
                </w:p>
              </w:tc>
              <w:tc>
                <w:tcPr>
                  <w:tcW w:w="784" w:type="pct"/>
                  <w:vAlign w:val="center"/>
                </w:tcPr>
                <w:p w14:paraId="5C19DFC1">
                  <w:pPr>
                    <w:pStyle w:val="119"/>
                    <w:spacing w:before="0" w:line="200" w:lineRule="exact"/>
                    <w:ind w:left="0" w:leftChars="0"/>
                    <w:jc w:val="center"/>
                    <w:rPr>
                      <w:color w:val="auto"/>
                      <w:highlight w:val="none"/>
                    </w:rPr>
                  </w:pPr>
                  <w:r>
                    <w:rPr>
                      <w:color w:val="auto"/>
                      <w:spacing w:val="0"/>
                      <w:sz w:val="18"/>
                      <w:szCs w:val="18"/>
                      <w:highlight w:val="none"/>
                    </w:rPr>
                    <w:t>稳定性</w:t>
                  </w:r>
                </w:p>
              </w:tc>
              <w:tc>
                <w:tcPr>
                  <w:tcW w:w="711" w:type="pct"/>
                  <w:gridSpan w:val="2"/>
                  <w:vAlign w:val="center"/>
                </w:tcPr>
                <w:p w14:paraId="6EA7D5D8">
                  <w:pPr>
                    <w:pStyle w:val="119"/>
                    <w:spacing w:before="0" w:line="200" w:lineRule="exact"/>
                    <w:ind w:left="0" w:leftChars="0"/>
                    <w:jc w:val="center"/>
                    <w:rPr>
                      <w:color w:val="auto"/>
                      <w:highlight w:val="none"/>
                    </w:rPr>
                  </w:pPr>
                  <w:r>
                    <w:rPr>
                      <w:color w:val="auto"/>
                      <w:spacing w:val="0"/>
                      <w:sz w:val="18"/>
                      <w:szCs w:val="18"/>
                      <w:highlight w:val="none"/>
                    </w:rPr>
                    <w:t>稳定</w:t>
                  </w:r>
                </w:p>
              </w:tc>
              <w:tc>
                <w:tcPr>
                  <w:tcW w:w="806" w:type="pct"/>
                  <w:vAlign w:val="center"/>
                </w:tcPr>
                <w:p w14:paraId="4515B318">
                  <w:pPr>
                    <w:pStyle w:val="119"/>
                    <w:spacing w:before="0" w:line="200" w:lineRule="exact"/>
                    <w:ind w:left="0" w:leftChars="0"/>
                    <w:jc w:val="center"/>
                    <w:rPr>
                      <w:color w:val="auto"/>
                      <w:highlight w:val="none"/>
                    </w:rPr>
                  </w:pPr>
                  <w:r>
                    <w:rPr>
                      <w:color w:val="auto"/>
                      <w:spacing w:val="0"/>
                      <w:sz w:val="18"/>
                      <w:szCs w:val="18"/>
                      <w:highlight w:val="none"/>
                    </w:rPr>
                    <w:t>聚合危害</w:t>
                  </w:r>
                </w:p>
              </w:tc>
              <w:tc>
                <w:tcPr>
                  <w:tcW w:w="761" w:type="pct"/>
                  <w:gridSpan w:val="2"/>
                  <w:vAlign w:val="center"/>
                </w:tcPr>
                <w:p w14:paraId="2E8B729D">
                  <w:pPr>
                    <w:pStyle w:val="119"/>
                    <w:spacing w:before="0" w:line="200" w:lineRule="exact"/>
                    <w:ind w:left="0" w:leftChars="0"/>
                    <w:jc w:val="center"/>
                    <w:rPr>
                      <w:color w:val="auto"/>
                      <w:highlight w:val="none"/>
                    </w:rPr>
                  </w:pPr>
                  <w:r>
                    <w:rPr>
                      <w:color w:val="auto"/>
                      <w:spacing w:val="0"/>
                      <w:sz w:val="18"/>
                      <w:szCs w:val="18"/>
                      <w:highlight w:val="none"/>
                    </w:rPr>
                    <w:t>不聚合</w:t>
                  </w:r>
                </w:p>
              </w:tc>
            </w:tr>
            <w:tr w14:paraId="7322C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bottom w:val="nil"/>
                  </w:tcBorders>
                  <w:textDirection w:val="tbRlV"/>
                  <w:vAlign w:val="center"/>
                </w:tcPr>
                <w:p w14:paraId="1B71BC06">
                  <w:pPr>
                    <w:pStyle w:val="119"/>
                    <w:spacing w:line="200" w:lineRule="exact"/>
                    <w:jc w:val="center"/>
                    <w:rPr>
                      <w:rFonts w:ascii="Times New Roman"/>
                      <w:color w:val="auto"/>
                      <w:sz w:val="18"/>
                      <w:highlight w:val="none"/>
                    </w:rPr>
                  </w:pPr>
                </w:p>
              </w:tc>
              <w:tc>
                <w:tcPr>
                  <w:tcW w:w="657" w:type="pct"/>
                  <w:vAlign w:val="center"/>
                </w:tcPr>
                <w:p w14:paraId="4135153D">
                  <w:pPr>
                    <w:pStyle w:val="119"/>
                    <w:spacing w:before="0" w:line="200" w:lineRule="exact"/>
                    <w:ind w:left="0" w:leftChars="0"/>
                    <w:jc w:val="center"/>
                    <w:rPr>
                      <w:color w:val="auto"/>
                      <w:spacing w:val="0"/>
                      <w:sz w:val="18"/>
                      <w:szCs w:val="18"/>
                      <w:highlight w:val="none"/>
                    </w:rPr>
                  </w:pPr>
                  <w:r>
                    <w:rPr>
                      <w:color w:val="auto"/>
                      <w:spacing w:val="0"/>
                      <w:sz w:val="18"/>
                      <w:szCs w:val="18"/>
                      <w:highlight w:val="none"/>
                    </w:rPr>
                    <w:t>禁忌物</w:t>
                  </w:r>
                </w:p>
              </w:tc>
              <w:tc>
                <w:tcPr>
                  <w:tcW w:w="4097" w:type="pct"/>
                  <w:gridSpan w:val="9"/>
                  <w:vAlign w:val="center"/>
                </w:tcPr>
                <w:p w14:paraId="32266B2F">
                  <w:pPr>
                    <w:pStyle w:val="119"/>
                    <w:spacing w:before="0" w:line="200" w:lineRule="exact"/>
                    <w:ind w:left="0" w:leftChars="0"/>
                    <w:jc w:val="center"/>
                    <w:rPr>
                      <w:color w:val="auto"/>
                      <w:spacing w:val="0"/>
                      <w:sz w:val="18"/>
                      <w:szCs w:val="18"/>
                      <w:highlight w:val="none"/>
                    </w:rPr>
                  </w:pPr>
                  <w:r>
                    <w:rPr>
                      <w:color w:val="auto"/>
                      <w:spacing w:val="0"/>
                      <w:sz w:val="18"/>
                      <w:szCs w:val="18"/>
                      <w:highlight w:val="none"/>
                    </w:rPr>
                    <w:t>还原剂、碱类、醇类、碱金属、铜、胺类。</w:t>
                  </w:r>
                </w:p>
              </w:tc>
            </w:tr>
            <w:tr w14:paraId="73BB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bottom w:val="nil"/>
                  </w:tcBorders>
                  <w:textDirection w:val="tbRlV"/>
                  <w:vAlign w:val="center"/>
                </w:tcPr>
                <w:p w14:paraId="07E6CF37">
                  <w:pPr>
                    <w:pStyle w:val="119"/>
                    <w:spacing w:line="200" w:lineRule="exact"/>
                    <w:jc w:val="center"/>
                    <w:rPr>
                      <w:rFonts w:ascii="Times New Roman"/>
                      <w:color w:val="auto"/>
                      <w:sz w:val="18"/>
                      <w:highlight w:val="none"/>
                    </w:rPr>
                  </w:pPr>
                </w:p>
              </w:tc>
              <w:tc>
                <w:tcPr>
                  <w:tcW w:w="657" w:type="pct"/>
                  <w:vAlign w:val="center"/>
                </w:tcPr>
                <w:p w14:paraId="78878053">
                  <w:pPr>
                    <w:pStyle w:val="119"/>
                    <w:spacing w:before="0" w:line="200" w:lineRule="exact"/>
                    <w:ind w:left="0" w:leftChars="0" w:right="0" w:rightChars="0" w:firstLine="0" w:firstLineChars="0"/>
                    <w:jc w:val="center"/>
                    <w:rPr>
                      <w:color w:val="auto"/>
                      <w:spacing w:val="0"/>
                      <w:sz w:val="18"/>
                      <w:szCs w:val="18"/>
                      <w:highlight w:val="none"/>
                    </w:rPr>
                  </w:pPr>
                  <w:r>
                    <w:rPr>
                      <w:color w:val="auto"/>
                      <w:spacing w:val="0"/>
                      <w:sz w:val="18"/>
                      <w:szCs w:val="18"/>
                      <w:highlight w:val="none"/>
                    </w:rPr>
                    <w:t>储运条件与泄漏处理</w:t>
                  </w:r>
                </w:p>
              </w:tc>
              <w:tc>
                <w:tcPr>
                  <w:tcW w:w="4097" w:type="pct"/>
                  <w:gridSpan w:val="9"/>
                  <w:vAlign w:val="center"/>
                </w:tcPr>
                <w:p w14:paraId="67577E05">
                  <w:pPr>
                    <w:pStyle w:val="119"/>
                    <w:spacing w:before="0" w:line="200" w:lineRule="exact"/>
                    <w:ind w:left="0" w:leftChars="0" w:right="0" w:rightChars="0"/>
                    <w:jc w:val="both"/>
                    <w:rPr>
                      <w:color w:val="auto"/>
                      <w:spacing w:val="0"/>
                      <w:sz w:val="18"/>
                      <w:szCs w:val="18"/>
                      <w:highlight w:val="none"/>
                    </w:rPr>
                  </w:pPr>
                  <w:r>
                    <w:rPr>
                      <w:b w:val="0"/>
                      <w:bCs w:val="0"/>
                      <w:color w:val="auto"/>
                      <w:spacing w:val="0"/>
                      <w:sz w:val="18"/>
                      <w:szCs w:val="18"/>
                      <w:highlight w:val="none"/>
                    </w:rPr>
                    <w:t>储运条件</w:t>
                  </w:r>
                  <w:r>
                    <w:rPr>
                      <w:color w:val="auto"/>
                      <w:spacing w:val="0"/>
                      <w:sz w:val="18"/>
                      <w:szCs w:val="18"/>
                      <w:highlight w:val="none"/>
                    </w:rPr>
                    <w:t>：储存于阴凉、干燥、通风处。应与易燃、可燃物，碱类、金属粉末等分开存放。不可混储混运。搬运时要轻装轻卸，防止包装及容器损坏。分装和搬运作业要注意个人防护。运输按规定路线行驶，勿在居民区和人口稠密区停留。</w:t>
                  </w:r>
                  <w:r>
                    <w:rPr>
                      <w:b w:val="0"/>
                      <w:bCs w:val="0"/>
                      <w:color w:val="auto"/>
                      <w:spacing w:val="0"/>
                      <w:sz w:val="18"/>
                      <w:szCs w:val="18"/>
                      <w:highlight w:val="none"/>
                    </w:rPr>
                    <w:t>泄漏处理</w:t>
                  </w:r>
                  <w:r>
                    <w:rPr>
                      <w:color w:val="auto"/>
                      <w:spacing w:val="0"/>
                      <w:sz w:val="18"/>
                      <w:szCs w:val="18"/>
                      <w:highlight w:val="none"/>
                    </w:rPr>
                    <w:t>：迅速撤离泄漏污染区人员至安全区，并进行隔离，严格限制出入。建议应急处理人员戴自给正压式呼吸器，穿防酸碱工作服。从上风处进入现场。尽可能切断泄漏源。防止流入下水道、排洪沟等限制性空间。不要直接接触泄漏物，勿使泄漏物与可燃物质</w:t>
                  </w:r>
                  <w:r>
                    <w:rPr>
                      <w:rFonts w:hint="default" w:eastAsia="Times New Roman"/>
                      <w:color w:val="auto"/>
                      <w:spacing w:val="0"/>
                      <w:sz w:val="18"/>
                      <w:szCs w:val="18"/>
                      <w:highlight w:val="none"/>
                      <w:lang w:eastAsia="zh-CN"/>
                    </w:rPr>
                    <w:t>（</w:t>
                  </w:r>
                  <w:r>
                    <w:rPr>
                      <w:color w:val="auto"/>
                      <w:spacing w:val="0"/>
                      <w:sz w:val="18"/>
                      <w:szCs w:val="18"/>
                      <w:highlight w:val="none"/>
                    </w:rPr>
                    <w:t>木材、纸、油等</w:t>
                  </w:r>
                  <w:r>
                    <w:rPr>
                      <w:rFonts w:hint="default" w:eastAsia="Times New Roman"/>
                      <w:color w:val="auto"/>
                      <w:spacing w:val="0"/>
                      <w:sz w:val="18"/>
                      <w:szCs w:val="18"/>
                      <w:highlight w:val="none"/>
                      <w:lang w:eastAsia="zh-CN"/>
                    </w:rPr>
                    <w:t>）</w:t>
                  </w:r>
                  <w:r>
                    <w:rPr>
                      <w:color w:val="auto"/>
                      <w:spacing w:val="0"/>
                      <w:sz w:val="18"/>
                      <w:szCs w:val="18"/>
                      <w:highlight w:val="none"/>
                    </w:rPr>
                    <w:t>接触，在确保安全情况下堵漏。喷水雾能减少蒸发但不要使水进入储存容器内。小量泄漏：将地面洒上苏打灰，然后用大量水冲洗，洗水稀释后放入废水系统。大量泄漏：构筑围堤或挖坑收容。喷雾状水冷却和稀释蒸汽、保护现场人员、把泄漏物稀释成不燃物。用泵转移至槽车或专用收集器内，回收或运至废物处理场所处置。</w:t>
                  </w:r>
                </w:p>
              </w:tc>
            </w:tr>
            <w:tr w14:paraId="3B731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45" w:type="pct"/>
                  <w:vMerge w:val="continue"/>
                  <w:tcBorders>
                    <w:top w:val="nil"/>
                    <w:bottom w:val="single" w:color="000000" w:sz="2" w:space="0"/>
                  </w:tcBorders>
                  <w:textDirection w:val="tbRlV"/>
                  <w:vAlign w:val="center"/>
                </w:tcPr>
                <w:p w14:paraId="171A43E8">
                  <w:pPr>
                    <w:pStyle w:val="119"/>
                    <w:spacing w:line="200" w:lineRule="exact"/>
                    <w:jc w:val="center"/>
                    <w:rPr>
                      <w:rFonts w:ascii="Times New Roman"/>
                      <w:color w:val="auto"/>
                      <w:sz w:val="18"/>
                      <w:highlight w:val="none"/>
                    </w:rPr>
                  </w:pPr>
                </w:p>
              </w:tc>
              <w:tc>
                <w:tcPr>
                  <w:tcW w:w="657" w:type="pct"/>
                  <w:tcBorders>
                    <w:bottom w:val="single" w:color="000000" w:sz="2" w:space="0"/>
                  </w:tcBorders>
                  <w:vAlign w:val="center"/>
                </w:tcPr>
                <w:p w14:paraId="2CFB1938">
                  <w:pPr>
                    <w:pStyle w:val="119"/>
                    <w:spacing w:before="0" w:line="200" w:lineRule="exact"/>
                    <w:ind w:left="0" w:leftChars="0"/>
                    <w:jc w:val="center"/>
                    <w:rPr>
                      <w:color w:val="auto"/>
                      <w:spacing w:val="0"/>
                      <w:sz w:val="18"/>
                      <w:szCs w:val="18"/>
                      <w:highlight w:val="none"/>
                    </w:rPr>
                  </w:pPr>
                  <w:r>
                    <w:rPr>
                      <w:color w:val="auto"/>
                      <w:spacing w:val="0"/>
                      <w:sz w:val="18"/>
                      <w:szCs w:val="18"/>
                      <w:highlight w:val="none"/>
                    </w:rPr>
                    <w:t>灭火方法</w:t>
                  </w:r>
                </w:p>
              </w:tc>
              <w:tc>
                <w:tcPr>
                  <w:tcW w:w="4097" w:type="pct"/>
                  <w:gridSpan w:val="9"/>
                  <w:tcBorders>
                    <w:bottom w:val="single" w:color="000000" w:sz="2" w:space="0"/>
                  </w:tcBorders>
                  <w:vAlign w:val="center"/>
                </w:tcPr>
                <w:p w14:paraId="028173A4">
                  <w:pPr>
                    <w:pStyle w:val="119"/>
                    <w:spacing w:before="0" w:line="200" w:lineRule="exact"/>
                    <w:ind w:left="0" w:leftChars="0"/>
                    <w:jc w:val="both"/>
                    <w:rPr>
                      <w:color w:val="auto"/>
                      <w:spacing w:val="0"/>
                      <w:sz w:val="18"/>
                      <w:szCs w:val="18"/>
                      <w:highlight w:val="none"/>
                    </w:rPr>
                  </w:pPr>
                  <w:r>
                    <w:rPr>
                      <w:color w:val="auto"/>
                      <w:spacing w:val="0"/>
                      <w:sz w:val="18"/>
                      <w:szCs w:val="18"/>
                      <w:highlight w:val="none"/>
                    </w:rPr>
                    <w:t>用二氧化碳、砂土、雾状水、火场周围可用的灭火介质灭火。</w:t>
                  </w:r>
                </w:p>
              </w:tc>
            </w:tr>
          </w:tbl>
          <w:p w14:paraId="21746E01">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（2）危险物质数量与临界量的比值（Q）</w:t>
            </w:r>
          </w:p>
          <w:p w14:paraId="16DCE55A">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项目生产、使用、储存过程中涉及有毒有害物质，根据附录B中危险物质临界量，确定建设项目Q值。</w:t>
            </w:r>
          </w:p>
          <w:p w14:paraId="28B78A6F">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当只涉及一种危险物质时，计算该物质的总量与其临界量比值，即为Q；</w:t>
            </w:r>
          </w:p>
          <w:p w14:paraId="65739B65">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当存在多种危险物质时，则按式（C.1）计算物质总量与其临界量比值（Q）：</w:t>
            </w:r>
          </w:p>
          <w:p w14:paraId="2CD5E2B2">
            <w:pPr>
              <w:adjustRightInd w:val="0"/>
              <w:snapToGrid w:val="0"/>
              <w:spacing w:line="360" w:lineRule="auto"/>
              <w:jc w:val="center"/>
              <w:rPr>
                <w:rFonts w:hint="default"/>
                <w:b/>
                <w:bCs/>
                <w:color w:val="auto"/>
                <w:spacing w:val="-2"/>
                <w:highlight w:val="none"/>
              </w:rPr>
            </w:pPr>
            <w:r>
              <w:rPr>
                <w:color w:val="auto"/>
                <w:position w:val="-20"/>
                <w:highlight w:val="none"/>
              </w:rPr>
              <w:drawing>
                <wp:inline distT="0" distB="0" distL="0" distR="0">
                  <wp:extent cx="1694180" cy="405130"/>
                  <wp:effectExtent l="0" t="0" r="1270" b="13970"/>
                  <wp:docPr id="42" name="IM 36"/>
                  <wp:cNvGraphicFramePr/>
                  <a:graphic xmlns:a="http://schemas.openxmlformats.org/drawingml/2006/main">
                    <a:graphicData uri="http://schemas.openxmlformats.org/drawingml/2006/picture">
                      <pic:pic xmlns:pic="http://schemas.openxmlformats.org/drawingml/2006/picture">
                        <pic:nvPicPr>
                          <pic:cNvPr id="42" name="IM 36"/>
                          <pic:cNvPicPr/>
                        </pic:nvPicPr>
                        <pic:blipFill>
                          <a:blip r:embed="rId30"/>
                          <a:stretch>
                            <a:fillRect/>
                          </a:stretch>
                        </pic:blipFill>
                        <pic:spPr>
                          <a:xfrm>
                            <a:off x="0" y="0"/>
                            <a:ext cx="1694180" cy="405130"/>
                          </a:xfrm>
                          <a:prstGeom prst="rect">
                            <a:avLst/>
                          </a:prstGeom>
                        </pic:spPr>
                      </pic:pic>
                    </a:graphicData>
                  </a:graphic>
                </wp:inline>
              </w:drawing>
            </w:r>
          </w:p>
          <w:bookmarkEnd w:id="30"/>
          <w:p w14:paraId="51351DB6">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式中：q1，q2，...，qn——每种危险物质的最大存在总量，t；</w:t>
            </w:r>
          </w:p>
          <w:p w14:paraId="476DBE91">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Q1，Q2，...，Qn——每种危险物质的临界量，t。</w:t>
            </w:r>
          </w:p>
          <w:p w14:paraId="40532915">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当Q＜1时，该项目环境风险潜势为Ⅰ。</w:t>
            </w:r>
          </w:p>
          <w:p w14:paraId="39498AB6">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当Q≥1时，将Q值划分为：（1）1≤Q＜10；（2）10≤Q＜100；（3）Q≥100。本项目危险物质数量与临界量的比值情况见下表。</w:t>
            </w:r>
          </w:p>
          <w:p w14:paraId="5EF2A131">
            <w:pPr>
              <w:adjustRightInd w:val="0"/>
              <w:snapToGrid w:val="0"/>
              <w:ind w:firstLineChars="200"/>
              <w:jc w:val="center"/>
              <w:rPr>
                <w:rFonts w:hint="default" w:ascii="Times New Roman" w:hAnsi="Times New Roman" w:cs="Times New Roman"/>
                <w:b/>
                <w:bCs/>
                <w:color w:val="auto"/>
                <w:spacing w:val="-2"/>
                <w:highlight w:val="none"/>
              </w:rPr>
            </w:pPr>
            <w:r>
              <w:rPr>
                <w:rFonts w:ascii="Times New Roman" w:hAnsi="Times New Roman" w:cs="Times New Roman"/>
                <w:b/>
                <w:bCs/>
                <w:color w:val="auto"/>
                <w:spacing w:val="-2"/>
                <w:highlight w:val="none"/>
              </w:rPr>
              <w:t>表</w:t>
            </w:r>
            <w:r>
              <w:rPr>
                <w:rFonts w:ascii="Times New Roman" w:hAnsi="Times New Roman" w:eastAsia="宋体" w:cs="Times New Roman"/>
                <w:b/>
                <w:bCs/>
                <w:color w:val="auto"/>
                <w:spacing w:val="-2"/>
                <w:highlight w:val="none"/>
              </w:rPr>
              <w:t>4-</w:t>
            </w:r>
            <w:r>
              <w:rPr>
                <w:rFonts w:hint="eastAsia" w:cs="Times New Roman"/>
                <w:b/>
                <w:bCs/>
                <w:color w:val="auto"/>
                <w:spacing w:val="-2"/>
                <w:highlight w:val="none"/>
                <w:lang w:val="en-US" w:eastAsia="zh-CN"/>
              </w:rPr>
              <w:t>22</w:t>
            </w:r>
            <w:r>
              <w:rPr>
                <w:rFonts w:hint="default" w:ascii="Times New Roman" w:hAnsi="Times New Roman" w:cs="Times New Roman"/>
                <w:b/>
                <w:bCs/>
                <w:color w:val="auto"/>
                <w:spacing w:val="-2"/>
                <w:highlight w:val="none"/>
                <w:lang w:val="en-US" w:eastAsia="zh-CN"/>
              </w:rPr>
              <w:t xml:space="preserve">     </w:t>
            </w:r>
            <w:r>
              <w:rPr>
                <w:rFonts w:ascii="Times New Roman" w:hAnsi="Times New Roman" w:cs="Times New Roman"/>
                <w:b/>
                <w:bCs/>
                <w:color w:val="auto"/>
                <w:spacing w:val="-2"/>
                <w:highlight w:val="none"/>
              </w:rPr>
              <w:t>硝酸的理化性质及危险特性</w:t>
            </w:r>
          </w:p>
          <w:tbl>
            <w:tblPr>
              <w:tblStyle w:val="118"/>
              <w:tblW w:w="4997" w:type="pct"/>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676"/>
              <w:gridCol w:w="2145"/>
              <w:gridCol w:w="1321"/>
              <w:gridCol w:w="1695"/>
              <w:gridCol w:w="1859"/>
              <w:gridCol w:w="1399"/>
            </w:tblGrid>
            <w:tr w14:paraId="0BDA3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372" w:type="pct"/>
                  <w:tcBorders>
                    <w:top w:val="single" w:color="000000" w:sz="12" w:space="0"/>
                    <w:left w:val="single" w:color="000000" w:sz="12" w:space="0"/>
                    <w:bottom w:val="single" w:color="000000" w:sz="4" w:space="0"/>
                    <w:right w:val="single" w:color="000000" w:sz="4" w:space="0"/>
                    <w:tl2br w:val="nil"/>
                  </w:tcBorders>
                  <w:shd w:val="clear" w:color="auto" w:fill="auto"/>
                  <w:vAlign w:val="center"/>
                </w:tcPr>
                <w:p w14:paraId="2CE985DC">
                  <w:pPr>
                    <w:pStyle w:val="119"/>
                    <w:spacing w:before="0" w:line="240" w:lineRule="exact"/>
                    <w:ind w:left="0"/>
                    <w:jc w:val="center"/>
                    <w:rPr>
                      <w:color w:val="000000"/>
                      <w:sz w:val="18"/>
                      <w:szCs w:val="18"/>
                      <w:highlight w:val="none"/>
                    </w:rPr>
                  </w:pPr>
                  <w:r>
                    <w:rPr>
                      <w:color w:val="000000"/>
                      <w:spacing w:val="0"/>
                      <w:sz w:val="18"/>
                      <w:szCs w:val="18"/>
                      <w:highlight w:val="none"/>
                    </w:rPr>
                    <w:t>序号</w:t>
                  </w:r>
                </w:p>
              </w:tc>
              <w:tc>
                <w:tcPr>
                  <w:tcW w:w="1179"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22E342EF">
                  <w:pPr>
                    <w:pStyle w:val="119"/>
                    <w:spacing w:before="0" w:line="240" w:lineRule="exact"/>
                    <w:ind w:left="0"/>
                    <w:jc w:val="center"/>
                    <w:rPr>
                      <w:color w:val="000000"/>
                      <w:sz w:val="18"/>
                      <w:szCs w:val="18"/>
                      <w:highlight w:val="none"/>
                    </w:rPr>
                  </w:pPr>
                  <w:r>
                    <w:rPr>
                      <w:color w:val="000000"/>
                      <w:spacing w:val="0"/>
                      <w:sz w:val="18"/>
                      <w:szCs w:val="18"/>
                      <w:highlight w:val="none"/>
                    </w:rPr>
                    <w:t>危险物质名称</w:t>
                  </w:r>
                </w:p>
              </w:tc>
              <w:tc>
                <w:tcPr>
                  <w:tcW w:w="726"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125F411F">
                  <w:pPr>
                    <w:pStyle w:val="119"/>
                    <w:spacing w:before="0" w:line="240" w:lineRule="exact"/>
                    <w:ind w:left="0"/>
                    <w:jc w:val="center"/>
                    <w:rPr>
                      <w:color w:val="000000"/>
                      <w:sz w:val="18"/>
                      <w:szCs w:val="18"/>
                      <w:highlight w:val="none"/>
                    </w:rPr>
                  </w:pPr>
                  <w:r>
                    <w:rPr>
                      <w:color w:val="000000"/>
                      <w:spacing w:val="0"/>
                      <w:sz w:val="18"/>
                      <w:szCs w:val="18"/>
                      <w:highlight w:val="none"/>
                    </w:rPr>
                    <w:t>储存方式</w:t>
                  </w:r>
                </w:p>
              </w:tc>
              <w:tc>
                <w:tcPr>
                  <w:tcW w:w="932"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72557670">
                  <w:pPr>
                    <w:pStyle w:val="119"/>
                    <w:spacing w:before="0" w:line="240" w:lineRule="exact"/>
                    <w:ind w:right="0"/>
                    <w:jc w:val="center"/>
                    <w:rPr>
                      <w:color w:val="000000"/>
                      <w:sz w:val="18"/>
                      <w:szCs w:val="18"/>
                      <w:highlight w:val="none"/>
                    </w:rPr>
                  </w:pPr>
                  <w:r>
                    <w:rPr>
                      <w:color w:val="000000"/>
                      <w:spacing w:val="0"/>
                      <w:sz w:val="18"/>
                      <w:szCs w:val="18"/>
                      <w:highlight w:val="none"/>
                    </w:rPr>
                    <w:t>最大储存量（</w:t>
                  </w:r>
                  <w:r>
                    <w:rPr>
                      <w:rFonts w:ascii="Times New Roman" w:hAnsi="Times New Roman" w:eastAsia="Times New Roman" w:cs="Times New Roman"/>
                      <w:color w:val="000000"/>
                      <w:spacing w:val="0"/>
                      <w:sz w:val="18"/>
                      <w:szCs w:val="18"/>
                      <w:highlight w:val="none"/>
                    </w:rPr>
                    <w:t>t</w:t>
                  </w:r>
                  <w:r>
                    <w:rPr>
                      <w:color w:val="000000"/>
                      <w:spacing w:val="0"/>
                      <w:sz w:val="18"/>
                      <w:szCs w:val="18"/>
                      <w:highlight w:val="none"/>
                    </w:rPr>
                    <w:t>）</w:t>
                  </w:r>
                </w:p>
              </w:tc>
              <w:tc>
                <w:tcPr>
                  <w:tcW w:w="1022"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1237B2A1">
                  <w:pPr>
                    <w:pStyle w:val="119"/>
                    <w:spacing w:before="0" w:line="240" w:lineRule="exact"/>
                    <w:ind w:left="0"/>
                    <w:jc w:val="center"/>
                    <w:rPr>
                      <w:color w:val="000000"/>
                      <w:sz w:val="18"/>
                      <w:szCs w:val="18"/>
                      <w:highlight w:val="none"/>
                    </w:rPr>
                  </w:pPr>
                  <w:r>
                    <w:rPr>
                      <w:color w:val="000000"/>
                      <w:spacing w:val="0"/>
                      <w:sz w:val="18"/>
                      <w:szCs w:val="18"/>
                      <w:highlight w:val="none"/>
                    </w:rPr>
                    <w:t>临界量（</w:t>
                  </w:r>
                  <w:r>
                    <w:rPr>
                      <w:rFonts w:ascii="Times New Roman" w:hAnsi="Times New Roman" w:eastAsia="Times New Roman" w:cs="Times New Roman"/>
                      <w:color w:val="000000"/>
                      <w:spacing w:val="0"/>
                      <w:sz w:val="18"/>
                      <w:szCs w:val="18"/>
                      <w:highlight w:val="none"/>
                    </w:rPr>
                    <w:t>t</w:t>
                  </w:r>
                  <w:r>
                    <w:rPr>
                      <w:color w:val="000000"/>
                      <w:spacing w:val="0"/>
                      <w:sz w:val="18"/>
                      <w:szCs w:val="18"/>
                      <w:highlight w:val="none"/>
                    </w:rPr>
                    <w:t>）</w:t>
                  </w:r>
                </w:p>
              </w:tc>
              <w:tc>
                <w:tcPr>
                  <w:tcW w:w="767"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491CB3C1">
                  <w:pPr>
                    <w:spacing w:before="0" w:line="240" w:lineRule="exact"/>
                    <w:ind w:left="0"/>
                    <w:jc w:val="center"/>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sz w:val="18"/>
                      <w:szCs w:val="18"/>
                      <w:highlight w:val="none"/>
                    </w:rPr>
                    <w:t>Q</w:t>
                  </w:r>
                </w:p>
              </w:tc>
            </w:tr>
            <w:tr w14:paraId="7E83F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372"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784ED6A5">
                  <w:pPr>
                    <w:spacing w:before="0" w:line="240" w:lineRule="exact"/>
                    <w:ind w:left="0"/>
                    <w:jc w:val="center"/>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position w:val="1"/>
                      <w:sz w:val="18"/>
                      <w:szCs w:val="18"/>
                      <w:highlight w:val="none"/>
                    </w:rPr>
                    <w:t>1</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F9907">
                  <w:pPr>
                    <w:pStyle w:val="119"/>
                    <w:spacing w:before="0" w:line="240" w:lineRule="exact"/>
                    <w:ind w:left="0"/>
                    <w:jc w:val="center"/>
                    <w:rPr>
                      <w:color w:val="000000"/>
                      <w:sz w:val="18"/>
                      <w:szCs w:val="18"/>
                      <w:highlight w:val="none"/>
                    </w:rPr>
                  </w:pPr>
                  <w:r>
                    <w:rPr>
                      <w:color w:val="000000"/>
                      <w:spacing w:val="0"/>
                      <w:sz w:val="18"/>
                      <w:szCs w:val="18"/>
                      <w:highlight w:val="none"/>
                    </w:rPr>
                    <w:t>硝酸</w:t>
                  </w: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2D42B">
                  <w:pPr>
                    <w:pStyle w:val="119"/>
                    <w:spacing w:before="0" w:line="240" w:lineRule="exact"/>
                    <w:ind w:left="0"/>
                    <w:jc w:val="center"/>
                    <w:rPr>
                      <w:color w:val="000000"/>
                      <w:sz w:val="18"/>
                      <w:szCs w:val="18"/>
                      <w:highlight w:val="none"/>
                    </w:rPr>
                  </w:pPr>
                  <w:r>
                    <w:rPr>
                      <w:color w:val="000000"/>
                      <w:spacing w:val="0"/>
                      <w:sz w:val="18"/>
                      <w:szCs w:val="18"/>
                      <w:highlight w:val="none"/>
                    </w:rPr>
                    <w:t>袋装</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2E0A4">
                  <w:pPr>
                    <w:spacing w:before="0" w:line="240" w:lineRule="exact"/>
                    <w:ind w:left="0"/>
                    <w:jc w:val="center"/>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spacing w:val="0"/>
                      <w:position w:val="2"/>
                      <w:sz w:val="18"/>
                      <w:szCs w:val="18"/>
                      <w:highlight w:val="none"/>
                    </w:rPr>
                    <w:t>0.09</w:t>
                  </w:r>
                </w:p>
              </w:tc>
              <w:tc>
                <w:tcPr>
                  <w:tcW w:w="10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4191E">
                  <w:pPr>
                    <w:spacing w:before="0" w:line="240" w:lineRule="exact"/>
                    <w:ind w:left="0"/>
                    <w:jc w:val="center"/>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spacing w:val="0"/>
                      <w:sz w:val="18"/>
                      <w:szCs w:val="18"/>
                      <w:highlight w:val="none"/>
                    </w:rPr>
                    <w:t>7.5</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55231">
                  <w:pPr>
                    <w:spacing w:before="0" w:line="240" w:lineRule="exact"/>
                    <w:ind w:left="0"/>
                    <w:jc w:val="center"/>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spacing w:val="0"/>
                      <w:position w:val="2"/>
                      <w:sz w:val="18"/>
                      <w:szCs w:val="18"/>
                      <w:highlight w:val="none"/>
                    </w:rPr>
                    <w:t>0.012</w:t>
                  </w:r>
                </w:p>
              </w:tc>
            </w:tr>
            <w:tr w14:paraId="192AA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trPr>
              <w:tc>
                <w:tcPr>
                  <w:tcW w:w="372"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0B6D959D">
                  <w:pPr>
                    <w:spacing w:before="0" w:line="240" w:lineRule="exact"/>
                    <w:ind w:left="0"/>
                    <w:jc w:val="center"/>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position w:val="1"/>
                      <w:sz w:val="18"/>
                      <w:szCs w:val="18"/>
                      <w:highlight w:val="none"/>
                    </w:rPr>
                    <w:t>2</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3AB76">
                  <w:pPr>
                    <w:pStyle w:val="119"/>
                    <w:spacing w:before="0" w:line="240" w:lineRule="exact"/>
                    <w:ind w:left="0"/>
                    <w:jc w:val="center"/>
                    <w:rPr>
                      <w:color w:val="000000"/>
                      <w:sz w:val="18"/>
                      <w:szCs w:val="18"/>
                      <w:highlight w:val="none"/>
                    </w:rPr>
                  </w:pPr>
                  <w:r>
                    <w:rPr>
                      <w:color w:val="000000"/>
                      <w:spacing w:val="0"/>
                      <w:sz w:val="18"/>
                      <w:szCs w:val="18"/>
                      <w:highlight w:val="none"/>
                    </w:rPr>
                    <w:t>天然气（甲烷）</w:t>
                  </w: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FCA76">
                  <w:pPr>
                    <w:pStyle w:val="119"/>
                    <w:spacing w:before="0" w:line="240" w:lineRule="exact"/>
                    <w:ind w:left="0"/>
                    <w:jc w:val="center"/>
                    <w:rPr>
                      <w:color w:val="000000"/>
                      <w:sz w:val="18"/>
                      <w:szCs w:val="18"/>
                      <w:highlight w:val="none"/>
                    </w:rPr>
                  </w:pPr>
                  <w:r>
                    <w:rPr>
                      <w:color w:val="000000"/>
                      <w:spacing w:val="0"/>
                      <w:sz w:val="18"/>
                      <w:szCs w:val="18"/>
                      <w:highlight w:val="none"/>
                    </w:rPr>
                    <w:t>管道</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15D7D">
                  <w:pPr>
                    <w:spacing w:before="0" w:line="240" w:lineRule="exact"/>
                    <w:ind w:left="0"/>
                    <w:jc w:val="center"/>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spacing w:val="0"/>
                      <w:position w:val="2"/>
                      <w:sz w:val="18"/>
                      <w:szCs w:val="18"/>
                      <w:highlight w:val="none"/>
                    </w:rPr>
                    <w:t>0.1</w:t>
                  </w:r>
                </w:p>
              </w:tc>
              <w:tc>
                <w:tcPr>
                  <w:tcW w:w="10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D3800">
                  <w:pPr>
                    <w:spacing w:before="0" w:line="240" w:lineRule="exact"/>
                    <w:ind w:left="0"/>
                    <w:jc w:val="center"/>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spacing w:val="0"/>
                      <w:position w:val="2"/>
                      <w:sz w:val="18"/>
                      <w:szCs w:val="18"/>
                      <w:highlight w:val="none"/>
                    </w:rPr>
                    <w:t>10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6C332">
                  <w:pPr>
                    <w:spacing w:before="0" w:line="240" w:lineRule="exact"/>
                    <w:ind w:left="0"/>
                    <w:jc w:val="center"/>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spacing w:val="0"/>
                      <w:position w:val="2"/>
                      <w:sz w:val="18"/>
                      <w:szCs w:val="18"/>
                      <w:highlight w:val="none"/>
                    </w:rPr>
                    <w:t>0.01</w:t>
                  </w:r>
                </w:p>
              </w:tc>
            </w:tr>
            <w:tr w14:paraId="5D9C9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72" w:type="pct"/>
                  <w:tcBorders>
                    <w:top w:val="single" w:color="000000" w:sz="4" w:space="0"/>
                    <w:left w:val="single" w:color="000000" w:sz="12" w:space="0"/>
                    <w:bottom w:val="single" w:color="000000" w:sz="4" w:space="0"/>
                    <w:right w:val="single" w:color="000000" w:sz="4" w:space="0"/>
                  </w:tcBorders>
                  <w:shd w:val="clear" w:color="auto" w:fill="auto"/>
                  <w:vAlign w:val="center"/>
                </w:tcPr>
                <w:p w14:paraId="50A829B2">
                  <w:pPr>
                    <w:spacing w:before="0" w:line="240" w:lineRule="exact"/>
                    <w:ind w:left="0"/>
                    <w:jc w:val="center"/>
                    <w:rPr>
                      <w:rFonts w:ascii="Times New Roman" w:hAnsi="Times New Roman" w:eastAsia="Times New Roman" w:cs="Times New Roman"/>
                      <w:color w:val="000000"/>
                      <w:sz w:val="18"/>
                      <w:szCs w:val="18"/>
                      <w:highlight w:val="none"/>
                    </w:rPr>
                  </w:pPr>
                  <w:r>
                    <w:rPr>
                      <w:rFonts w:ascii="Times New Roman" w:hAnsi="Times New Roman" w:eastAsia="Times New Roman" w:cs="Times New Roman"/>
                      <w:color w:val="000000"/>
                      <w:position w:val="2"/>
                      <w:sz w:val="18"/>
                      <w:szCs w:val="18"/>
                      <w:highlight w:val="none"/>
                    </w:rPr>
                    <w:t>3</w:t>
                  </w:r>
                </w:p>
              </w:tc>
              <w:tc>
                <w:tcPr>
                  <w:tcW w:w="1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B92CC">
                  <w:pPr>
                    <w:pStyle w:val="119"/>
                    <w:spacing w:before="0" w:line="240" w:lineRule="exact"/>
                    <w:ind w:left="0"/>
                    <w:jc w:val="center"/>
                    <w:rPr>
                      <w:rFonts w:hint="default" w:eastAsia="宋体"/>
                      <w:color w:val="000000"/>
                      <w:sz w:val="18"/>
                      <w:szCs w:val="18"/>
                      <w:highlight w:val="none"/>
                      <w:lang w:eastAsia="zh-CN"/>
                    </w:rPr>
                  </w:pPr>
                  <w:r>
                    <w:rPr>
                      <w:rFonts w:hint="default" w:ascii="Times New Roman" w:hAnsi="Times New Roman" w:eastAsia="宋体" w:cs="Times New Roman"/>
                      <w:color w:val="000000"/>
                      <w:spacing w:val="0"/>
                      <w:position w:val="1"/>
                      <w:sz w:val="18"/>
                      <w:szCs w:val="18"/>
                      <w:highlight w:val="none"/>
                      <w:lang w:val="en-US" w:eastAsia="zh-CN"/>
                    </w:rPr>
                    <w:t>氢氧化钠</w:t>
                  </w: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9660A">
                  <w:pPr>
                    <w:pStyle w:val="119"/>
                    <w:spacing w:before="0" w:line="240" w:lineRule="exact"/>
                    <w:ind w:left="0"/>
                    <w:jc w:val="center"/>
                    <w:rPr>
                      <w:color w:val="000000"/>
                      <w:sz w:val="18"/>
                      <w:szCs w:val="18"/>
                      <w:highlight w:val="none"/>
                    </w:rPr>
                  </w:pPr>
                  <w:r>
                    <w:rPr>
                      <w:color w:val="000000"/>
                      <w:spacing w:val="0"/>
                      <w:sz w:val="18"/>
                      <w:szCs w:val="18"/>
                      <w:highlight w:val="none"/>
                    </w:rPr>
                    <w:t>桶装</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5EC6F">
                  <w:pPr>
                    <w:spacing w:before="0" w:line="240" w:lineRule="exact"/>
                    <w:ind w:left="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pacing w:val="0"/>
                      <w:position w:val="2"/>
                      <w:sz w:val="18"/>
                      <w:szCs w:val="18"/>
                      <w:highlight w:val="none"/>
                      <w:lang w:val="en-US" w:eastAsia="zh-CN"/>
                    </w:rPr>
                    <w:t>1.5</w:t>
                  </w:r>
                </w:p>
              </w:tc>
              <w:tc>
                <w:tcPr>
                  <w:tcW w:w="10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D5D60">
                  <w:pPr>
                    <w:spacing w:before="0" w:line="240" w:lineRule="exact"/>
                    <w:ind w:left="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pacing w:val="0"/>
                      <w:position w:val="2"/>
                      <w:sz w:val="18"/>
                      <w:szCs w:val="18"/>
                      <w:highlight w:val="none"/>
                      <w:lang w:val="en-US" w:eastAsia="zh-CN"/>
                    </w:rPr>
                    <w:t>10</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19BD8">
                  <w:pPr>
                    <w:spacing w:before="0" w:line="240" w:lineRule="exact"/>
                    <w:ind w:left="0"/>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spacing w:val="0"/>
                      <w:position w:val="2"/>
                      <w:sz w:val="18"/>
                      <w:szCs w:val="18"/>
                      <w:highlight w:val="none"/>
                      <w:lang w:val="en-US" w:eastAsia="zh-CN"/>
                    </w:rPr>
                    <w:t>0.15</w:t>
                  </w:r>
                </w:p>
              </w:tc>
            </w:tr>
            <w:tr w14:paraId="7ED32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6"/>
                  <w:tcBorders>
                    <w:top w:val="single" w:color="000000" w:sz="4" w:space="0"/>
                    <w:left w:val="single" w:color="000000" w:sz="12" w:space="0"/>
                    <w:bottom w:val="single" w:color="000000" w:sz="12" w:space="0"/>
                    <w:right w:val="single" w:color="000000" w:sz="4" w:space="0"/>
                  </w:tcBorders>
                  <w:shd w:val="clear" w:color="auto" w:fill="auto"/>
                  <w:vAlign w:val="center"/>
                </w:tcPr>
                <w:p w14:paraId="03B1ED38">
                  <w:pPr>
                    <w:pStyle w:val="119"/>
                    <w:spacing w:before="0" w:line="240" w:lineRule="exact"/>
                    <w:ind w:left="0"/>
                    <w:jc w:val="both"/>
                    <w:rPr>
                      <w:rFonts w:ascii="Times New Roman" w:hAnsi="Times New Roman" w:eastAsia="Times New Roman" w:cs="Times New Roman"/>
                      <w:color w:val="000000"/>
                      <w:sz w:val="18"/>
                      <w:szCs w:val="18"/>
                      <w:highlight w:val="none"/>
                    </w:rPr>
                  </w:pPr>
                  <w:r>
                    <w:rPr>
                      <w:color w:val="000000"/>
                      <w:spacing w:val="0"/>
                      <w:sz w:val="18"/>
                      <w:szCs w:val="18"/>
                      <w:highlight w:val="none"/>
                    </w:rPr>
                    <w:t>加和项</w:t>
                  </w:r>
                  <w:r>
                    <w:rPr>
                      <w:rFonts w:ascii="Times New Roman" w:hAnsi="Times New Roman" w:eastAsia="Times New Roman" w:cs="Times New Roman"/>
                      <w:color w:val="000000"/>
                      <w:spacing w:val="0"/>
                      <w:sz w:val="18"/>
                      <w:szCs w:val="18"/>
                      <w:highlight w:val="none"/>
                    </w:rPr>
                    <w:t>q1/Q1+q2/Q2+</w:t>
                  </w:r>
                  <w:r>
                    <w:rPr>
                      <w:rFonts w:ascii="Times New Roman" w:hAnsi="Times New Roman" w:eastAsia="Times New Roman" w:cs="Times New Roman"/>
                      <w:color w:val="000000"/>
                      <w:sz w:val="18"/>
                      <w:szCs w:val="18"/>
                      <w:highlight w:val="none"/>
                    </w:rPr>
                    <w:t>qn</w:t>
                  </w:r>
                  <w:r>
                    <w:rPr>
                      <w:rFonts w:ascii="Times New Roman" w:hAnsi="Times New Roman" w:eastAsia="Times New Roman" w:cs="Times New Roman"/>
                      <w:color w:val="000000"/>
                      <w:spacing w:val="0"/>
                      <w:sz w:val="18"/>
                      <w:szCs w:val="18"/>
                      <w:highlight w:val="none"/>
                    </w:rPr>
                    <w:t>/</w:t>
                  </w:r>
                  <w:r>
                    <w:rPr>
                      <w:rFonts w:ascii="Times New Roman" w:hAnsi="Times New Roman" w:eastAsia="Times New Roman" w:cs="Times New Roman"/>
                      <w:color w:val="000000"/>
                      <w:sz w:val="18"/>
                      <w:szCs w:val="18"/>
                      <w:highlight w:val="none"/>
                    </w:rPr>
                    <w:t>Qn</w:t>
                  </w:r>
                  <w:r>
                    <w:rPr>
                      <w:rFonts w:ascii="Times New Roman" w:hAnsi="Times New Roman" w:eastAsia="Times New Roman" w:cs="Times New Roman"/>
                      <w:color w:val="000000"/>
                      <w:spacing w:val="0"/>
                      <w:sz w:val="18"/>
                      <w:szCs w:val="18"/>
                      <w:highlight w:val="none"/>
                    </w:rPr>
                    <w:t>=0.</w:t>
                  </w:r>
                  <w:r>
                    <w:rPr>
                      <w:rFonts w:hint="default" w:ascii="Times New Roman" w:hAnsi="Times New Roman" w:eastAsia="宋体" w:cs="Times New Roman"/>
                      <w:color w:val="000000"/>
                      <w:spacing w:val="0"/>
                      <w:sz w:val="18"/>
                      <w:szCs w:val="18"/>
                      <w:highlight w:val="none"/>
                      <w:lang w:val="en-US" w:eastAsia="zh-CN"/>
                    </w:rPr>
                    <w:t>172</w:t>
                  </w:r>
                  <w:r>
                    <w:rPr>
                      <w:color w:val="000000"/>
                      <w:spacing w:val="0"/>
                      <w:sz w:val="18"/>
                      <w:szCs w:val="18"/>
                      <w:highlight w:val="none"/>
                    </w:rPr>
                    <w:t>＜</w:t>
                  </w:r>
                  <w:r>
                    <w:rPr>
                      <w:rFonts w:ascii="Times New Roman" w:hAnsi="Times New Roman" w:eastAsia="Times New Roman" w:cs="Times New Roman"/>
                      <w:color w:val="000000"/>
                      <w:spacing w:val="0"/>
                      <w:sz w:val="18"/>
                      <w:szCs w:val="18"/>
                      <w:highlight w:val="none"/>
                    </w:rPr>
                    <w:t>1</w:t>
                  </w:r>
                </w:p>
              </w:tc>
            </w:tr>
          </w:tbl>
          <w:p w14:paraId="70FEDF09">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本项目Q=0.</w:t>
            </w:r>
            <w:r>
              <w:rPr>
                <w:rFonts w:hint="default" w:ascii="Times New Roman" w:hAnsi="Times New Roman" w:cs="Times New Roman"/>
                <w:color w:val="auto"/>
                <w:highlight w:val="none"/>
                <w:lang w:val="en-US" w:eastAsia="zh-CN"/>
              </w:rPr>
              <w:t>172</w:t>
            </w:r>
            <w:r>
              <w:rPr>
                <w:rFonts w:hint="default" w:ascii="Times New Roman" w:hAnsi="Times New Roman" w:cs="Times New Roman"/>
                <w:color w:val="auto"/>
                <w:highlight w:val="none"/>
              </w:rPr>
              <w:t>＜1，项目环境风险潜势为Ⅰ。</w:t>
            </w:r>
          </w:p>
          <w:p w14:paraId="2DB3CC75">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（3）生产设施风险调查</w:t>
            </w:r>
          </w:p>
          <w:p w14:paraId="0054BC3B">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生产设施识别主要为环保设施故障造成污染物排放超标、生产加工过程中由于电器起火或其他原因引发火灾以及事故状态下造成废水漫流，对周围环境造成影响。</w:t>
            </w:r>
          </w:p>
          <w:p w14:paraId="11A388BA">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（4）转移途径识别</w:t>
            </w:r>
          </w:p>
          <w:p w14:paraId="21EDC8DE">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向环境转移途径为超标排放的大气污染物、火灾产生的CO等产物进入到大气中，对局部大气环境造成污染</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以及液体物料、废水泄漏或消防废水造成漫流、下渗，影响土壤和地下水环境。</w:t>
            </w:r>
          </w:p>
          <w:p w14:paraId="478808B6">
            <w:pPr>
              <w:pStyle w:val="13"/>
              <w:adjustRightInd w:val="0"/>
              <w:snapToGrid w:val="0"/>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2.可能的影响途径</w:t>
            </w:r>
          </w:p>
          <w:p w14:paraId="66B12758">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大气：本项目可能对大气环境造成影响为因电气线路老化、管理不善，引发火灾，燃烧废气影响大气环境。火灾除产生热辐射损伤人员及设备外，还会造成大气中伴生/次生污染物等有毒有害气体超标，气体云团通过大气自身的净化作用被稀释、扩散。包括平流扩散、湍流扩散和清除机制，对于密度高于空气的</w:t>
            </w:r>
            <w:r>
              <w:rPr>
                <w:rFonts w:hint="default" w:ascii="Times New Roman" w:hAnsi="Times New Roman" w:cs="Times New Roman"/>
                <w:color w:val="auto"/>
                <w:highlight w:val="none"/>
                <w:lang w:eastAsia="zh-CN"/>
              </w:rPr>
              <w:t>云团</w:t>
            </w:r>
            <w:r>
              <w:rPr>
                <w:rFonts w:hint="default" w:ascii="Times New Roman" w:hAnsi="Times New Roman" w:cs="Times New Roman"/>
                <w:color w:val="auto"/>
                <w:highlight w:val="none"/>
              </w:rPr>
              <w:t>。其稀释至安全浓度前，这些云团可以在较大范围内扩散，影响范围较大。</w:t>
            </w:r>
          </w:p>
          <w:p w14:paraId="7D524871">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地表水：废水进入水体环境的方式主要有两种情况，一是废水或物料泄漏直接进入水体，二是火灾时消防废水由于处理措施不当直接排入地表水系统，引起环境污染。</w:t>
            </w:r>
          </w:p>
          <w:p w14:paraId="4D8E2511">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地下水、土壤：液体物料泄漏、废水泄漏、消防废水漫流至非防渗区，会导致污染物下渗对地下水和土壤环境造成影响。</w:t>
            </w:r>
          </w:p>
          <w:p w14:paraId="6EBF2D8D">
            <w:pPr>
              <w:pStyle w:val="13"/>
              <w:adjustRightInd w:val="0"/>
              <w:snapToGrid w:val="0"/>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3.环境风险防范措施</w:t>
            </w:r>
          </w:p>
          <w:p w14:paraId="7AF911FB">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（1）火灾事故风险防范措施</w:t>
            </w:r>
          </w:p>
          <w:p w14:paraId="15A05E52">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①企业应当在车间内配备相应数量的灭火器，并定期对灭火器的质量进行检查，以备火灾发生时能够正常使用。采用的电气设备、电缆线路均为防爆型产品；各类储存容器及管线的材质选择、加工质量必须符合要求，强化日常维护检查。</w:t>
            </w:r>
          </w:p>
          <w:p w14:paraId="15BB37DB">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②加强员工的整体消防安全意识，除了让企业管理人员参加社会消防安全知识培训外，还要对员工进行安全教育，使其掌握防火、灭火、逃生的基础知识，提高其处理突发事件的能力。</w:t>
            </w:r>
          </w:p>
          <w:p w14:paraId="584BB00D">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③生产过程中严格按照生产操作规范进行，杜绝人为安全隐患。</w:t>
            </w:r>
          </w:p>
          <w:p w14:paraId="43F2B614">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④根据生产工艺特点，编制突发环境事件应急预案，设立厂内应急指挥小组，并和当地事故应急救援部门建立正常联系，一旦出现事故能立刻采取有效救援措施。</w:t>
            </w:r>
          </w:p>
          <w:p w14:paraId="2FB04ED6">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⑤事故发生情况下，立即疏散附近员工和群众，切断电力等供应设施，并及时组织人员控制事故规模，采取应急措施；事故规模较大时及时通知当地专业消防队伍进行救援。</w:t>
            </w:r>
          </w:p>
          <w:p w14:paraId="6E3B697A">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⑥环保设施加强维护和检修，防止环保设施故障造成废气超标排放。一旦出现事故，生产工序必须立即停产检修，确保不发生风险事件。</w:t>
            </w:r>
          </w:p>
          <w:p w14:paraId="44D73CC2">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⑦项目的总平面布置应根据生产性质、工艺要求及火灾危险性的大小等因素，预留相应的防火安全距离；建立完备的消防系统等。</w:t>
            </w:r>
          </w:p>
          <w:p w14:paraId="066DFC9E">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（2）泄漏防范措施：</w:t>
            </w:r>
          </w:p>
          <w:p w14:paraId="7A28A462">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①物料数量应该保持最小量，并与使用量和保存期限相对应</w:t>
            </w:r>
            <w:r>
              <w:rPr>
                <w:rFonts w:hint="default" w:ascii="Times New Roman" w:hAnsi="Times New Roman" w:cs="Times New Roman"/>
                <w:color w:val="auto"/>
                <w:highlight w:val="none"/>
                <w:lang w:eastAsia="zh-CN"/>
              </w:rPr>
              <w:t>，在</w:t>
            </w:r>
            <w:r>
              <w:rPr>
                <w:rFonts w:hint="default" w:ascii="Times New Roman" w:hAnsi="Times New Roman" w:cs="Times New Roman"/>
                <w:color w:val="auto"/>
                <w:highlight w:val="none"/>
              </w:rPr>
              <w:t>使用过程中进行登记并妥善保管。</w:t>
            </w:r>
          </w:p>
          <w:p w14:paraId="6D61320B">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②员</w:t>
            </w:r>
            <w:r>
              <w:rPr>
                <w:rFonts w:hint="default" w:ascii="Times New Roman" w:hAnsi="Times New Roman" w:cs="Times New Roman"/>
                <w:color w:val="auto"/>
                <w:highlight w:val="none"/>
                <w:lang w:eastAsia="zh-CN"/>
              </w:rPr>
              <w:t>工在</w:t>
            </w:r>
            <w:r>
              <w:rPr>
                <w:rFonts w:hint="default" w:ascii="Times New Roman" w:hAnsi="Times New Roman" w:cs="Times New Roman"/>
                <w:color w:val="auto"/>
                <w:highlight w:val="none"/>
              </w:rPr>
              <w:t>日常使用过程中按照要求规范操作，防止因不当处置引发的物料包装破损、泄漏等。</w:t>
            </w:r>
          </w:p>
          <w:p w14:paraId="072D833C">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③项目做好分区防渗措施，采用人工材料为基础防渗层，渗透系数分别满足相应区域的防渗要求，并定期检查，发现问题及时处理。</w:t>
            </w:r>
          </w:p>
          <w:p w14:paraId="4B4A6447">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④在各危险地点和危险设备处，设立安全标志或涂刷相应的安全色。</w:t>
            </w:r>
          </w:p>
          <w:p w14:paraId="0D9DF441">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⑤</w:t>
            </w:r>
            <w:r>
              <w:rPr>
                <w:rFonts w:hint="default" w:ascii="Times New Roman" w:hAnsi="Times New Roman" w:cs="Times New Roman"/>
                <w:color w:val="auto"/>
                <w:highlight w:val="none"/>
                <w:lang w:eastAsia="zh-CN"/>
              </w:rPr>
              <w:t>危废暂存库</w:t>
            </w:r>
            <w:r>
              <w:rPr>
                <w:rFonts w:hint="default" w:ascii="Times New Roman" w:hAnsi="Times New Roman" w:cs="Times New Roman"/>
                <w:color w:val="auto"/>
                <w:highlight w:val="none"/>
              </w:rPr>
              <w:t>外应贴有“危险废物”字样警示标识和危险废物分类标识，危险废液暂时存放应采取防渗漏、防外溢措施。</w:t>
            </w:r>
          </w:p>
          <w:p w14:paraId="7211E4B6">
            <w:pPr>
              <w:pStyle w:val="64"/>
              <w:ind w:left="0" w:leftChars="0" w:firstLine="0" w:firstLineChars="0"/>
              <w:rPr>
                <w:rFonts w:hint="default" w:ascii="Times New Roman" w:hAnsi="Times New Roman" w:cs="Times New Roman"/>
                <w:b w:val="0"/>
                <w:bCs/>
                <w:color w:val="auto"/>
                <w:highlight w:val="none"/>
              </w:rPr>
            </w:pPr>
            <w:r>
              <w:rPr>
                <w:rFonts w:hint="default" w:ascii="Times New Roman" w:hAnsi="Times New Roman" w:cs="Times New Roman"/>
                <w:b w:val="0"/>
                <w:bCs/>
                <w:color w:val="auto"/>
                <w:highlight w:val="none"/>
              </w:rPr>
              <w:t>4.分析结论</w:t>
            </w:r>
          </w:p>
          <w:p w14:paraId="0A6D2518">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建设项目环境风险评价技术导则》（HJ169-2018）中规定进行的物质危险性识别，本项目涉及危险物质天然气、清洗剂（氢氧化钠、硝酸）等。项目制定了风险防范措施，在加强职工的安全管理和完善消防设施的情况下，本项目环境风险可控。</w:t>
            </w:r>
          </w:p>
          <w:p w14:paraId="3D9B8506">
            <w:pPr>
              <w:pStyle w:val="13"/>
              <w:adjustRightInd w:val="0"/>
              <w:snapToGrid w:val="0"/>
              <w:spacing w:line="360" w:lineRule="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八、固定污染源排污许可相关要求</w:t>
            </w:r>
          </w:p>
          <w:p w14:paraId="04002132">
            <w:pPr>
              <w:pStyle w:val="13"/>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国民经济行业分类》（GB/T4754-2017）及修改单，本项目属于C1523果菜汁及果菜汁饮料制造、D4430热力生产和供应。对照《固定污染源排污许可分类管理名录（2019年版）》（生态环境部部令第11号），本项目属于“简化管理行业”。固定污染源排污许可分类依据如下表。</w:t>
            </w:r>
          </w:p>
          <w:p w14:paraId="23A7D917">
            <w:pPr>
              <w:adjustRightInd w:val="0"/>
              <w:snapToGrid w:val="0"/>
              <w:spacing w:line="360" w:lineRule="auto"/>
              <w:jc w:val="center"/>
              <w:rPr>
                <w:b/>
                <w:bCs/>
                <w:color w:val="auto"/>
                <w:spacing w:val="-2"/>
                <w:highlight w:val="none"/>
              </w:rPr>
            </w:pPr>
            <w:r>
              <w:rPr>
                <w:b/>
                <w:bCs/>
                <w:color w:val="auto"/>
                <w:spacing w:val="-2"/>
                <w:highlight w:val="none"/>
              </w:rPr>
              <w:t>表4-</w:t>
            </w:r>
            <w:r>
              <w:rPr>
                <w:rFonts w:hint="eastAsia"/>
                <w:b/>
                <w:bCs/>
                <w:color w:val="auto"/>
                <w:spacing w:val="-2"/>
                <w:highlight w:val="none"/>
                <w:lang w:val="en-US" w:eastAsia="zh-CN"/>
              </w:rPr>
              <w:t>23</w:t>
            </w:r>
            <w:r>
              <w:rPr>
                <w:rFonts w:hint="default"/>
                <w:b/>
                <w:bCs/>
                <w:color w:val="auto"/>
                <w:spacing w:val="-2"/>
                <w:highlight w:val="none"/>
                <w:lang w:val="en-US" w:eastAsia="zh-CN"/>
              </w:rPr>
              <w:t xml:space="preserve">            </w:t>
            </w:r>
            <w:r>
              <w:rPr>
                <w:b/>
                <w:bCs/>
                <w:color w:val="auto"/>
                <w:spacing w:val="-2"/>
                <w:highlight w:val="none"/>
              </w:rPr>
              <w:t>固定污染源排污许可分类依据</w:t>
            </w:r>
          </w:p>
          <w:tbl>
            <w:tblPr>
              <w:tblStyle w:val="118"/>
              <w:tblW w:w="90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1117"/>
              <w:gridCol w:w="1249"/>
              <w:gridCol w:w="704"/>
              <w:gridCol w:w="763"/>
              <w:gridCol w:w="2437"/>
              <w:gridCol w:w="2826"/>
            </w:tblGrid>
            <w:tr w14:paraId="76A55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14" w:type="pct"/>
                  <w:tcBorders>
                    <w:top w:val="single" w:color="000000" w:sz="12" w:space="0"/>
                    <w:left w:val="single" w:color="000000" w:sz="12" w:space="0"/>
                    <w:bottom w:val="single" w:color="000000" w:sz="4" w:space="0"/>
                    <w:right w:val="single" w:color="000000" w:sz="4" w:space="0"/>
                    <w:tl2br w:val="nil"/>
                  </w:tcBorders>
                  <w:shd w:val="clear" w:color="auto" w:fill="auto"/>
                  <w:vAlign w:val="center"/>
                </w:tcPr>
                <w:p w14:paraId="4FED4D9B">
                  <w:pPr>
                    <w:pStyle w:val="119"/>
                    <w:spacing w:before="0" w:line="200" w:lineRule="exact"/>
                    <w:ind w:left="0"/>
                    <w:jc w:val="center"/>
                    <w:rPr>
                      <w:color w:val="000000"/>
                      <w:spacing w:val="6"/>
                      <w:sz w:val="15"/>
                      <w:szCs w:val="15"/>
                      <w:highlight w:val="none"/>
                    </w:rPr>
                  </w:pPr>
                  <w:r>
                    <w:rPr>
                      <w:color w:val="000000"/>
                      <w:spacing w:val="6"/>
                      <w:sz w:val="15"/>
                      <w:szCs w:val="15"/>
                      <w:highlight w:val="none"/>
                    </w:rPr>
                    <w:t>排污许可依据</w:t>
                  </w:r>
                </w:p>
              </w:tc>
              <w:tc>
                <w:tcPr>
                  <w:tcW w:w="1073" w:type="pct"/>
                  <w:gridSpan w:val="2"/>
                  <w:tcBorders>
                    <w:top w:val="single" w:color="000000" w:sz="12" w:space="0"/>
                    <w:left w:val="single" w:color="000000" w:sz="4" w:space="0"/>
                    <w:bottom w:val="single" w:color="000000" w:sz="4" w:space="0"/>
                    <w:right w:val="single" w:color="000000" w:sz="4" w:space="0"/>
                  </w:tcBorders>
                  <w:shd w:val="clear" w:color="auto" w:fill="auto"/>
                  <w:vAlign w:val="center"/>
                </w:tcPr>
                <w:p w14:paraId="4DAE2244">
                  <w:pPr>
                    <w:pStyle w:val="119"/>
                    <w:spacing w:before="0" w:line="200" w:lineRule="exact"/>
                    <w:ind w:left="0"/>
                    <w:jc w:val="center"/>
                    <w:rPr>
                      <w:color w:val="000000"/>
                      <w:spacing w:val="6"/>
                      <w:sz w:val="15"/>
                      <w:szCs w:val="15"/>
                      <w:highlight w:val="none"/>
                    </w:rPr>
                  </w:pPr>
                  <w:r>
                    <w:rPr>
                      <w:color w:val="000000"/>
                      <w:spacing w:val="6"/>
                      <w:sz w:val="15"/>
                      <w:szCs w:val="15"/>
                      <w:highlight w:val="none"/>
                    </w:rPr>
                    <w:t>行业类别</w:t>
                  </w:r>
                </w:p>
              </w:tc>
              <w:tc>
                <w:tcPr>
                  <w:tcW w:w="419"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511F8A94">
                  <w:pPr>
                    <w:pStyle w:val="119"/>
                    <w:spacing w:before="0" w:line="200" w:lineRule="exact"/>
                    <w:ind w:left="0"/>
                    <w:jc w:val="center"/>
                    <w:rPr>
                      <w:color w:val="000000"/>
                      <w:spacing w:val="6"/>
                      <w:sz w:val="15"/>
                      <w:szCs w:val="15"/>
                      <w:highlight w:val="none"/>
                    </w:rPr>
                  </w:pPr>
                  <w:r>
                    <w:rPr>
                      <w:color w:val="000000"/>
                      <w:spacing w:val="6"/>
                      <w:sz w:val="15"/>
                      <w:szCs w:val="15"/>
                      <w:highlight w:val="none"/>
                    </w:rPr>
                    <w:t>重点管理</w:t>
                  </w:r>
                </w:p>
              </w:tc>
              <w:tc>
                <w:tcPr>
                  <w:tcW w:w="1339"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4648B267">
                  <w:pPr>
                    <w:pStyle w:val="119"/>
                    <w:spacing w:before="0" w:line="200" w:lineRule="exact"/>
                    <w:ind w:left="0"/>
                    <w:jc w:val="center"/>
                    <w:rPr>
                      <w:color w:val="000000"/>
                      <w:spacing w:val="6"/>
                      <w:sz w:val="15"/>
                      <w:szCs w:val="15"/>
                      <w:highlight w:val="none"/>
                    </w:rPr>
                  </w:pPr>
                  <w:r>
                    <w:rPr>
                      <w:color w:val="000000"/>
                      <w:spacing w:val="6"/>
                      <w:sz w:val="15"/>
                      <w:szCs w:val="15"/>
                      <w:highlight w:val="none"/>
                    </w:rPr>
                    <w:t>简化管理</w:t>
                  </w:r>
                </w:p>
              </w:tc>
              <w:tc>
                <w:tcPr>
                  <w:tcW w:w="1553"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5D7EF708">
                  <w:pPr>
                    <w:pStyle w:val="119"/>
                    <w:spacing w:before="0" w:line="200" w:lineRule="exact"/>
                    <w:ind w:left="0"/>
                    <w:jc w:val="center"/>
                    <w:rPr>
                      <w:color w:val="000000"/>
                      <w:spacing w:val="6"/>
                      <w:sz w:val="15"/>
                      <w:szCs w:val="15"/>
                      <w:highlight w:val="none"/>
                    </w:rPr>
                  </w:pPr>
                  <w:r>
                    <w:rPr>
                      <w:color w:val="000000"/>
                      <w:spacing w:val="6"/>
                      <w:sz w:val="15"/>
                      <w:szCs w:val="15"/>
                      <w:highlight w:val="none"/>
                    </w:rPr>
                    <w:t>登记管理</w:t>
                  </w:r>
                </w:p>
              </w:tc>
            </w:tr>
            <w:tr w14:paraId="13F76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jc w:val="center"/>
              </w:trPr>
              <w:tc>
                <w:tcPr>
                  <w:tcW w:w="614" w:type="pct"/>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14:paraId="61D831AB">
                  <w:pPr>
                    <w:pStyle w:val="119"/>
                    <w:spacing w:line="200" w:lineRule="exact"/>
                    <w:ind w:left="0" w:right="0" w:firstLine="0"/>
                    <w:jc w:val="center"/>
                    <w:rPr>
                      <w:color w:val="000000"/>
                      <w:spacing w:val="6"/>
                      <w:sz w:val="15"/>
                      <w:szCs w:val="15"/>
                      <w:highlight w:val="none"/>
                    </w:rPr>
                  </w:pPr>
                  <w:r>
                    <w:rPr>
                      <w:color w:val="000000"/>
                      <w:spacing w:val="6"/>
                      <w:sz w:val="15"/>
                      <w:szCs w:val="15"/>
                      <w:highlight w:val="none"/>
                    </w:rPr>
                    <w:t>《固定污染源排污许可分类管理名录》（</w:t>
                  </w:r>
                  <w:r>
                    <w:rPr>
                      <w:rFonts w:ascii="Times New Roman" w:hAnsi="Times New Roman" w:eastAsia="Times New Roman" w:cs="Times New Roman"/>
                      <w:color w:val="000000"/>
                      <w:spacing w:val="6"/>
                      <w:sz w:val="15"/>
                      <w:szCs w:val="15"/>
                      <w:highlight w:val="none"/>
                    </w:rPr>
                    <w:t>2019</w:t>
                  </w:r>
                  <w:r>
                    <w:rPr>
                      <w:color w:val="000000"/>
                      <w:spacing w:val="6"/>
                      <w:sz w:val="15"/>
                      <w:szCs w:val="15"/>
                      <w:highlight w:val="none"/>
                    </w:rPr>
                    <w:t>版）</w:t>
                  </w: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4DC97">
                  <w:pPr>
                    <w:pStyle w:val="119"/>
                    <w:spacing w:line="200" w:lineRule="exact"/>
                    <w:ind w:left="0"/>
                    <w:jc w:val="center"/>
                    <w:rPr>
                      <w:rFonts w:ascii="Times New Roman" w:hAnsi="Times New Roman" w:eastAsia="Times New Roman" w:cs="Times New Roman"/>
                      <w:color w:val="000000"/>
                      <w:spacing w:val="6"/>
                      <w:sz w:val="15"/>
                      <w:szCs w:val="15"/>
                      <w:highlight w:val="none"/>
                    </w:rPr>
                  </w:pPr>
                  <w:r>
                    <w:rPr>
                      <w:color w:val="000000"/>
                      <w:spacing w:val="6"/>
                      <w:sz w:val="15"/>
                      <w:szCs w:val="15"/>
                      <w:highlight w:val="none"/>
                    </w:rPr>
                    <w:t>十、酒、饮料和精制茶</w:t>
                  </w:r>
                  <w:r>
                    <w:rPr>
                      <w:color w:val="000000"/>
                      <w:spacing w:val="6"/>
                      <w:position w:val="0"/>
                      <w:sz w:val="15"/>
                      <w:szCs w:val="15"/>
                      <w:highlight w:val="none"/>
                    </w:rPr>
                    <w:t>制造业</w:t>
                  </w:r>
                  <w:r>
                    <w:rPr>
                      <w:rFonts w:ascii="Times New Roman" w:hAnsi="Times New Roman" w:eastAsia="Times New Roman" w:cs="Times New Roman"/>
                      <w:color w:val="000000"/>
                      <w:spacing w:val="6"/>
                      <w:position w:val="0"/>
                      <w:sz w:val="15"/>
                      <w:szCs w:val="15"/>
                      <w:highlight w:val="none"/>
                    </w:rPr>
                    <w:t>15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CED58">
                  <w:pPr>
                    <w:pStyle w:val="119"/>
                    <w:spacing w:before="0" w:line="200" w:lineRule="exact"/>
                    <w:ind w:left="0" w:right="0" w:firstLine="0"/>
                    <w:jc w:val="center"/>
                    <w:rPr>
                      <w:rFonts w:ascii="Times New Roman" w:hAnsi="Times New Roman" w:eastAsia="Times New Roman" w:cs="Times New Roman"/>
                      <w:color w:val="000000"/>
                      <w:spacing w:val="6"/>
                      <w:sz w:val="15"/>
                      <w:szCs w:val="15"/>
                      <w:highlight w:val="none"/>
                    </w:rPr>
                  </w:pPr>
                  <w:r>
                    <w:rPr>
                      <w:rFonts w:ascii="Times New Roman" w:hAnsi="Times New Roman" w:eastAsia="Times New Roman" w:cs="Times New Roman"/>
                      <w:color w:val="000000"/>
                      <w:spacing w:val="6"/>
                      <w:sz w:val="15"/>
                      <w:szCs w:val="15"/>
                      <w:highlight w:val="none"/>
                    </w:rPr>
                    <w:t>22</w:t>
                  </w:r>
                  <w:r>
                    <w:rPr>
                      <w:color w:val="000000"/>
                      <w:spacing w:val="6"/>
                      <w:sz w:val="15"/>
                      <w:szCs w:val="15"/>
                      <w:highlight w:val="none"/>
                    </w:rPr>
                    <w:t>饮料制造</w:t>
                  </w:r>
                  <w:r>
                    <w:rPr>
                      <w:rFonts w:ascii="Times New Roman" w:hAnsi="Times New Roman" w:eastAsia="Times New Roman" w:cs="Times New Roman"/>
                      <w:color w:val="000000"/>
                      <w:spacing w:val="6"/>
                      <w:sz w:val="15"/>
                      <w:szCs w:val="15"/>
                      <w:highlight w:val="none"/>
                    </w:rPr>
                    <w:t>152</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79848">
                  <w:pPr>
                    <w:pStyle w:val="119"/>
                    <w:rPr>
                      <w:rFonts w:ascii="Times New Roman" w:hAnsi="Times New Roman" w:eastAsia="Times New Roman" w:cs="Times New Roman"/>
                      <w:color w:val="000000"/>
                      <w:spacing w:val="6"/>
                      <w:sz w:val="15"/>
                      <w:szCs w:val="15"/>
                      <w:highlight w:val="none"/>
                    </w:rPr>
                  </w:pPr>
                  <w:r>
                    <w:rPr>
                      <w:rFonts w:ascii="Times New Roman" w:hAnsi="Times New Roman" w:eastAsia="Times New Roman" w:cs="Times New Roman"/>
                      <w:color w:val="000000"/>
                      <w:spacing w:val="6"/>
                      <w:position w:val="0"/>
                      <w:sz w:val="15"/>
                      <w:szCs w:val="15"/>
                      <w:highlight w:val="none"/>
                    </w:rPr>
                    <w:t>/</w:t>
                  </w:r>
                </w:p>
              </w:tc>
              <w:tc>
                <w:tcPr>
                  <w:tcW w:w="1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BA393">
                  <w:pPr>
                    <w:pStyle w:val="119"/>
                    <w:spacing w:before="0" w:line="200" w:lineRule="exact"/>
                    <w:ind w:left="0" w:right="0" w:firstLine="0"/>
                    <w:jc w:val="center"/>
                    <w:rPr>
                      <w:color w:val="000000"/>
                      <w:spacing w:val="6"/>
                      <w:sz w:val="15"/>
                      <w:szCs w:val="15"/>
                      <w:highlight w:val="none"/>
                    </w:rPr>
                  </w:pPr>
                  <w:r>
                    <w:rPr>
                      <w:color w:val="000000"/>
                      <w:spacing w:val="6"/>
                      <w:sz w:val="15"/>
                      <w:szCs w:val="15"/>
                      <w:highlight w:val="none"/>
                    </w:rPr>
                    <w:t>有发酵工艺或者原汁生产的</w:t>
                  </w:r>
                </w:p>
              </w:tc>
              <w:tc>
                <w:tcPr>
                  <w:tcW w:w="1553" w:type="pct"/>
                  <w:tcBorders>
                    <w:top w:val="single" w:color="000000" w:sz="4" w:space="0"/>
                    <w:left w:val="single" w:color="000000" w:sz="4" w:space="0"/>
                    <w:bottom w:val="single" w:color="000000" w:sz="4" w:space="0"/>
                    <w:right w:val="single" w:color="000000" w:sz="12" w:space="0"/>
                  </w:tcBorders>
                  <w:shd w:val="clear" w:color="auto" w:fill="auto"/>
                  <w:vAlign w:val="center"/>
                </w:tcPr>
                <w:p w14:paraId="2F8A5C72">
                  <w:pPr>
                    <w:pStyle w:val="119"/>
                    <w:spacing w:before="0" w:line="200" w:lineRule="exact"/>
                    <w:ind w:left="0"/>
                    <w:jc w:val="center"/>
                    <w:rPr>
                      <w:color w:val="000000"/>
                      <w:spacing w:val="6"/>
                      <w:sz w:val="15"/>
                      <w:szCs w:val="15"/>
                      <w:highlight w:val="none"/>
                    </w:rPr>
                  </w:pPr>
                  <w:r>
                    <w:rPr>
                      <w:color w:val="000000"/>
                      <w:spacing w:val="6"/>
                      <w:sz w:val="15"/>
                      <w:szCs w:val="15"/>
                      <w:highlight w:val="none"/>
                    </w:rPr>
                    <w:t>其他</w:t>
                  </w:r>
                </w:p>
              </w:tc>
            </w:tr>
            <w:tr w14:paraId="58EB5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0" w:hRule="atLeast"/>
                <w:jc w:val="center"/>
              </w:trPr>
              <w:tc>
                <w:tcPr>
                  <w:tcW w:w="614" w:type="pct"/>
                  <w:vMerge w:val="continue"/>
                  <w:tcBorders>
                    <w:top w:val="single" w:color="000000" w:sz="4" w:space="0"/>
                    <w:left w:val="single" w:color="000000" w:sz="12" w:space="0"/>
                    <w:bottom w:val="single" w:color="000000" w:sz="12" w:space="0"/>
                    <w:right w:val="single" w:color="000000" w:sz="4" w:space="0"/>
                  </w:tcBorders>
                  <w:shd w:val="clear" w:color="auto" w:fill="auto"/>
                  <w:vAlign w:val="center"/>
                </w:tcPr>
                <w:p w14:paraId="58783190">
                  <w:pPr>
                    <w:pStyle w:val="119"/>
                    <w:rPr>
                      <w:rFonts w:ascii="Times New Roman"/>
                      <w:color w:val="000000"/>
                      <w:spacing w:val="6"/>
                      <w:sz w:val="15"/>
                      <w:szCs w:val="15"/>
                      <w:highlight w:val="none"/>
                    </w:rPr>
                  </w:pPr>
                </w:p>
              </w:tc>
              <w:tc>
                <w:tcPr>
                  <w:tcW w:w="686"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7CEEFAF2">
                  <w:pPr>
                    <w:pStyle w:val="119"/>
                    <w:spacing w:before="0" w:line="200" w:lineRule="exact"/>
                    <w:ind w:left="0" w:right="0" w:firstLine="0"/>
                    <w:jc w:val="center"/>
                    <w:rPr>
                      <w:color w:val="000000"/>
                      <w:spacing w:val="6"/>
                      <w:sz w:val="15"/>
                      <w:szCs w:val="15"/>
                      <w:highlight w:val="none"/>
                    </w:rPr>
                  </w:pPr>
                  <w:r>
                    <w:rPr>
                      <w:color w:val="000000"/>
                      <w:spacing w:val="6"/>
                      <w:sz w:val="15"/>
                      <w:szCs w:val="15"/>
                      <w:highlight w:val="none"/>
                    </w:rPr>
                    <w:t>五十一、通用工序</w:t>
                  </w:r>
                </w:p>
              </w:tc>
              <w:tc>
                <w:tcPr>
                  <w:tcW w:w="386"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35F17B26">
                  <w:pPr>
                    <w:pStyle w:val="119"/>
                    <w:spacing w:before="0" w:line="200" w:lineRule="exact"/>
                    <w:ind w:left="0"/>
                    <w:jc w:val="center"/>
                    <w:rPr>
                      <w:color w:val="000000"/>
                      <w:spacing w:val="6"/>
                      <w:sz w:val="15"/>
                      <w:szCs w:val="15"/>
                      <w:highlight w:val="none"/>
                    </w:rPr>
                  </w:pPr>
                  <w:r>
                    <w:rPr>
                      <w:rFonts w:ascii="Times New Roman" w:hAnsi="Times New Roman" w:eastAsia="Times New Roman" w:cs="Times New Roman"/>
                      <w:color w:val="000000"/>
                      <w:spacing w:val="6"/>
                      <w:position w:val="0"/>
                      <w:sz w:val="15"/>
                      <w:szCs w:val="15"/>
                      <w:highlight w:val="none"/>
                    </w:rPr>
                    <w:t>109</w:t>
                  </w:r>
                  <w:r>
                    <w:rPr>
                      <w:color w:val="000000"/>
                      <w:spacing w:val="6"/>
                      <w:position w:val="0"/>
                      <w:sz w:val="15"/>
                      <w:szCs w:val="15"/>
                      <w:highlight w:val="none"/>
                    </w:rPr>
                    <w:t>锅炉</w:t>
                  </w:r>
                </w:p>
              </w:tc>
              <w:tc>
                <w:tcPr>
                  <w:tcW w:w="419"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63620A1B">
                  <w:pPr>
                    <w:pStyle w:val="119"/>
                    <w:spacing w:before="0" w:line="200" w:lineRule="exact"/>
                    <w:ind w:left="0" w:right="0" w:firstLine="0"/>
                    <w:jc w:val="center"/>
                    <w:rPr>
                      <w:color w:val="000000"/>
                      <w:spacing w:val="6"/>
                      <w:sz w:val="15"/>
                      <w:szCs w:val="15"/>
                      <w:highlight w:val="none"/>
                    </w:rPr>
                  </w:pPr>
                  <w:r>
                    <w:rPr>
                      <w:color w:val="000000"/>
                      <w:spacing w:val="6"/>
                      <w:sz w:val="15"/>
                      <w:szCs w:val="15"/>
                      <w:highlight w:val="none"/>
                    </w:rPr>
                    <w:t>纳入重点排污单位名录的</w:t>
                  </w:r>
                </w:p>
              </w:tc>
              <w:tc>
                <w:tcPr>
                  <w:tcW w:w="1339"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6F45FD98">
                  <w:pPr>
                    <w:pStyle w:val="119"/>
                    <w:spacing w:before="0" w:line="200" w:lineRule="exact"/>
                    <w:ind w:left="0"/>
                    <w:jc w:val="center"/>
                    <w:rPr>
                      <w:color w:val="000000"/>
                      <w:spacing w:val="6"/>
                      <w:sz w:val="15"/>
                      <w:szCs w:val="15"/>
                      <w:highlight w:val="none"/>
                    </w:rPr>
                  </w:pPr>
                  <w:r>
                    <w:rPr>
                      <w:color w:val="000000"/>
                      <w:spacing w:val="6"/>
                      <w:sz w:val="15"/>
                      <w:szCs w:val="15"/>
                      <w:highlight w:val="none"/>
                    </w:rPr>
                    <w:t>除纳入重点排污单位名录的，单台或</w:t>
                  </w:r>
                  <w:r>
                    <w:rPr>
                      <w:color w:val="000000"/>
                      <w:spacing w:val="6"/>
                      <w:position w:val="0"/>
                      <w:sz w:val="15"/>
                      <w:szCs w:val="15"/>
                      <w:highlight w:val="none"/>
                    </w:rPr>
                    <w:t>者合计出力</w:t>
                  </w:r>
                  <w:r>
                    <w:rPr>
                      <w:rFonts w:ascii="Times New Roman" w:hAnsi="Times New Roman" w:eastAsia="Times New Roman" w:cs="Times New Roman"/>
                      <w:color w:val="000000"/>
                      <w:spacing w:val="6"/>
                      <w:position w:val="0"/>
                      <w:sz w:val="15"/>
                      <w:szCs w:val="15"/>
                      <w:highlight w:val="none"/>
                    </w:rPr>
                    <w:t>20</w:t>
                  </w:r>
                  <w:r>
                    <w:rPr>
                      <w:color w:val="000000"/>
                      <w:spacing w:val="6"/>
                      <w:position w:val="0"/>
                      <w:sz w:val="15"/>
                      <w:szCs w:val="15"/>
                      <w:highlight w:val="none"/>
                    </w:rPr>
                    <w:t>吨</w:t>
                  </w:r>
                  <w:r>
                    <w:rPr>
                      <w:rFonts w:ascii="Times New Roman" w:hAnsi="Times New Roman" w:eastAsia="Times New Roman" w:cs="Times New Roman"/>
                      <w:color w:val="000000"/>
                      <w:spacing w:val="6"/>
                      <w:position w:val="0"/>
                      <w:sz w:val="15"/>
                      <w:szCs w:val="15"/>
                      <w:highlight w:val="none"/>
                    </w:rPr>
                    <w:t>/</w:t>
                  </w:r>
                  <w:r>
                    <w:rPr>
                      <w:color w:val="000000"/>
                      <w:spacing w:val="6"/>
                      <w:position w:val="0"/>
                      <w:sz w:val="15"/>
                      <w:szCs w:val="15"/>
                      <w:highlight w:val="none"/>
                    </w:rPr>
                    <w:t>小时（</w:t>
                  </w:r>
                  <w:r>
                    <w:rPr>
                      <w:rFonts w:ascii="Times New Roman" w:hAnsi="Times New Roman" w:eastAsia="Times New Roman" w:cs="Times New Roman"/>
                      <w:color w:val="000000"/>
                      <w:spacing w:val="6"/>
                      <w:position w:val="0"/>
                      <w:sz w:val="15"/>
                      <w:szCs w:val="15"/>
                      <w:highlight w:val="none"/>
                    </w:rPr>
                    <w:t>14</w:t>
                  </w:r>
                  <w:r>
                    <w:rPr>
                      <w:color w:val="000000"/>
                      <w:spacing w:val="6"/>
                      <w:position w:val="0"/>
                      <w:sz w:val="15"/>
                      <w:szCs w:val="15"/>
                      <w:highlight w:val="none"/>
                    </w:rPr>
                    <w:t>兆瓦）及</w:t>
                  </w:r>
                  <w:r>
                    <w:rPr>
                      <w:color w:val="000000"/>
                      <w:spacing w:val="6"/>
                      <w:sz w:val="15"/>
                      <w:szCs w:val="15"/>
                      <w:highlight w:val="none"/>
                    </w:rPr>
                    <w:t>以上的锅炉（不含电热锅炉）</w:t>
                  </w:r>
                </w:p>
              </w:tc>
              <w:tc>
                <w:tcPr>
                  <w:tcW w:w="1553" w:type="pct"/>
                  <w:tcBorders>
                    <w:top w:val="single" w:color="000000" w:sz="4" w:space="0"/>
                    <w:left w:val="single" w:color="000000" w:sz="4" w:space="0"/>
                    <w:bottom w:val="single" w:color="000000" w:sz="12" w:space="0"/>
                    <w:right w:val="single" w:color="000000" w:sz="12" w:space="0"/>
                  </w:tcBorders>
                  <w:shd w:val="clear" w:color="auto" w:fill="auto"/>
                  <w:vAlign w:val="center"/>
                </w:tcPr>
                <w:p w14:paraId="0B632896">
                  <w:pPr>
                    <w:pStyle w:val="119"/>
                    <w:spacing w:before="0" w:line="200" w:lineRule="exact"/>
                    <w:ind w:left="0"/>
                    <w:jc w:val="center"/>
                    <w:rPr>
                      <w:color w:val="000000"/>
                      <w:spacing w:val="6"/>
                      <w:sz w:val="15"/>
                      <w:szCs w:val="15"/>
                      <w:highlight w:val="none"/>
                    </w:rPr>
                  </w:pPr>
                  <w:r>
                    <w:rPr>
                      <w:color w:val="000000"/>
                      <w:spacing w:val="6"/>
                      <w:sz w:val="15"/>
                      <w:szCs w:val="15"/>
                      <w:highlight w:val="none"/>
                    </w:rPr>
                    <w:t>除纳入重点排污单位名录的，单台且</w:t>
                  </w:r>
                  <w:r>
                    <w:rPr>
                      <w:color w:val="000000"/>
                      <w:spacing w:val="6"/>
                      <w:position w:val="0"/>
                      <w:sz w:val="15"/>
                      <w:szCs w:val="15"/>
                      <w:highlight w:val="none"/>
                    </w:rPr>
                    <w:t>合计出力</w:t>
                  </w:r>
                  <w:r>
                    <w:rPr>
                      <w:rFonts w:ascii="Times New Roman" w:hAnsi="Times New Roman" w:eastAsia="Times New Roman" w:cs="Times New Roman"/>
                      <w:color w:val="000000"/>
                      <w:spacing w:val="6"/>
                      <w:position w:val="0"/>
                      <w:sz w:val="15"/>
                      <w:szCs w:val="15"/>
                      <w:highlight w:val="none"/>
                    </w:rPr>
                    <w:t>20</w:t>
                  </w:r>
                  <w:r>
                    <w:rPr>
                      <w:color w:val="000000"/>
                      <w:spacing w:val="6"/>
                      <w:position w:val="0"/>
                      <w:sz w:val="15"/>
                      <w:szCs w:val="15"/>
                      <w:highlight w:val="none"/>
                    </w:rPr>
                    <w:t>吨</w:t>
                  </w:r>
                  <w:r>
                    <w:rPr>
                      <w:rFonts w:ascii="Times New Roman" w:hAnsi="Times New Roman" w:eastAsia="Times New Roman" w:cs="Times New Roman"/>
                      <w:color w:val="000000"/>
                      <w:spacing w:val="6"/>
                      <w:position w:val="0"/>
                      <w:sz w:val="15"/>
                      <w:szCs w:val="15"/>
                      <w:highlight w:val="none"/>
                    </w:rPr>
                    <w:t>/</w:t>
                  </w:r>
                  <w:r>
                    <w:rPr>
                      <w:color w:val="000000"/>
                      <w:spacing w:val="6"/>
                      <w:position w:val="0"/>
                      <w:sz w:val="15"/>
                      <w:szCs w:val="15"/>
                      <w:highlight w:val="none"/>
                    </w:rPr>
                    <w:t>小时（</w:t>
                  </w:r>
                  <w:r>
                    <w:rPr>
                      <w:rFonts w:ascii="Times New Roman" w:hAnsi="Times New Roman" w:eastAsia="Times New Roman" w:cs="Times New Roman"/>
                      <w:color w:val="000000"/>
                      <w:spacing w:val="6"/>
                      <w:position w:val="0"/>
                      <w:sz w:val="15"/>
                      <w:szCs w:val="15"/>
                      <w:highlight w:val="none"/>
                    </w:rPr>
                    <w:t>14</w:t>
                  </w:r>
                  <w:r>
                    <w:rPr>
                      <w:color w:val="000000"/>
                      <w:spacing w:val="6"/>
                      <w:position w:val="0"/>
                      <w:sz w:val="15"/>
                      <w:szCs w:val="15"/>
                      <w:highlight w:val="none"/>
                    </w:rPr>
                    <w:t>兆瓦）以</w:t>
                  </w:r>
                  <w:r>
                    <w:rPr>
                      <w:color w:val="000000"/>
                      <w:spacing w:val="6"/>
                      <w:sz w:val="15"/>
                      <w:szCs w:val="15"/>
                      <w:highlight w:val="none"/>
                    </w:rPr>
                    <w:t>下的锅炉（不含电热锅炉）</w:t>
                  </w:r>
                </w:p>
              </w:tc>
            </w:tr>
          </w:tbl>
          <w:p w14:paraId="4625E63E">
            <w:pPr>
              <w:pStyle w:val="13"/>
              <w:adjustRightInd w:val="0"/>
              <w:snapToGrid w:val="0"/>
              <w:spacing w:line="360" w:lineRule="auto"/>
              <w:ind w:firstLine="480" w:firstLineChars="200"/>
              <w:rPr>
                <w:rFonts w:hint="default" w:ascii="Times New Roman" w:hAnsi="Times New Roman" w:cs="Times New Roman"/>
                <w:color w:val="auto"/>
                <w:szCs w:val="24"/>
                <w:highlight w:val="none"/>
              </w:rPr>
            </w:pPr>
            <w:r>
              <w:rPr>
                <w:rFonts w:ascii="Times New Roman" w:hAnsi="Times New Roman"/>
                <w:color w:val="auto"/>
                <w:position w:val="2"/>
                <w:highlight w:val="none"/>
              </w:rPr>
              <w:t>本项目应依照《固定污染源排污许可分类管理名录（</w:t>
            </w:r>
            <w:r>
              <w:rPr>
                <w:rFonts w:ascii="Times New Roman" w:hAnsi="Times New Roman" w:eastAsia="Times New Roman" w:cs="Times New Roman"/>
                <w:color w:val="auto"/>
                <w:position w:val="2"/>
                <w:highlight w:val="none"/>
              </w:rPr>
              <w:t>2</w:t>
            </w:r>
            <w:r>
              <w:rPr>
                <w:rFonts w:ascii="Times New Roman" w:hAnsi="Times New Roman" w:eastAsia="Times New Roman" w:cs="Times New Roman"/>
                <w:color w:val="auto"/>
                <w:spacing w:val="-1"/>
                <w:position w:val="2"/>
                <w:highlight w:val="none"/>
              </w:rPr>
              <w:t>019</w:t>
            </w:r>
            <w:r>
              <w:rPr>
                <w:rFonts w:ascii="Times New Roman" w:hAnsi="Times New Roman"/>
                <w:color w:val="auto"/>
                <w:spacing w:val="-1"/>
                <w:position w:val="2"/>
                <w:highlight w:val="none"/>
              </w:rPr>
              <w:t>年版）</w:t>
            </w:r>
            <w:r>
              <w:rPr>
                <w:rFonts w:hint="default" w:ascii="Times New Roman" w:hAnsi="Times New Roman"/>
                <w:color w:val="auto"/>
                <w:spacing w:val="-1"/>
                <w:position w:val="2"/>
                <w:highlight w:val="none"/>
                <w:lang w:eastAsia="zh-CN"/>
              </w:rPr>
              <w:t>》《</w:t>
            </w:r>
            <w:r>
              <w:rPr>
                <w:rFonts w:ascii="Times New Roman" w:hAnsi="Times New Roman"/>
                <w:color w:val="auto"/>
                <w:spacing w:val="-1"/>
                <w:position w:val="2"/>
                <w:highlight w:val="none"/>
              </w:rPr>
              <w:t>排</w:t>
            </w:r>
            <w:r>
              <w:rPr>
                <w:rFonts w:hint="default" w:ascii="Times New Roman" w:hAnsi="Times New Roman"/>
                <w:color w:val="auto"/>
                <w:spacing w:val="-1"/>
                <w:position w:val="2"/>
                <w:highlight w:val="none"/>
              </w:rPr>
              <w:t>污许可管理条例》（中华人民共和国国务院令第736号）的要求，在排污之前按照规定进行排污许可申请。环境影响评价文件及审批意见中与污染物排放相关的主要内容应当纳入排污许可，并按照排污许可的规定排放污染物。</w:t>
            </w:r>
          </w:p>
        </w:tc>
      </w:tr>
    </w:tbl>
    <w:p w14:paraId="203EEBD2">
      <w:pPr>
        <w:rPr>
          <w:rFonts w:hint="default" w:ascii="Times New Roman" w:hAnsi="Times New Roman" w:cs="Times New Roman"/>
          <w:color w:val="auto"/>
          <w:highlight w:val="none"/>
        </w:rPr>
        <w:sectPr>
          <w:pgSz w:w="11907" w:h="16840"/>
          <w:pgMar w:top="1701" w:right="1440" w:bottom="2127" w:left="1440" w:header="1247" w:footer="1757" w:gutter="0"/>
          <w:pgBorders>
            <w:top w:val="none" w:sz="0" w:space="0"/>
            <w:left w:val="none" w:sz="0" w:space="0"/>
            <w:bottom w:val="none" w:sz="0" w:space="0"/>
            <w:right w:val="none" w:sz="0" w:space="0"/>
          </w:pgBorders>
          <w:cols w:space="720" w:num="1"/>
          <w:docGrid w:linePitch="312" w:charSpace="0"/>
        </w:sectPr>
      </w:pPr>
    </w:p>
    <w:p w14:paraId="5A4A3600">
      <w:pPr>
        <w:pStyle w:val="26"/>
        <w:rPr>
          <w:rFonts w:hint="default" w:ascii="Times New Roman" w:hAnsi="Times New Roman" w:cs="Times New Roman"/>
          <w:b/>
          <w:color w:val="auto"/>
          <w:sz w:val="36"/>
          <w:highlight w:val="none"/>
        </w:rPr>
      </w:pPr>
      <w:bookmarkStart w:id="31" w:name="_Toc151"/>
      <w:bookmarkStart w:id="32" w:name="_Toc24941"/>
      <w:r>
        <w:rPr>
          <w:rFonts w:hint="default" w:ascii="Times New Roman" w:hAnsi="Times New Roman" w:cs="Times New Roman"/>
          <w:b/>
          <w:color w:val="auto"/>
          <w:sz w:val="32"/>
          <w:highlight w:val="none"/>
          <w:lang w:val="en-US" w:eastAsia="zh-CN"/>
        </w:rPr>
        <w:t>五</w:t>
      </w:r>
      <w:r>
        <w:rPr>
          <w:rFonts w:hint="default" w:ascii="Times New Roman" w:hAnsi="Times New Roman" w:cs="Times New Roman"/>
          <w:b/>
          <w:color w:val="auto"/>
          <w:sz w:val="32"/>
          <w:highlight w:val="none"/>
        </w:rPr>
        <w:t>、生态环境保护措施监督检查清单</w:t>
      </w:r>
      <w:bookmarkEnd w:id="31"/>
      <w:bookmarkEnd w:id="32"/>
    </w:p>
    <w:tbl>
      <w:tblPr>
        <w:tblStyle w:val="118"/>
        <w:tblW w:w="9066"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1"/>
        <w:gridCol w:w="1687"/>
        <w:gridCol w:w="1274"/>
        <w:gridCol w:w="1862"/>
        <w:gridCol w:w="2982"/>
      </w:tblGrid>
      <w:tr w14:paraId="32AED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tcBorders>
              <w:top w:val="single" w:color="000000" w:sz="6" w:space="0"/>
              <w:left w:val="single" w:color="000000" w:sz="6" w:space="0"/>
              <w:tl2br w:val="single" w:color="000000" w:sz="4" w:space="0"/>
            </w:tcBorders>
            <w:vAlign w:val="top"/>
          </w:tcPr>
          <w:p w14:paraId="4FB968D9">
            <w:pPr>
              <w:pStyle w:val="119"/>
              <w:spacing w:before="42" w:line="223" w:lineRule="auto"/>
              <w:ind w:left="111" w:right="112" w:firstLine="584"/>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pacing w:val="-22"/>
                <w:sz w:val="24"/>
                <w:szCs w:val="24"/>
                <w:highlight w:val="none"/>
              </w:rPr>
              <w:t>内容</w:t>
            </w:r>
            <w:r>
              <w:rPr>
                <w:rFonts w:hint="default" w:ascii="Times New Roman" w:hAnsi="Times New Roman" w:eastAsia="宋体" w:cs="Times New Roman"/>
                <w:b/>
                <w:bCs/>
                <w:color w:val="auto"/>
                <w:spacing w:val="-8"/>
                <w:sz w:val="24"/>
                <w:szCs w:val="24"/>
                <w:highlight w:val="none"/>
              </w:rPr>
              <w:t>要素</w:t>
            </w:r>
          </w:p>
        </w:tc>
        <w:tc>
          <w:tcPr>
            <w:tcW w:w="1687" w:type="dxa"/>
            <w:tcBorders>
              <w:top w:val="single" w:color="000000" w:sz="6" w:space="0"/>
            </w:tcBorders>
            <w:vAlign w:val="top"/>
          </w:tcPr>
          <w:p w14:paraId="47DAC4F1">
            <w:pPr>
              <w:pStyle w:val="119"/>
              <w:spacing w:before="42" w:line="223" w:lineRule="auto"/>
              <w:ind w:left="171" w:right="97" w:hanging="62"/>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pacing w:val="-9"/>
                <w:sz w:val="24"/>
                <w:szCs w:val="24"/>
                <w:highlight w:val="none"/>
              </w:rPr>
              <w:t>排放口</w:t>
            </w:r>
            <w:r>
              <w:rPr>
                <w:rFonts w:hint="default" w:ascii="Times New Roman" w:hAnsi="Times New Roman" w:eastAsia="宋体" w:cs="Times New Roman"/>
                <w:b/>
                <w:bCs/>
                <w:color w:val="auto"/>
                <w:spacing w:val="-9"/>
                <w:sz w:val="24"/>
                <w:szCs w:val="24"/>
                <w:highlight w:val="none"/>
                <w:lang w:eastAsia="zh-CN"/>
              </w:rPr>
              <w:t>（</w:t>
            </w:r>
            <w:r>
              <w:rPr>
                <w:rFonts w:hint="default" w:ascii="Times New Roman" w:hAnsi="Times New Roman" w:eastAsia="宋体" w:cs="Times New Roman"/>
                <w:b/>
                <w:bCs/>
                <w:color w:val="auto"/>
                <w:spacing w:val="-9"/>
                <w:sz w:val="24"/>
                <w:szCs w:val="24"/>
                <w:highlight w:val="none"/>
              </w:rPr>
              <w:t>编号、</w:t>
            </w:r>
            <w:r>
              <w:rPr>
                <w:rFonts w:hint="default" w:ascii="Times New Roman" w:hAnsi="Times New Roman" w:eastAsia="宋体" w:cs="Times New Roman"/>
                <w:b/>
                <w:bCs/>
                <w:color w:val="auto"/>
                <w:spacing w:val="-3"/>
                <w:sz w:val="24"/>
                <w:szCs w:val="24"/>
                <w:highlight w:val="none"/>
              </w:rPr>
              <w:t>名称</w:t>
            </w:r>
            <w:r>
              <w:rPr>
                <w:rFonts w:hint="default" w:ascii="Times New Roman" w:hAnsi="Times New Roman" w:eastAsia="宋体" w:cs="Times New Roman"/>
                <w:b/>
                <w:bCs/>
                <w:color w:val="auto"/>
                <w:spacing w:val="-3"/>
                <w:sz w:val="24"/>
                <w:szCs w:val="24"/>
                <w:highlight w:val="none"/>
                <w:lang w:eastAsia="zh-CN"/>
              </w:rPr>
              <w:t>）</w:t>
            </w:r>
            <w:r>
              <w:rPr>
                <w:rFonts w:hint="default" w:ascii="Times New Roman" w:hAnsi="Times New Roman" w:eastAsia="宋体" w:cs="Times New Roman"/>
                <w:b/>
                <w:bCs/>
                <w:color w:val="auto"/>
                <w:spacing w:val="-3"/>
                <w:sz w:val="24"/>
                <w:szCs w:val="24"/>
                <w:highlight w:val="none"/>
              </w:rPr>
              <w:t>/污染源</w:t>
            </w:r>
          </w:p>
        </w:tc>
        <w:tc>
          <w:tcPr>
            <w:tcW w:w="1274" w:type="dxa"/>
            <w:tcBorders>
              <w:top w:val="single" w:color="000000" w:sz="6" w:space="0"/>
            </w:tcBorders>
            <w:vAlign w:val="top"/>
          </w:tcPr>
          <w:p w14:paraId="39B70A13">
            <w:pPr>
              <w:pStyle w:val="119"/>
              <w:spacing w:before="42" w:line="223" w:lineRule="auto"/>
              <w:ind w:left="568" w:right="155" w:hanging="406"/>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pacing w:val="-5"/>
                <w:sz w:val="24"/>
                <w:szCs w:val="24"/>
                <w:highlight w:val="none"/>
              </w:rPr>
              <w:t>污染物项</w:t>
            </w:r>
            <w:r>
              <w:rPr>
                <w:rFonts w:hint="default" w:ascii="Times New Roman" w:hAnsi="Times New Roman" w:eastAsia="宋体" w:cs="Times New Roman"/>
                <w:b/>
                <w:bCs/>
                <w:color w:val="auto"/>
                <w:spacing w:val="-3"/>
                <w:sz w:val="24"/>
                <w:szCs w:val="24"/>
                <w:highlight w:val="none"/>
              </w:rPr>
              <w:t>目</w:t>
            </w:r>
          </w:p>
        </w:tc>
        <w:tc>
          <w:tcPr>
            <w:tcW w:w="1862" w:type="dxa"/>
            <w:tcBorders>
              <w:top w:val="single" w:color="000000" w:sz="6" w:space="0"/>
            </w:tcBorders>
            <w:vAlign w:val="top"/>
          </w:tcPr>
          <w:p w14:paraId="02EF7949">
            <w:pPr>
              <w:pStyle w:val="119"/>
              <w:spacing w:before="195" w:line="221" w:lineRule="auto"/>
              <w:ind w:left="216"/>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pacing w:val="-4"/>
                <w:sz w:val="24"/>
                <w:szCs w:val="24"/>
                <w:highlight w:val="none"/>
              </w:rPr>
              <w:t>环境保护措施</w:t>
            </w:r>
          </w:p>
        </w:tc>
        <w:tc>
          <w:tcPr>
            <w:tcW w:w="2982" w:type="dxa"/>
            <w:tcBorders>
              <w:top w:val="single" w:color="000000" w:sz="6" w:space="0"/>
              <w:right w:val="single" w:color="000000" w:sz="6" w:space="0"/>
            </w:tcBorders>
            <w:vAlign w:val="top"/>
          </w:tcPr>
          <w:p w14:paraId="51580231">
            <w:pPr>
              <w:pStyle w:val="119"/>
              <w:spacing w:before="195" w:line="220" w:lineRule="auto"/>
              <w:ind w:left="1015"/>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pacing w:val="-5"/>
                <w:sz w:val="24"/>
                <w:szCs w:val="24"/>
                <w:highlight w:val="none"/>
              </w:rPr>
              <w:t>执行标准</w:t>
            </w:r>
          </w:p>
        </w:tc>
      </w:tr>
      <w:tr w14:paraId="7FC8B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vMerge w:val="restart"/>
            <w:tcBorders>
              <w:left w:val="single" w:color="000000" w:sz="6" w:space="0"/>
              <w:bottom w:val="nil"/>
            </w:tcBorders>
            <w:vAlign w:val="center"/>
          </w:tcPr>
          <w:p w14:paraId="6250CAB9">
            <w:pPr>
              <w:spacing w:line="245"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0"/>
                <w:sz w:val="24"/>
                <w:szCs w:val="24"/>
                <w:highlight w:val="none"/>
              </w:rPr>
              <w:t>大气环境</w:t>
            </w:r>
          </w:p>
        </w:tc>
        <w:tc>
          <w:tcPr>
            <w:tcW w:w="1687" w:type="dxa"/>
            <w:vMerge w:val="restart"/>
            <w:tcBorders>
              <w:bottom w:val="nil"/>
            </w:tcBorders>
            <w:vAlign w:val="center"/>
          </w:tcPr>
          <w:p w14:paraId="33F5560E">
            <w:pPr>
              <w:spacing w:line="245" w:lineRule="auto"/>
              <w:jc w:val="center"/>
              <w:rPr>
                <w:rFonts w:hint="default" w:ascii="Times New Roman" w:hAnsi="Times New Roman" w:eastAsia="宋体" w:cs="Times New Roman"/>
                <w:b w:val="0"/>
                <w:bCs w:val="0"/>
                <w:color w:val="auto"/>
                <w:spacing w:val="0"/>
                <w:sz w:val="24"/>
                <w:szCs w:val="24"/>
                <w:highlight w:val="none"/>
                <w:lang w:val="en-US" w:eastAsia="zh-CN"/>
              </w:rPr>
            </w:pPr>
            <w:r>
              <w:rPr>
                <w:rFonts w:hint="default" w:ascii="Times New Roman" w:hAnsi="Times New Roman" w:eastAsia="宋体" w:cs="Times New Roman"/>
                <w:b w:val="0"/>
                <w:bCs w:val="0"/>
                <w:color w:val="auto"/>
                <w:spacing w:val="0"/>
                <w:sz w:val="24"/>
                <w:szCs w:val="24"/>
                <w:highlight w:val="none"/>
              </w:rPr>
              <w:t>DA00</w:t>
            </w:r>
            <w:r>
              <w:rPr>
                <w:rFonts w:hint="default" w:ascii="Times New Roman" w:hAnsi="Times New Roman" w:eastAsia="宋体" w:cs="Times New Roman"/>
                <w:b w:val="0"/>
                <w:bCs w:val="0"/>
                <w:color w:val="auto"/>
                <w:spacing w:val="0"/>
                <w:sz w:val="24"/>
                <w:szCs w:val="24"/>
                <w:highlight w:val="none"/>
                <w:lang w:val="en-US" w:eastAsia="zh-CN"/>
              </w:rPr>
              <w:t>1</w:t>
            </w:r>
          </w:p>
        </w:tc>
        <w:tc>
          <w:tcPr>
            <w:tcW w:w="1274" w:type="dxa"/>
            <w:vAlign w:val="center"/>
          </w:tcPr>
          <w:p w14:paraId="529A3D82">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颗粒物</w:t>
            </w:r>
          </w:p>
        </w:tc>
        <w:tc>
          <w:tcPr>
            <w:tcW w:w="1862" w:type="dxa"/>
            <w:vMerge w:val="restart"/>
            <w:tcBorders>
              <w:bottom w:val="single" w:color="auto" w:sz="4" w:space="0"/>
            </w:tcBorders>
            <w:vAlign w:val="center"/>
          </w:tcPr>
          <w:p w14:paraId="002F81AC">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lang w:val="en-US" w:eastAsia="zh-CN"/>
              </w:rPr>
              <w:t>/</w:t>
            </w:r>
          </w:p>
        </w:tc>
        <w:tc>
          <w:tcPr>
            <w:tcW w:w="2982" w:type="dxa"/>
            <w:vMerge w:val="restart"/>
            <w:tcBorders>
              <w:bottom w:val="nil"/>
              <w:right w:val="single" w:color="000000" w:sz="6" w:space="0"/>
            </w:tcBorders>
            <w:vAlign w:val="center"/>
          </w:tcPr>
          <w:p w14:paraId="6732977C">
            <w:pPr>
              <w:spacing w:line="245" w:lineRule="auto"/>
              <w:jc w:val="center"/>
              <w:rPr>
                <w:rFonts w:hint="default" w:ascii="Times New Roman" w:hAnsi="Times New Roman" w:eastAsia="宋体" w:cs="Times New Roman"/>
                <w:b w:val="0"/>
                <w:bCs w:val="0"/>
                <w:color w:val="auto"/>
                <w:spacing w:val="0"/>
                <w:sz w:val="24"/>
                <w:szCs w:val="24"/>
                <w:highlight w:val="none"/>
              </w:rPr>
            </w:pPr>
          </w:p>
          <w:p w14:paraId="49C4FA38">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《锅炉大气污染物排放标准》（GB 13271-2014）表2新建锅炉大气污染物排放浓度限值</w:t>
            </w:r>
          </w:p>
        </w:tc>
      </w:tr>
      <w:tr w14:paraId="054DB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vMerge w:val="continue"/>
            <w:tcBorders>
              <w:top w:val="nil"/>
              <w:left w:val="single" w:color="000000" w:sz="6" w:space="0"/>
              <w:bottom w:val="nil"/>
            </w:tcBorders>
            <w:vAlign w:val="center"/>
          </w:tcPr>
          <w:p w14:paraId="4D57A3EE">
            <w:pPr>
              <w:spacing w:line="245" w:lineRule="auto"/>
              <w:jc w:val="center"/>
              <w:rPr>
                <w:rFonts w:hint="default" w:ascii="Times New Roman" w:hAnsi="Times New Roman" w:eastAsia="宋体" w:cs="Times New Roman"/>
                <w:b/>
                <w:bCs/>
                <w:color w:val="auto"/>
                <w:sz w:val="24"/>
                <w:szCs w:val="24"/>
                <w:highlight w:val="none"/>
              </w:rPr>
            </w:pPr>
          </w:p>
        </w:tc>
        <w:tc>
          <w:tcPr>
            <w:tcW w:w="1687" w:type="dxa"/>
            <w:vMerge w:val="continue"/>
            <w:tcBorders>
              <w:top w:val="nil"/>
              <w:bottom w:val="nil"/>
            </w:tcBorders>
            <w:vAlign w:val="center"/>
          </w:tcPr>
          <w:p w14:paraId="16D3FFE2">
            <w:pPr>
              <w:spacing w:line="245" w:lineRule="auto"/>
              <w:jc w:val="center"/>
              <w:rPr>
                <w:rFonts w:hint="default" w:ascii="Times New Roman" w:hAnsi="Times New Roman" w:eastAsia="宋体" w:cs="Times New Roman"/>
                <w:b w:val="0"/>
                <w:bCs w:val="0"/>
                <w:color w:val="auto"/>
                <w:spacing w:val="0"/>
                <w:sz w:val="24"/>
                <w:szCs w:val="24"/>
                <w:highlight w:val="none"/>
              </w:rPr>
            </w:pPr>
          </w:p>
        </w:tc>
        <w:tc>
          <w:tcPr>
            <w:tcW w:w="1274" w:type="dxa"/>
            <w:vAlign w:val="center"/>
          </w:tcPr>
          <w:p w14:paraId="050E9B3E">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二氧化硫</w:t>
            </w:r>
          </w:p>
        </w:tc>
        <w:tc>
          <w:tcPr>
            <w:tcW w:w="1862" w:type="dxa"/>
            <w:vMerge w:val="continue"/>
            <w:tcBorders>
              <w:top w:val="single" w:color="auto" w:sz="4" w:space="0"/>
              <w:bottom w:val="single" w:color="auto" w:sz="4" w:space="0"/>
            </w:tcBorders>
            <w:vAlign w:val="center"/>
          </w:tcPr>
          <w:p w14:paraId="567F5484">
            <w:pPr>
              <w:spacing w:line="245" w:lineRule="auto"/>
              <w:jc w:val="center"/>
              <w:rPr>
                <w:rFonts w:hint="default" w:ascii="Times New Roman" w:hAnsi="Times New Roman" w:eastAsia="宋体" w:cs="Times New Roman"/>
                <w:b w:val="0"/>
                <w:bCs w:val="0"/>
                <w:color w:val="auto"/>
                <w:spacing w:val="0"/>
                <w:sz w:val="24"/>
                <w:szCs w:val="24"/>
                <w:highlight w:val="none"/>
              </w:rPr>
            </w:pPr>
          </w:p>
        </w:tc>
        <w:tc>
          <w:tcPr>
            <w:tcW w:w="2982" w:type="dxa"/>
            <w:vMerge w:val="continue"/>
            <w:tcBorders>
              <w:top w:val="nil"/>
              <w:bottom w:val="nil"/>
              <w:right w:val="single" w:color="000000" w:sz="6" w:space="0"/>
            </w:tcBorders>
            <w:vAlign w:val="center"/>
          </w:tcPr>
          <w:p w14:paraId="3004D5E4">
            <w:pPr>
              <w:spacing w:line="245" w:lineRule="auto"/>
              <w:jc w:val="center"/>
              <w:rPr>
                <w:rFonts w:hint="default" w:ascii="Times New Roman" w:hAnsi="Times New Roman" w:eastAsia="宋体" w:cs="Times New Roman"/>
                <w:b w:val="0"/>
                <w:bCs w:val="0"/>
                <w:color w:val="auto"/>
                <w:spacing w:val="0"/>
                <w:sz w:val="24"/>
                <w:szCs w:val="24"/>
                <w:highlight w:val="none"/>
              </w:rPr>
            </w:pPr>
          </w:p>
        </w:tc>
      </w:tr>
      <w:tr w14:paraId="1C095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vMerge w:val="continue"/>
            <w:tcBorders>
              <w:top w:val="nil"/>
              <w:left w:val="single" w:color="000000" w:sz="6" w:space="0"/>
              <w:bottom w:val="nil"/>
            </w:tcBorders>
            <w:vAlign w:val="center"/>
          </w:tcPr>
          <w:p w14:paraId="54B5B889">
            <w:pPr>
              <w:spacing w:line="245" w:lineRule="auto"/>
              <w:jc w:val="center"/>
              <w:rPr>
                <w:rFonts w:hint="default" w:ascii="Times New Roman" w:hAnsi="Times New Roman" w:eastAsia="宋体" w:cs="Times New Roman"/>
                <w:b/>
                <w:bCs/>
                <w:color w:val="auto"/>
                <w:sz w:val="24"/>
                <w:szCs w:val="24"/>
                <w:highlight w:val="none"/>
              </w:rPr>
            </w:pPr>
          </w:p>
        </w:tc>
        <w:tc>
          <w:tcPr>
            <w:tcW w:w="1687" w:type="dxa"/>
            <w:vMerge w:val="continue"/>
            <w:tcBorders>
              <w:top w:val="nil"/>
              <w:bottom w:val="nil"/>
            </w:tcBorders>
            <w:vAlign w:val="center"/>
          </w:tcPr>
          <w:p w14:paraId="1364B8BF">
            <w:pPr>
              <w:spacing w:line="245" w:lineRule="auto"/>
              <w:jc w:val="center"/>
              <w:rPr>
                <w:rFonts w:hint="default" w:ascii="Times New Roman" w:hAnsi="Times New Roman" w:eastAsia="宋体" w:cs="Times New Roman"/>
                <w:b w:val="0"/>
                <w:bCs w:val="0"/>
                <w:color w:val="auto"/>
                <w:spacing w:val="0"/>
                <w:sz w:val="24"/>
                <w:szCs w:val="24"/>
                <w:highlight w:val="none"/>
              </w:rPr>
            </w:pPr>
          </w:p>
        </w:tc>
        <w:tc>
          <w:tcPr>
            <w:tcW w:w="1274" w:type="dxa"/>
            <w:vAlign w:val="center"/>
          </w:tcPr>
          <w:p w14:paraId="42FFB65E">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氮氧化物</w:t>
            </w:r>
          </w:p>
        </w:tc>
        <w:tc>
          <w:tcPr>
            <w:tcW w:w="1862" w:type="dxa"/>
            <w:tcBorders>
              <w:top w:val="single" w:color="auto" w:sz="4" w:space="0"/>
              <w:bottom w:val="single" w:color="auto" w:sz="4" w:space="0"/>
            </w:tcBorders>
            <w:vAlign w:val="center"/>
          </w:tcPr>
          <w:p w14:paraId="1E9C24A9">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低氮燃烧器</w:t>
            </w:r>
          </w:p>
        </w:tc>
        <w:tc>
          <w:tcPr>
            <w:tcW w:w="2982" w:type="dxa"/>
            <w:vMerge w:val="continue"/>
            <w:tcBorders>
              <w:top w:val="nil"/>
              <w:bottom w:val="nil"/>
              <w:right w:val="single" w:color="000000" w:sz="6" w:space="0"/>
            </w:tcBorders>
            <w:vAlign w:val="center"/>
          </w:tcPr>
          <w:p w14:paraId="700C284C">
            <w:pPr>
              <w:spacing w:line="245" w:lineRule="auto"/>
              <w:jc w:val="center"/>
              <w:rPr>
                <w:rFonts w:hint="default" w:ascii="Times New Roman" w:hAnsi="Times New Roman" w:eastAsia="宋体" w:cs="Times New Roman"/>
                <w:b w:val="0"/>
                <w:bCs w:val="0"/>
                <w:color w:val="auto"/>
                <w:spacing w:val="0"/>
                <w:sz w:val="24"/>
                <w:szCs w:val="24"/>
                <w:highlight w:val="none"/>
              </w:rPr>
            </w:pPr>
          </w:p>
        </w:tc>
      </w:tr>
      <w:tr w14:paraId="0FB4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vMerge w:val="continue"/>
            <w:tcBorders>
              <w:top w:val="nil"/>
              <w:left w:val="single" w:color="000000" w:sz="6" w:space="0"/>
              <w:bottom w:val="nil"/>
            </w:tcBorders>
            <w:vAlign w:val="center"/>
          </w:tcPr>
          <w:p w14:paraId="51509E2B">
            <w:pPr>
              <w:spacing w:line="245" w:lineRule="auto"/>
              <w:jc w:val="center"/>
              <w:rPr>
                <w:rFonts w:hint="default" w:ascii="Times New Roman" w:hAnsi="Times New Roman" w:eastAsia="宋体" w:cs="Times New Roman"/>
                <w:b/>
                <w:bCs/>
                <w:color w:val="auto"/>
                <w:sz w:val="24"/>
                <w:szCs w:val="24"/>
                <w:highlight w:val="none"/>
              </w:rPr>
            </w:pPr>
          </w:p>
        </w:tc>
        <w:tc>
          <w:tcPr>
            <w:tcW w:w="1687" w:type="dxa"/>
            <w:vMerge w:val="continue"/>
            <w:tcBorders>
              <w:top w:val="nil"/>
            </w:tcBorders>
            <w:vAlign w:val="center"/>
          </w:tcPr>
          <w:p w14:paraId="6C698FB6">
            <w:pPr>
              <w:spacing w:line="245" w:lineRule="auto"/>
              <w:jc w:val="center"/>
              <w:rPr>
                <w:rFonts w:hint="default" w:ascii="Times New Roman" w:hAnsi="Times New Roman" w:eastAsia="宋体" w:cs="Times New Roman"/>
                <w:b w:val="0"/>
                <w:bCs w:val="0"/>
                <w:color w:val="auto"/>
                <w:spacing w:val="0"/>
                <w:sz w:val="24"/>
                <w:szCs w:val="24"/>
                <w:highlight w:val="none"/>
              </w:rPr>
            </w:pPr>
          </w:p>
        </w:tc>
        <w:tc>
          <w:tcPr>
            <w:tcW w:w="1274" w:type="dxa"/>
            <w:vAlign w:val="center"/>
          </w:tcPr>
          <w:p w14:paraId="30568858">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烟气林格曼黑度（级）</w:t>
            </w:r>
          </w:p>
        </w:tc>
        <w:tc>
          <w:tcPr>
            <w:tcW w:w="1862" w:type="dxa"/>
            <w:tcBorders>
              <w:top w:val="single" w:color="auto" w:sz="4" w:space="0"/>
            </w:tcBorders>
            <w:vAlign w:val="center"/>
          </w:tcPr>
          <w:p w14:paraId="4BFD118B">
            <w:pPr>
              <w:spacing w:line="245" w:lineRule="auto"/>
              <w:jc w:val="center"/>
              <w:rPr>
                <w:rFonts w:hint="eastAsia" w:ascii="Times New Roman" w:hAnsi="Times New Roman" w:eastAsia="宋体" w:cs="Times New Roman"/>
                <w:b w:val="0"/>
                <w:bCs w:val="0"/>
                <w:color w:val="auto"/>
                <w:spacing w:val="0"/>
                <w:sz w:val="24"/>
                <w:szCs w:val="24"/>
                <w:highlight w:val="none"/>
                <w:lang w:eastAsia="zh-CN"/>
              </w:rPr>
            </w:pPr>
            <w:r>
              <w:rPr>
                <w:rFonts w:hint="default" w:ascii="Times New Roman" w:hAnsi="Times New Roman" w:eastAsia="宋体" w:cs="Times New Roman"/>
                <w:b w:val="0"/>
                <w:bCs w:val="0"/>
                <w:color w:val="auto"/>
                <w:spacing w:val="0"/>
                <w:sz w:val="24"/>
                <w:szCs w:val="24"/>
                <w:highlight w:val="none"/>
                <w:lang w:val="en-US" w:eastAsia="zh-CN"/>
              </w:rPr>
              <w:t>/</w:t>
            </w:r>
          </w:p>
        </w:tc>
        <w:tc>
          <w:tcPr>
            <w:tcW w:w="2982" w:type="dxa"/>
            <w:vMerge w:val="continue"/>
            <w:tcBorders>
              <w:top w:val="nil"/>
              <w:right w:val="single" w:color="000000" w:sz="6" w:space="0"/>
            </w:tcBorders>
            <w:vAlign w:val="center"/>
          </w:tcPr>
          <w:p w14:paraId="040C09FB">
            <w:pPr>
              <w:spacing w:line="245" w:lineRule="auto"/>
              <w:jc w:val="center"/>
              <w:rPr>
                <w:rFonts w:hint="default" w:ascii="Times New Roman" w:hAnsi="Times New Roman" w:eastAsia="宋体" w:cs="Times New Roman"/>
                <w:b w:val="0"/>
                <w:bCs w:val="0"/>
                <w:color w:val="auto"/>
                <w:spacing w:val="0"/>
                <w:sz w:val="24"/>
                <w:szCs w:val="24"/>
                <w:highlight w:val="none"/>
              </w:rPr>
            </w:pPr>
          </w:p>
        </w:tc>
      </w:tr>
      <w:tr w14:paraId="55C55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vMerge w:val="continue"/>
            <w:tcBorders>
              <w:top w:val="nil"/>
              <w:left w:val="single" w:color="000000" w:sz="6" w:space="0"/>
            </w:tcBorders>
            <w:vAlign w:val="center"/>
          </w:tcPr>
          <w:p w14:paraId="4DED706E">
            <w:pPr>
              <w:spacing w:line="245" w:lineRule="auto"/>
              <w:jc w:val="center"/>
              <w:rPr>
                <w:rFonts w:hint="default" w:ascii="Times New Roman" w:hAnsi="Times New Roman" w:eastAsia="宋体" w:cs="Times New Roman"/>
                <w:b/>
                <w:bCs/>
                <w:color w:val="auto"/>
                <w:sz w:val="24"/>
                <w:szCs w:val="24"/>
                <w:highlight w:val="none"/>
              </w:rPr>
            </w:pPr>
          </w:p>
        </w:tc>
        <w:tc>
          <w:tcPr>
            <w:tcW w:w="1687" w:type="dxa"/>
            <w:vAlign w:val="center"/>
          </w:tcPr>
          <w:p w14:paraId="5F6C9E88">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厂界无组织</w:t>
            </w:r>
          </w:p>
        </w:tc>
        <w:tc>
          <w:tcPr>
            <w:tcW w:w="1274" w:type="dxa"/>
            <w:vAlign w:val="center"/>
          </w:tcPr>
          <w:p w14:paraId="1A3413B7">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臭气浓度</w:t>
            </w:r>
          </w:p>
        </w:tc>
        <w:tc>
          <w:tcPr>
            <w:tcW w:w="1862" w:type="dxa"/>
            <w:vAlign w:val="center"/>
          </w:tcPr>
          <w:p w14:paraId="4729CED4">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加强通风、喷洒除臭剂</w:t>
            </w:r>
          </w:p>
        </w:tc>
        <w:tc>
          <w:tcPr>
            <w:tcW w:w="2982" w:type="dxa"/>
            <w:tcBorders>
              <w:right w:val="single" w:color="000000" w:sz="6" w:space="0"/>
            </w:tcBorders>
            <w:vAlign w:val="center"/>
          </w:tcPr>
          <w:p w14:paraId="658534A1">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《恶臭污染物排放标准》（GB 14554-1993）表1新改扩建二级标准</w:t>
            </w:r>
          </w:p>
        </w:tc>
      </w:tr>
      <w:tr w14:paraId="7DC8F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tcBorders>
              <w:left w:val="single" w:color="000000" w:sz="6" w:space="0"/>
            </w:tcBorders>
            <w:vAlign w:val="center"/>
          </w:tcPr>
          <w:p w14:paraId="5D136E45">
            <w:pPr>
              <w:spacing w:line="245"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0"/>
                <w:sz w:val="24"/>
                <w:szCs w:val="24"/>
                <w:highlight w:val="none"/>
              </w:rPr>
              <w:t>地表水环境</w:t>
            </w:r>
          </w:p>
        </w:tc>
        <w:tc>
          <w:tcPr>
            <w:tcW w:w="1687" w:type="dxa"/>
            <w:vAlign w:val="center"/>
          </w:tcPr>
          <w:p w14:paraId="327109C3">
            <w:pPr>
              <w:spacing w:line="245" w:lineRule="auto"/>
              <w:jc w:val="center"/>
              <w:rPr>
                <w:rFonts w:hint="eastAsia" w:ascii="Times New Roman" w:hAnsi="Times New Roman" w:eastAsia="宋体" w:cs="Times New Roman"/>
                <w:b w:val="0"/>
                <w:bCs w:val="0"/>
                <w:color w:val="auto"/>
                <w:spacing w:val="0"/>
                <w:sz w:val="24"/>
                <w:szCs w:val="24"/>
                <w:highlight w:val="none"/>
                <w:lang w:val="en-US" w:eastAsia="zh-CN"/>
              </w:rPr>
            </w:pPr>
            <w:r>
              <w:rPr>
                <w:rFonts w:hint="default" w:ascii="Times New Roman" w:hAnsi="Times New Roman" w:eastAsia="宋体" w:cs="Times New Roman"/>
                <w:b w:val="0"/>
                <w:bCs w:val="0"/>
                <w:color w:val="auto"/>
                <w:spacing w:val="0"/>
                <w:sz w:val="24"/>
                <w:szCs w:val="24"/>
                <w:highlight w:val="none"/>
              </w:rPr>
              <w:t>DW00</w:t>
            </w:r>
            <w:r>
              <w:rPr>
                <w:rFonts w:hint="eastAsia" w:cs="Times New Roman"/>
                <w:b w:val="0"/>
                <w:bCs w:val="0"/>
                <w:color w:val="auto"/>
                <w:spacing w:val="0"/>
                <w:sz w:val="24"/>
                <w:szCs w:val="24"/>
                <w:highlight w:val="none"/>
                <w:lang w:val="en-US" w:eastAsia="zh-CN"/>
              </w:rPr>
              <w:t>1</w:t>
            </w:r>
          </w:p>
        </w:tc>
        <w:tc>
          <w:tcPr>
            <w:tcW w:w="1274" w:type="dxa"/>
            <w:vAlign w:val="center"/>
          </w:tcPr>
          <w:p w14:paraId="2E818ECB">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pH、COD、BOD</w:t>
            </w:r>
            <w:r>
              <w:rPr>
                <w:rFonts w:hint="default" w:ascii="Times New Roman" w:hAnsi="Times New Roman" w:eastAsia="宋体" w:cs="Times New Roman"/>
                <w:b w:val="0"/>
                <w:bCs w:val="0"/>
                <w:color w:val="auto"/>
                <w:spacing w:val="0"/>
                <w:sz w:val="24"/>
                <w:szCs w:val="24"/>
                <w:highlight w:val="none"/>
                <w:vertAlign w:val="subscript"/>
              </w:rPr>
              <w:t>5</w:t>
            </w:r>
            <w:r>
              <w:rPr>
                <w:rFonts w:hint="default" w:ascii="Times New Roman" w:hAnsi="Times New Roman" w:eastAsia="宋体" w:cs="Times New Roman"/>
                <w:b w:val="0"/>
                <w:bCs w:val="0"/>
                <w:color w:val="auto"/>
                <w:spacing w:val="0"/>
                <w:sz w:val="24"/>
                <w:szCs w:val="24"/>
                <w:highlight w:val="none"/>
              </w:rPr>
              <w:t>、氨氮、悬浮物</w:t>
            </w:r>
          </w:p>
        </w:tc>
        <w:tc>
          <w:tcPr>
            <w:tcW w:w="1862" w:type="dxa"/>
            <w:vAlign w:val="center"/>
          </w:tcPr>
          <w:p w14:paraId="1B352C6D">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eastAsia" w:cs="Times New Roman"/>
                <w:b w:val="0"/>
                <w:bCs w:val="0"/>
                <w:color w:val="auto"/>
                <w:spacing w:val="0"/>
                <w:sz w:val="24"/>
                <w:szCs w:val="24"/>
                <w:highlight w:val="none"/>
                <w:lang w:val="en-US" w:eastAsia="zh-CN"/>
              </w:rPr>
              <w:t>经厂区沉砂池处理后，排入南侧番茄酱厂污水处理厂处理，最后排入</w:t>
            </w:r>
            <w:r>
              <w:rPr>
                <w:rFonts w:hint="default" w:ascii="Times New Roman" w:hAnsi="Times New Roman" w:eastAsia="宋体" w:cs="Times New Roman"/>
                <w:b w:val="0"/>
                <w:bCs w:val="0"/>
                <w:color w:val="auto"/>
                <w:spacing w:val="0"/>
                <w:sz w:val="24"/>
                <w:szCs w:val="24"/>
                <w:highlight w:val="none"/>
                <w:lang w:val="en-US" w:eastAsia="zh-CN"/>
              </w:rPr>
              <w:t>民丰产业园区污水处理厂</w:t>
            </w:r>
            <w:r>
              <w:rPr>
                <w:rFonts w:hint="default" w:ascii="Times New Roman" w:hAnsi="Times New Roman" w:eastAsia="宋体" w:cs="Times New Roman"/>
                <w:b w:val="0"/>
                <w:bCs w:val="0"/>
                <w:color w:val="auto"/>
                <w:spacing w:val="0"/>
                <w:sz w:val="24"/>
                <w:szCs w:val="24"/>
                <w:highlight w:val="none"/>
              </w:rPr>
              <w:t>处理</w:t>
            </w:r>
          </w:p>
        </w:tc>
        <w:tc>
          <w:tcPr>
            <w:tcW w:w="2982" w:type="dxa"/>
            <w:tcBorders>
              <w:right w:val="single" w:color="000000" w:sz="6" w:space="0"/>
            </w:tcBorders>
            <w:vAlign w:val="center"/>
          </w:tcPr>
          <w:p w14:paraId="14BF25DC">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lang w:val="en-US" w:eastAsia="zh-CN"/>
              </w:rPr>
              <w:t>同时满足</w:t>
            </w:r>
            <w:r>
              <w:rPr>
                <w:rFonts w:hint="default" w:ascii="Times New Roman" w:hAnsi="Times New Roman" w:eastAsia="宋体" w:cs="Times New Roman"/>
                <w:b w:val="0"/>
                <w:bCs w:val="0"/>
                <w:color w:val="auto"/>
                <w:spacing w:val="0"/>
                <w:sz w:val="24"/>
                <w:szCs w:val="24"/>
                <w:highlight w:val="none"/>
              </w:rPr>
              <w:t>《污水综合排放标准》（GB8978-1996）及修改单表4三级标准</w:t>
            </w:r>
            <w:r>
              <w:rPr>
                <w:rFonts w:hint="default" w:ascii="Times New Roman" w:hAnsi="Times New Roman" w:eastAsia="宋体" w:cs="Times New Roman"/>
                <w:b w:val="0"/>
                <w:bCs w:val="0"/>
                <w:color w:val="auto"/>
                <w:spacing w:val="0"/>
                <w:sz w:val="24"/>
                <w:szCs w:val="24"/>
                <w:highlight w:val="none"/>
                <w:lang w:val="en-US" w:eastAsia="zh-CN"/>
              </w:rPr>
              <w:t>和民丰产业园区污水处理厂</w:t>
            </w:r>
            <w:r>
              <w:rPr>
                <w:rFonts w:hint="default" w:ascii="Times New Roman" w:hAnsi="Times New Roman" w:eastAsia="宋体" w:cs="Times New Roman"/>
                <w:b w:val="0"/>
                <w:bCs w:val="0"/>
                <w:color w:val="auto"/>
                <w:spacing w:val="0"/>
                <w:sz w:val="24"/>
                <w:szCs w:val="24"/>
                <w:highlight w:val="none"/>
              </w:rPr>
              <w:t>进水水质要求</w:t>
            </w:r>
          </w:p>
        </w:tc>
      </w:tr>
      <w:tr w14:paraId="11307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tcBorders>
              <w:left w:val="single" w:color="000000" w:sz="6" w:space="0"/>
            </w:tcBorders>
            <w:vAlign w:val="center"/>
          </w:tcPr>
          <w:p w14:paraId="2D87868E">
            <w:pPr>
              <w:spacing w:line="245"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0"/>
                <w:sz w:val="24"/>
                <w:szCs w:val="24"/>
                <w:highlight w:val="none"/>
              </w:rPr>
              <w:t>声环境</w:t>
            </w:r>
          </w:p>
        </w:tc>
        <w:tc>
          <w:tcPr>
            <w:tcW w:w="1687" w:type="dxa"/>
            <w:vAlign w:val="center"/>
          </w:tcPr>
          <w:p w14:paraId="5A387D68">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生产设备</w:t>
            </w:r>
          </w:p>
        </w:tc>
        <w:tc>
          <w:tcPr>
            <w:tcW w:w="1274" w:type="dxa"/>
            <w:vAlign w:val="center"/>
          </w:tcPr>
          <w:p w14:paraId="3915D7A1">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噪声</w:t>
            </w:r>
          </w:p>
        </w:tc>
        <w:tc>
          <w:tcPr>
            <w:tcW w:w="1862" w:type="dxa"/>
            <w:vAlign w:val="center"/>
          </w:tcPr>
          <w:p w14:paraId="342A8B15">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采取降噪、隔声等措施</w:t>
            </w:r>
          </w:p>
        </w:tc>
        <w:tc>
          <w:tcPr>
            <w:tcW w:w="2982" w:type="dxa"/>
            <w:tcBorders>
              <w:right w:val="single" w:color="000000" w:sz="6" w:space="0"/>
            </w:tcBorders>
            <w:vAlign w:val="center"/>
          </w:tcPr>
          <w:p w14:paraId="39A7CDAA">
            <w:pPr>
              <w:spacing w:line="245" w:lineRule="auto"/>
              <w:jc w:val="center"/>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《工业企业厂界环境噪声排放标准》（GB12348-2008）3类标准要求</w:t>
            </w:r>
          </w:p>
        </w:tc>
      </w:tr>
      <w:tr w14:paraId="00CE8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tcBorders>
              <w:left w:val="single" w:color="000000" w:sz="6" w:space="0"/>
            </w:tcBorders>
            <w:vAlign w:val="center"/>
          </w:tcPr>
          <w:p w14:paraId="5ABE9247">
            <w:pPr>
              <w:spacing w:line="245"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0"/>
                <w:sz w:val="24"/>
                <w:szCs w:val="24"/>
                <w:highlight w:val="none"/>
              </w:rPr>
              <w:t>固体废物</w:t>
            </w:r>
          </w:p>
        </w:tc>
        <w:tc>
          <w:tcPr>
            <w:tcW w:w="7805" w:type="dxa"/>
            <w:gridSpan w:val="4"/>
            <w:tcBorders>
              <w:right w:val="single" w:color="000000" w:sz="6" w:space="0"/>
            </w:tcBorders>
            <w:vAlign w:val="center"/>
          </w:tcPr>
          <w:p w14:paraId="3A16A174">
            <w:pPr>
              <w:spacing w:line="300" w:lineRule="exact"/>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生活垃圾收集后由环卫部门定期清运。一般工业固废废包装材料、不合格品统一收集后选择有资格、有能力的单位进行处置。坏果及果渣日产日清。危险废物废试剂瓶、实验废物、废清洗剂包装收集后暂存于</w:t>
            </w:r>
            <w:r>
              <w:rPr>
                <w:rFonts w:hint="default" w:ascii="Times New Roman" w:hAnsi="Times New Roman" w:eastAsia="宋体" w:cs="Times New Roman"/>
                <w:b w:val="0"/>
                <w:bCs w:val="0"/>
                <w:color w:val="auto"/>
                <w:spacing w:val="0"/>
                <w:sz w:val="24"/>
                <w:szCs w:val="24"/>
                <w:highlight w:val="none"/>
                <w:lang w:eastAsia="zh-CN"/>
              </w:rPr>
              <w:t>危废暂存库</w:t>
            </w:r>
            <w:r>
              <w:rPr>
                <w:rFonts w:hint="default" w:ascii="Times New Roman" w:hAnsi="Times New Roman" w:eastAsia="宋体" w:cs="Times New Roman"/>
                <w:b w:val="0"/>
                <w:bCs w:val="0"/>
                <w:color w:val="auto"/>
                <w:spacing w:val="0"/>
                <w:sz w:val="24"/>
                <w:szCs w:val="24"/>
                <w:highlight w:val="none"/>
              </w:rPr>
              <w:t>，委托有危废资质的单位处置。</w:t>
            </w:r>
          </w:p>
        </w:tc>
      </w:tr>
      <w:tr w14:paraId="312A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tcBorders>
              <w:left w:val="single" w:color="000000" w:sz="6" w:space="0"/>
            </w:tcBorders>
            <w:vAlign w:val="center"/>
          </w:tcPr>
          <w:p w14:paraId="39CA5C38">
            <w:pPr>
              <w:spacing w:line="245"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0"/>
                <w:sz w:val="24"/>
                <w:szCs w:val="24"/>
                <w:highlight w:val="none"/>
              </w:rPr>
              <w:t>土壤及地下水污染防治措施</w:t>
            </w:r>
          </w:p>
        </w:tc>
        <w:tc>
          <w:tcPr>
            <w:tcW w:w="7805" w:type="dxa"/>
            <w:gridSpan w:val="4"/>
            <w:tcBorders>
              <w:right w:val="single" w:color="000000" w:sz="6" w:space="0"/>
            </w:tcBorders>
            <w:vAlign w:val="center"/>
          </w:tcPr>
          <w:p w14:paraId="46C74FCA">
            <w:pPr>
              <w:spacing w:line="300" w:lineRule="exact"/>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本项目对地下水、土壤产生影响的可能环节是生产车间、</w:t>
            </w:r>
            <w:r>
              <w:rPr>
                <w:rFonts w:hint="default" w:ascii="Times New Roman" w:hAnsi="Times New Roman" w:eastAsia="宋体" w:cs="Times New Roman"/>
                <w:b w:val="0"/>
                <w:bCs w:val="0"/>
                <w:color w:val="auto"/>
                <w:spacing w:val="0"/>
                <w:sz w:val="24"/>
                <w:szCs w:val="24"/>
                <w:highlight w:val="none"/>
                <w:lang w:eastAsia="zh-CN"/>
              </w:rPr>
              <w:t>危废暂存库</w:t>
            </w:r>
            <w:r>
              <w:rPr>
                <w:rFonts w:hint="default" w:ascii="Times New Roman" w:hAnsi="Times New Roman" w:eastAsia="宋体" w:cs="Times New Roman"/>
                <w:b w:val="0"/>
                <w:bCs w:val="0"/>
                <w:color w:val="auto"/>
                <w:spacing w:val="0"/>
                <w:sz w:val="24"/>
                <w:szCs w:val="24"/>
                <w:highlight w:val="none"/>
              </w:rPr>
              <w:t>、固废间、化粪池等。</w:t>
            </w:r>
            <w:r>
              <w:rPr>
                <w:rFonts w:hint="default" w:ascii="Times New Roman" w:hAnsi="Times New Roman" w:eastAsia="宋体" w:cs="Times New Roman"/>
                <w:b w:val="0"/>
                <w:bCs w:val="0"/>
                <w:color w:val="auto"/>
                <w:spacing w:val="0"/>
                <w:sz w:val="24"/>
                <w:szCs w:val="24"/>
                <w:highlight w:val="none"/>
                <w:lang w:eastAsia="zh-CN"/>
              </w:rPr>
              <w:t>危废暂存库</w:t>
            </w:r>
            <w:r>
              <w:rPr>
                <w:rFonts w:hint="default" w:ascii="Times New Roman" w:hAnsi="Times New Roman" w:eastAsia="宋体" w:cs="Times New Roman"/>
                <w:b w:val="0"/>
                <w:bCs w:val="0"/>
                <w:color w:val="auto"/>
                <w:spacing w:val="0"/>
                <w:sz w:val="24"/>
                <w:szCs w:val="24"/>
                <w:highlight w:val="none"/>
              </w:rPr>
              <w:t>、</w:t>
            </w:r>
            <w:r>
              <w:rPr>
                <w:rFonts w:hint="eastAsia" w:cs="Times New Roman"/>
                <w:b w:val="0"/>
                <w:bCs w:val="0"/>
                <w:color w:val="auto"/>
                <w:spacing w:val="0"/>
                <w:sz w:val="24"/>
                <w:szCs w:val="24"/>
                <w:highlight w:val="none"/>
                <w:lang w:val="en-US" w:eastAsia="zh-CN"/>
              </w:rPr>
              <w:t>沉砂池</w:t>
            </w:r>
            <w:r>
              <w:rPr>
                <w:rFonts w:hint="default" w:ascii="Times New Roman" w:hAnsi="Times New Roman" w:eastAsia="宋体" w:cs="Times New Roman"/>
                <w:b w:val="0"/>
                <w:bCs w:val="0"/>
                <w:color w:val="auto"/>
                <w:spacing w:val="0"/>
                <w:sz w:val="24"/>
                <w:szCs w:val="24"/>
                <w:highlight w:val="none"/>
              </w:rPr>
              <w:t>等采取重点防渗措施，生产车间、固废间、化粪池等采取一般防渗措施，办公楼、道路等采取简单防渗措施。项目对地下水、土壤产生的影响相对较小。</w:t>
            </w:r>
          </w:p>
        </w:tc>
      </w:tr>
      <w:tr w14:paraId="7009D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tcBorders>
              <w:left w:val="single" w:color="000000" w:sz="6" w:space="0"/>
            </w:tcBorders>
            <w:vAlign w:val="center"/>
          </w:tcPr>
          <w:p w14:paraId="68E88DA5">
            <w:pPr>
              <w:spacing w:line="245"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pacing w:val="0"/>
                <w:sz w:val="24"/>
                <w:szCs w:val="24"/>
                <w:highlight w:val="none"/>
              </w:rPr>
              <w:t>生态保护措施</w:t>
            </w:r>
          </w:p>
        </w:tc>
        <w:tc>
          <w:tcPr>
            <w:tcW w:w="7805" w:type="dxa"/>
            <w:gridSpan w:val="4"/>
            <w:tcBorders>
              <w:right w:val="single" w:color="000000" w:sz="6" w:space="0"/>
            </w:tcBorders>
            <w:vAlign w:val="center"/>
          </w:tcPr>
          <w:p w14:paraId="731A4BD6">
            <w:pPr>
              <w:spacing w:line="300" w:lineRule="exact"/>
              <w:rPr>
                <w:rFonts w:hint="default" w:ascii="Times New Roman" w:hAnsi="Times New Roman" w:eastAsia="宋体" w:cs="Times New Roman"/>
                <w:b w:val="0"/>
                <w:bCs w:val="0"/>
                <w:color w:val="auto"/>
                <w:spacing w:val="0"/>
                <w:sz w:val="24"/>
                <w:szCs w:val="24"/>
                <w:highlight w:val="none"/>
              </w:rPr>
            </w:pPr>
            <w:r>
              <w:rPr>
                <w:rFonts w:hint="default" w:ascii="Times New Roman" w:hAnsi="Times New Roman" w:eastAsia="宋体" w:cs="Times New Roman"/>
                <w:b w:val="0"/>
                <w:bCs w:val="0"/>
                <w:color w:val="auto"/>
                <w:spacing w:val="0"/>
                <w:sz w:val="24"/>
                <w:szCs w:val="24"/>
                <w:highlight w:val="none"/>
              </w:rPr>
              <w:t>项目位于</w:t>
            </w:r>
            <w:r>
              <w:rPr>
                <w:rFonts w:hint="eastAsia" w:cs="Times New Roman"/>
                <w:b w:val="0"/>
                <w:bCs w:val="0"/>
                <w:color w:val="auto"/>
                <w:spacing w:val="0"/>
                <w:sz w:val="24"/>
                <w:szCs w:val="24"/>
                <w:highlight w:val="none"/>
                <w:lang w:val="en-US" w:eastAsia="zh-CN"/>
              </w:rPr>
              <w:t>民丰产业园区内的4号地农副产品加工基地</w:t>
            </w:r>
            <w:r>
              <w:rPr>
                <w:rFonts w:hint="default" w:ascii="Times New Roman" w:hAnsi="Times New Roman" w:eastAsia="宋体" w:cs="Times New Roman"/>
                <w:b w:val="0"/>
                <w:bCs w:val="0"/>
                <w:color w:val="auto"/>
                <w:spacing w:val="0"/>
                <w:sz w:val="24"/>
                <w:szCs w:val="24"/>
                <w:highlight w:val="none"/>
              </w:rPr>
              <w:t>，建设符合</w:t>
            </w:r>
            <w:r>
              <w:rPr>
                <w:rFonts w:hint="eastAsia" w:cs="Times New Roman"/>
                <w:b w:val="0"/>
                <w:bCs w:val="0"/>
                <w:color w:val="auto"/>
                <w:spacing w:val="0"/>
                <w:sz w:val="24"/>
                <w:szCs w:val="24"/>
                <w:highlight w:val="none"/>
                <w:lang w:val="en-US" w:eastAsia="zh-CN"/>
              </w:rPr>
              <w:t>和田地区</w:t>
            </w:r>
            <w:r>
              <w:rPr>
                <w:rFonts w:hint="default" w:ascii="Times New Roman" w:hAnsi="Times New Roman" w:eastAsia="宋体" w:cs="Times New Roman"/>
                <w:b w:val="0"/>
                <w:bCs w:val="0"/>
                <w:color w:val="auto"/>
                <w:spacing w:val="0"/>
                <w:sz w:val="24"/>
                <w:szCs w:val="24"/>
                <w:highlight w:val="none"/>
              </w:rPr>
              <w:t>国土空间规划用地要求。项目用地为工业用地，不涉及生态敏感区。施工期及运营期对生态环境的影响较小。</w:t>
            </w:r>
          </w:p>
        </w:tc>
      </w:tr>
      <w:tr w14:paraId="15AA7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tcBorders>
              <w:left w:val="single" w:color="000000" w:sz="6" w:space="0"/>
            </w:tcBorders>
            <w:vAlign w:val="center"/>
          </w:tcPr>
          <w:p w14:paraId="776623AD">
            <w:pPr>
              <w:spacing w:line="245" w:lineRule="auto"/>
              <w:jc w:val="center"/>
              <w:rPr>
                <w:rFonts w:hint="default" w:ascii="Times New Roman" w:hAnsi="Times New Roman" w:eastAsia="宋体" w:cs="Times New Roman"/>
                <w:b/>
                <w:bCs/>
                <w:color w:val="auto"/>
                <w:spacing w:val="0"/>
                <w:sz w:val="24"/>
                <w:szCs w:val="24"/>
                <w:highlight w:val="none"/>
              </w:rPr>
            </w:pPr>
            <w:r>
              <w:rPr>
                <w:rFonts w:hint="default" w:ascii="Times New Roman" w:hAnsi="Times New Roman" w:eastAsia="宋体" w:cs="Times New Roman"/>
                <w:b/>
                <w:bCs/>
                <w:color w:val="auto"/>
                <w:spacing w:val="0"/>
                <w:sz w:val="24"/>
                <w:szCs w:val="24"/>
                <w:highlight w:val="none"/>
              </w:rPr>
              <w:t>环境风险</w:t>
            </w:r>
          </w:p>
          <w:p w14:paraId="5F399E6A">
            <w:pPr>
              <w:spacing w:line="245" w:lineRule="auto"/>
              <w:jc w:val="center"/>
              <w:rPr>
                <w:rFonts w:ascii="Times New Roman" w:hAnsi="Times New Roman" w:cs="Times New Roman"/>
                <w:b/>
                <w:bCs/>
                <w:color w:val="auto"/>
                <w:highlight w:val="none"/>
              </w:rPr>
            </w:pPr>
            <w:r>
              <w:rPr>
                <w:rFonts w:hint="default" w:ascii="Times New Roman" w:hAnsi="Times New Roman" w:eastAsia="宋体" w:cs="Times New Roman"/>
                <w:b/>
                <w:bCs/>
                <w:color w:val="auto"/>
                <w:spacing w:val="0"/>
                <w:sz w:val="24"/>
                <w:szCs w:val="24"/>
                <w:highlight w:val="none"/>
              </w:rPr>
              <w:t>防范措施</w:t>
            </w:r>
          </w:p>
        </w:tc>
        <w:tc>
          <w:tcPr>
            <w:tcW w:w="7805" w:type="dxa"/>
            <w:gridSpan w:val="4"/>
            <w:tcBorders>
              <w:right w:val="single" w:color="000000" w:sz="6" w:space="0"/>
            </w:tcBorders>
            <w:vAlign w:val="top"/>
          </w:tcPr>
          <w:p w14:paraId="1AA0E145">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火灾事故风险防范措施：</w:t>
            </w:r>
          </w:p>
          <w:p w14:paraId="537052B4">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①企业应当在车间内配备相应数量的灭火器，并定期对灭火器的质量进行检查，以备火灾发生时能够正常使用。采用的电气设备、电缆线路均为防爆型产品；各类储存容器及管线的材质选择、加工质量必须符合要求，强化日常维护检查。</w:t>
            </w:r>
          </w:p>
          <w:p w14:paraId="1209369D">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②加强员工的整体消防安全意识，除了让企业管理人员参加社会消防安全知识培训外，还要对员工进行安全教育，使其掌握防火、灭火、逃生的基础知识，提高其处理突发事件的能力。</w:t>
            </w:r>
          </w:p>
          <w:p w14:paraId="3FF70E85">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③生产过程中严格按照生产操作规范进行，杜绝人为安全隐患。</w:t>
            </w:r>
          </w:p>
          <w:p w14:paraId="6F88D791">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④根据生产工艺特点，编制突发环境事件应急预案，设立厂内应急指挥小组，并和当地事故应急救援部门建立正常联系，一旦出现事故能立刻采取有效救援措施。</w:t>
            </w:r>
          </w:p>
          <w:p w14:paraId="027954F9">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⑤事故发生情况下，立即疏散附近员工和群众，切断电力等供应设施，并及时组织人员控制事故规模，采取应急措施；事故规模较大时及时通知当地专业消防队伍进行救援。</w:t>
            </w:r>
          </w:p>
          <w:p w14:paraId="792D7A02">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⑥环保设施加强维护和检修，防止环保设施故障造成废气超标排放。一旦出现事故，生产工序必须立即停产检修，确保不发生风险事件。</w:t>
            </w:r>
          </w:p>
          <w:p w14:paraId="332439B0">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⑦项目的总平面布置应根据生产性质、工艺要求及火灾危险性的大小等因素，预留相应的防火安全距离；建立完备的消防系统等。</w:t>
            </w:r>
          </w:p>
          <w:p w14:paraId="05964EA6">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泄漏防范措施：</w:t>
            </w:r>
          </w:p>
          <w:p w14:paraId="409753A1">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①物料数量应该保持最小量，并与使用量和保存期限相对应</w:t>
            </w:r>
            <w:r>
              <w:rPr>
                <w:rFonts w:hint="default" w:ascii="Times New Roman" w:hAnsi="Times New Roman" w:eastAsia="宋体" w:cs="Times New Roman"/>
                <w:color w:val="auto"/>
                <w:spacing w:val="-3"/>
                <w:sz w:val="24"/>
                <w:szCs w:val="24"/>
                <w:highlight w:val="none"/>
                <w:lang w:eastAsia="zh-CN"/>
              </w:rPr>
              <w:t>，在</w:t>
            </w:r>
            <w:r>
              <w:rPr>
                <w:rFonts w:hint="default" w:ascii="Times New Roman" w:hAnsi="Times New Roman" w:eastAsia="宋体" w:cs="Times New Roman"/>
                <w:color w:val="auto"/>
                <w:spacing w:val="-3"/>
                <w:sz w:val="24"/>
                <w:szCs w:val="24"/>
                <w:highlight w:val="none"/>
              </w:rPr>
              <w:t>使用过程中进行登记并妥善保管。</w:t>
            </w:r>
          </w:p>
          <w:p w14:paraId="44A51BEC">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②员</w:t>
            </w:r>
            <w:r>
              <w:rPr>
                <w:rFonts w:hint="default" w:ascii="Times New Roman" w:hAnsi="Times New Roman" w:eastAsia="宋体" w:cs="Times New Roman"/>
                <w:color w:val="auto"/>
                <w:spacing w:val="-3"/>
                <w:sz w:val="24"/>
                <w:szCs w:val="24"/>
                <w:highlight w:val="none"/>
                <w:lang w:eastAsia="zh-CN"/>
              </w:rPr>
              <w:t>工在</w:t>
            </w:r>
            <w:r>
              <w:rPr>
                <w:rFonts w:hint="default" w:ascii="Times New Roman" w:hAnsi="Times New Roman" w:eastAsia="宋体" w:cs="Times New Roman"/>
                <w:color w:val="auto"/>
                <w:spacing w:val="-3"/>
                <w:sz w:val="24"/>
                <w:szCs w:val="24"/>
                <w:highlight w:val="none"/>
              </w:rPr>
              <w:t>日常使用过程中按照要求规范操作，防止因不当处置引发的物料包装破损、泄漏等。</w:t>
            </w:r>
          </w:p>
          <w:p w14:paraId="3352C489">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③项目做好分区防渗措施，采用人工材料为基础防渗层，渗透系数分别满足相应区域的防渗要求，并定期检查，发现问题及时处理。</w:t>
            </w:r>
          </w:p>
          <w:p w14:paraId="48453B82">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④在各危险地点和危险设备处，设立安全标志或涂刷相应的安全色。</w:t>
            </w:r>
          </w:p>
          <w:p w14:paraId="74883D53">
            <w:pPr>
              <w:pStyle w:val="119"/>
              <w:spacing w:before="0" w:line="300" w:lineRule="exact"/>
              <w:jc w:val="left"/>
              <w:rPr>
                <w:rFonts w:ascii="Times New Roman" w:hAnsi="Times New Roman" w:cs="Times New Roman"/>
                <w:color w:val="auto"/>
                <w:highlight w:val="none"/>
              </w:rPr>
            </w:pPr>
            <w:r>
              <w:rPr>
                <w:rFonts w:hint="default" w:ascii="Times New Roman" w:hAnsi="Times New Roman" w:eastAsia="宋体" w:cs="Times New Roman"/>
                <w:color w:val="auto"/>
                <w:spacing w:val="-3"/>
                <w:sz w:val="24"/>
                <w:szCs w:val="24"/>
                <w:highlight w:val="none"/>
              </w:rPr>
              <w:t>⑤</w:t>
            </w:r>
            <w:r>
              <w:rPr>
                <w:rFonts w:hint="default" w:ascii="Times New Roman" w:hAnsi="Times New Roman" w:eastAsia="宋体" w:cs="Times New Roman"/>
                <w:color w:val="auto"/>
                <w:spacing w:val="-3"/>
                <w:sz w:val="24"/>
                <w:szCs w:val="24"/>
                <w:highlight w:val="none"/>
                <w:lang w:eastAsia="zh-CN"/>
              </w:rPr>
              <w:t>危废暂存库</w:t>
            </w:r>
            <w:r>
              <w:rPr>
                <w:rFonts w:hint="default" w:ascii="Times New Roman" w:hAnsi="Times New Roman" w:eastAsia="宋体" w:cs="Times New Roman"/>
                <w:color w:val="auto"/>
                <w:spacing w:val="-3"/>
                <w:sz w:val="24"/>
                <w:szCs w:val="24"/>
                <w:highlight w:val="none"/>
              </w:rPr>
              <w:t>外应贴有“危险废物”字样警示标识和危险废物分类标识，危险废液暂时存放应采取防渗漏、防外溢措施。</w:t>
            </w:r>
          </w:p>
        </w:tc>
      </w:tr>
      <w:tr w14:paraId="6A7B1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261" w:type="dxa"/>
            <w:tcBorders>
              <w:left w:val="single" w:color="000000" w:sz="6" w:space="0"/>
              <w:bottom w:val="single" w:color="000000" w:sz="6" w:space="0"/>
            </w:tcBorders>
            <w:vAlign w:val="top"/>
          </w:tcPr>
          <w:p w14:paraId="0705B201">
            <w:pPr>
              <w:pStyle w:val="119"/>
              <w:spacing w:before="78" w:line="242" w:lineRule="auto"/>
              <w:ind w:right="148"/>
              <w:rPr>
                <w:rFonts w:hint="default" w:ascii="Times New Roman" w:hAnsi="Times New Roman" w:eastAsia="宋体" w:cs="Times New Roman"/>
                <w:b/>
                <w:bCs/>
                <w:color w:val="auto"/>
                <w:spacing w:val="-8"/>
                <w:sz w:val="24"/>
                <w:szCs w:val="24"/>
                <w:highlight w:val="none"/>
              </w:rPr>
            </w:pPr>
            <w:r>
              <w:rPr>
                <w:rFonts w:hint="default" w:ascii="Times New Roman" w:hAnsi="Times New Roman" w:eastAsia="宋体" w:cs="Times New Roman"/>
                <w:b/>
                <w:bCs/>
                <w:color w:val="auto"/>
                <w:spacing w:val="-8"/>
                <w:sz w:val="24"/>
                <w:szCs w:val="24"/>
                <w:highlight w:val="none"/>
              </w:rPr>
              <w:t>其他环境管理要求</w:t>
            </w:r>
          </w:p>
        </w:tc>
        <w:tc>
          <w:tcPr>
            <w:tcW w:w="7805" w:type="dxa"/>
            <w:gridSpan w:val="4"/>
            <w:tcBorders>
              <w:bottom w:val="single" w:color="000000" w:sz="6" w:space="0"/>
              <w:right w:val="single" w:color="000000" w:sz="6" w:space="0"/>
            </w:tcBorders>
            <w:vAlign w:val="top"/>
          </w:tcPr>
          <w:p w14:paraId="4F9851CB">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排污许可</w:t>
            </w:r>
          </w:p>
          <w:p w14:paraId="446B129A">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（1）排污许可申请</w:t>
            </w:r>
          </w:p>
          <w:p w14:paraId="023AF7DB">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根据《排污许可管理条例》（中华人民共和国国务院令第736号）的相关规定，在实际排污行为产生前在平台进行排污许可申请，环境影响评价文件及审批意见中与污染物排放相关的主要内容应当纳入排污许可登记管理中，并按照排污许可的规定排放污染物。</w:t>
            </w:r>
          </w:p>
          <w:p w14:paraId="0F27BEC5">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（2）根据《排污许可管理条例》（中华人民共和国国务院令第736号）要求，排污单位应当遵守以下规定：</w:t>
            </w:r>
          </w:p>
          <w:p w14:paraId="6537E26A">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1）排污单位应当遵守排污许可证规定，按照生态环境管理要求运行和维护污染防治设施，建立环境管理制度，严格控制污染物排放。</w:t>
            </w:r>
          </w:p>
          <w:p w14:paraId="34C7E5DE">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2）污染物排放口位置和数量、污染物排放方式和排放去向应当与排污许可证规定相符。</w:t>
            </w:r>
          </w:p>
          <w:p w14:paraId="17FEE373">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3）实施新建、改建、扩建项目和技术改造的排污单位，应当在建设污染防治设施的同时，建设规范化污染物排放口。</w:t>
            </w:r>
          </w:p>
          <w:p w14:paraId="1B28796E">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4）排污单位应当按照排污许可证规定和有关标准规范，依法开展自行监测，并保存原始监测记录。原始监测记录保存期限不得少于5年。</w:t>
            </w:r>
          </w:p>
          <w:p w14:paraId="7A467BE1">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5）排污单位应当对自行监测数据的真实性、准确性负责，不得篡改、伪造。</w:t>
            </w:r>
          </w:p>
          <w:p w14:paraId="4134B1E2">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6）排污单位应当按照排污许可证规定，如实在全国排污许可证管理</w:t>
            </w:r>
          </w:p>
          <w:p w14:paraId="058E8EC8">
            <w:pPr>
              <w:pStyle w:val="119"/>
              <w:spacing w:before="0" w:line="300" w:lineRule="exact"/>
              <w:jc w:val="left"/>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信息平台上公开污染物排放信息。</w:t>
            </w:r>
          </w:p>
        </w:tc>
      </w:tr>
    </w:tbl>
    <w:p w14:paraId="5EEC2AA8">
      <w:pPr>
        <w:pStyle w:val="26"/>
        <w:jc w:val="both"/>
        <w:rPr>
          <w:rFonts w:hint="default" w:ascii="Times New Roman" w:hAnsi="Times New Roman" w:cs="Times New Roman"/>
          <w:color w:val="auto"/>
          <w:highlight w:val="none"/>
        </w:rPr>
        <w:sectPr>
          <w:headerReference r:id="rId9" w:type="default"/>
          <w:pgSz w:w="11906" w:h="16838"/>
          <w:pgMar w:top="1701" w:right="1531" w:bottom="1701" w:left="1531" w:header="1247" w:footer="1304" w:gutter="0"/>
          <w:pgBorders>
            <w:top w:val="none" w:sz="0" w:space="0"/>
            <w:left w:val="none" w:sz="0" w:space="0"/>
            <w:bottom w:val="none" w:sz="0" w:space="0"/>
            <w:right w:val="none" w:sz="0" w:space="0"/>
          </w:pgBorders>
          <w:cols w:space="720" w:num="1"/>
          <w:docGrid w:linePitch="312" w:charSpace="0"/>
        </w:sectPr>
      </w:pPr>
    </w:p>
    <w:p w14:paraId="10E62C86">
      <w:pPr>
        <w:pStyle w:val="26"/>
        <w:rPr>
          <w:rFonts w:hint="default" w:ascii="Times New Roman" w:hAnsi="Times New Roman" w:cs="Times New Roman"/>
          <w:b/>
          <w:color w:val="auto"/>
          <w:sz w:val="36"/>
          <w:highlight w:val="none"/>
        </w:rPr>
      </w:pPr>
      <w:bookmarkStart w:id="33" w:name="_Toc17444"/>
      <w:bookmarkStart w:id="34" w:name="_Toc5987"/>
      <w:r>
        <w:rPr>
          <w:rFonts w:hint="default" w:ascii="Times New Roman" w:hAnsi="Times New Roman" w:cs="Times New Roman"/>
          <w:b/>
          <w:color w:val="auto"/>
          <w:sz w:val="32"/>
          <w:highlight w:val="none"/>
          <w:lang w:val="en-US" w:eastAsia="zh-CN"/>
        </w:rPr>
        <w:t>六</w:t>
      </w:r>
      <w:r>
        <w:rPr>
          <w:rFonts w:hint="default" w:ascii="Times New Roman" w:hAnsi="Times New Roman" w:cs="Times New Roman"/>
          <w:b/>
          <w:color w:val="auto"/>
          <w:sz w:val="36"/>
          <w:highlight w:val="none"/>
        </w:rPr>
        <w:t>、</w:t>
      </w:r>
      <w:r>
        <w:rPr>
          <w:rFonts w:hint="default" w:ascii="Times New Roman" w:hAnsi="Times New Roman" w:cs="Times New Roman"/>
          <w:b/>
          <w:color w:val="auto"/>
          <w:sz w:val="32"/>
          <w:highlight w:val="none"/>
        </w:rPr>
        <w:t>结论</w:t>
      </w:r>
      <w:bookmarkEnd w:id="33"/>
      <w:bookmarkEnd w:id="34"/>
    </w:p>
    <w:tbl>
      <w:tblPr>
        <w:tblStyle w:val="30"/>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9771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32" w:hRule="atLeast"/>
          <w:jc w:val="center"/>
        </w:trPr>
        <w:tc>
          <w:tcPr>
            <w:tcW w:w="8865" w:type="dxa"/>
          </w:tcPr>
          <w:p w14:paraId="54729814">
            <w:pPr>
              <w:adjustRightInd w:val="0"/>
              <w:snapToGrid w:val="0"/>
              <w:spacing w:line="360" w:lineRule="auto"/>
              <w:ind w:firstLine="492" w:firstLineChars="200"/>
              <w:rPr>
                <w:rFonts w:hint="default" w:ascii="Times New Roman" w:hAnsi="Times New Roman" w:cs="Times New Roman"/>
                <w:color w:val="auto"/>
                <w:highlight w:val="none"/>
              </w:rPr>
            </w:pPr>
            <w:r>
              <w:rPr>
                <w:color w:val="auto"/>
                <w:spacing w:val="3"/>
                <w:highlight w:val="none"/>
              </w:rPr>
              <w:t>根据对本项目工程分析以及对环境影响和保护措施评价，本项目总体污染</w:t>
            </w:r>
            <w:r>
              <w:rPr>
                <w:color w:val="auto"/>
                <w:spacing w:val="-4"/>
                <w:highlight w:val="none"/>
              </w:rPr>
              <w:t>程度较低，项目符合国家和地方的相关产业政策，选址符合</w:t>
            </w:r>
            <w:r>
              <w:rPr>
                <w:rFonts w:hint="default" w:eastAsia="宋体" w:cs="Times New Roman"/>
                <w:color w:val="auto"/>
                <w:spacing w:val="-4"/>
                <w:highlight w:val="none"/>
                <w:lang w:val="en-US" w:eastAsia="zh-CN"/>
              </w:rPr>
              <w:t>生态环境分区管控</w:t>
            </w:r>
            <w:r>
              <w:rPr>
                <w:color w:val="auto"/>
                <w:spacing w:val="-4"/>
                <w:highlight w:val="none"/>
              </w:rPr>
              <w:t>和当地规划，</w:t>
            </w:r>
            <w:r>
              <w:rPr>
                <w:color w:val="auto"/>
                <w:spacing w:val="4"/>
                <w:highlight w:val="none"/>
              </w:rPr>
              <w:t>所采用的污染防治措施合理可行，可确保污染物稳</w:t>
            </w:r>
            <w:r>
              <w:rPr>
                <w:color w:val="auto"/>
                <w:spacing w:val="3"/>
                <w:highlight w:val="none"/>
              </w:rPr>
              <w:t>定达标排放；项目</w:t>
            </w:r>
            <w:r>
              <w:rPr>
                <w:color w:val="auto"/>
                <w:spacing w:val="4"/>
                <w:highlight w:val="none"/>
              </w:rPr>
              <w:t>处理达标后的各项污染物对周</w:t>
            </w:r>
            <w:r>
              <w:rPr>
                <w:color w:val="auto"/>
                <w:spacing w:val="3"/>
                <w:highlight w:val="none"/>
              </w:rPr>
              <w:t>围环境的影响较小，不会改变</w:t>
            </w:r>
            <w:r>
              <w:rPr>
                <w:color w:val="auto"/>
                <w:spacing w:val="4"/>
                <w:highlight w:val="none"/>
              </w:rPr>
              <w:t>当地的环境功能区划，项目的环境风险较小且可以</w:t>
            </w:r>
            <w:r>
              <w:rPr>
                <w:color w:val="auto"/>
                <w:spacing w:val="3"/>
                <w:highlight w:val="none"/>
              </w:rPr>
              <w:t>接受。在落实本报告表提出的</w:t>
            </w:r>
            <w:r>
              <w:rPr>
                <w:color w:val="auto"/>
                <w:spacing w:val="1"/>
                <w:highlight w:val="none"/>
              </w:rPr>
              <w:t>各项污染防治措施、严格执行</w:t>
            </w:r>
            <w:r>
              <w:rPr>
                <w:rFonts w:ascii="Times New Roman" w:hAnsi="Times New Roman" w:eastAsia="Times New Roman" w:cs="Times New Roman"/>
                <w:color w:val="auto"/>
                <w:spacing w:val="1"/>
                <w:highlight w:val="none"/>
              </w:rPr>
              <w:t>“</w:t>
            </w:r>
            <w:r>
              <w:rPr>
                <w:color w:val="auto"/>
                <w:spacing w:val="1"/>
                <w:highlight w:val="none"/>
              </w:rPr>
              <w:t>三同时</w:t>
            </w:r>
            <w:r>
              <w:rPr>
                <w:rFonts w:ascii="Times New Roman" w:hAnsi="Times New Roman" w:eastAsia="Times New Roman" w:cs="Times New Roman"/>
                <w:color w:val="auto"/>
                <w:spacing w:val="1"/>
                <w:highlight w:val="none"/>
              </w:rPr>
              <w:t>”</w:t>
            </w:r>
            <w:r>
              <w:rPr>
                <w:color w:val="auto"/>
                <w:spacing w:val="1"/>
                <w:highlight w:val="none"/>
              </w:rPr>
              <w:t>制度的情</w:t>
            </w:r>
            <w:r>
              <w:rPr>
                <w:color w:val="auto"/>
                <w:highlight w:val="none"/>
              </w:rPr>
              <w:t>况下，</w:t>
            </w:r>
            <w:r>
              <w:rPr>
                <w:rFonts w:hint="eastAsia"/>
                <w:color w:val="auto"/>
                <w:highlight w:val="none"/>
              </w:rPr>
              <w:t>从项目满足当地环境质量目标要求的角度分析，民丰产业园果品分选线和NFC汁生产线项目</w:t>
            </w:r>
            <w:r>
              <w:rPr>
                <w:color w:val="auto"/>
                <w:highlight w:val="none"/>
              </w:rPr>
              <w:t>的建设是可行的。</w:t>
            </w:r>
          </w:p>
        </w:tc>
      </w:tr>
    </w:tbl>
    <w:p w14:paraId="2EFF40A1">
      <w:pPr>
        <w:rPr>
          <w:rFonts w:hint="default" w:ascii="Times New Roman" w:hAnsi="Times New Roman" w:cs="Times New Roman"/>
          <w:color w:val="auto"/>
          <w:highlight w:val="none"/>
        </w:rPr>
        <w:sectPr>
          <w:pgSz w:w="11906" w:h="16838"/>
          <w:pgMar w:top="1701" w:right="1531" w:bottom="1701" w:left="1531" w:header="1247" w:footer="1304" w:gutter="0"/>
          <w:pgBorders>
            <w:top w:val="none" w:sz="0" w:space="0"/>
            <w:left w:val="none" w:sz="0" w:space="0"/>
            <w:bottom w:val="none" w:sz="0" w:space="0"/>
            <w:right w:val="none" w:sz="0" w:space="0"/>
          </w:pgBorders>
          <w:cols w:space="720" w:num="1"/>
          <w:docGrid w:linePitch="312" w:charSpace="0"/>
        </w:sectPr>
      </w:pPr>
      <w:bookmarkStart w:id="35" w:name="_Hlk165403379"/>
    </w:p>
    <w:bookmarkEnd w:id="35"/>
    <w:p w14:paraId="261CB2E8">
      <w:pPr>
        <w:spacing w:before="210" w:line="224" w:lineRule="auto"/>
        <w:ind w:left="74"/>
        <w:outlineLvl w:val="1"/>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附表：建设项目污染物排放量汇总表</w:t>
      </w:r>
    </w:p>
    <w:p w14:paraId="0D7F98CA">
      <w:pPr>
        <w:spacing w:line="181" w:lineRule="exact"/>
        <w:rPr>
          <w:color w:val="auto"/>
          <w:highlight w:val="none"/>
        </w:rPr>
      </w:pPr>
    </w:p>
    <w:tbl>
      <w:tblPr>
        <w:tblStyle w:val="118"/>
        <w:tblW w:w="15458" w:type="dxa"/>
        <w:jc w:val="center"/>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fixed"/>
        <w:tblCellMar>
          <w:top w:w="0" w:type="dxa"/>
          <w:left w:w="0" w:type="dxa"/>
          <w:bottom w:w="0" w:type="dxa"/>
          <w:right w:w="0" w:type="dxa"/>
        </w:tblCellMar>
      </w:tblPr>
      <w:tblGrid>
        <w:gridCol w:w="1116"/>
        <w:gridCol w:w="1603"/>
        <w:gridCol w:w="1973"/>
        <w:gridCol w:w="1154"/>
        <w:gridCol w:w="1846"/>
        <w:gridCol w:w="1696"/>
        <w:gridCol w:w="1973"/>
        <w:gridCol w:w="2444"/>
        <w:gridCol w:w="1653"/>
      </w:tblGrid>
      <w:tr w14:paraId="6038C213">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tcBorders>
              <w:top w:val="single" w:color="000000" w:sz="6" w:space="0"/>
              <w:left w:val="single" w:color="000000" w:sz="6" w:space="0"/>
              <w:tl2br w:val="single" w:color="000000" w:sz="4" w:space="0"/>
            </w:tcBorders>
            <w:vAlign w:val="center"/>
          </w:tcPr>
          <w:p w14:paraId="6C8F07CA">
            <w:pPr>
              <w:pStyle w:val="119"/>
              <w:spacing w:before="0" w:line="240" w:lineRule="exact"/>
              <w:ind w:left="0" w:right="0" w:firstLine="0"/>
              <w:jc w:val="right"/>
              <w:rPr>
                <w:b/>
                <w:bCs/>
                <w:color w:val="auto"/>
                <w:spacing w:val="2"/>
                <w:sz w:val="20"/>
                <w:szCs w:val="20"/>
                <w:highlight w:val="none"/>
              </w:rPr>
            </w:pPr>
            <w:r>
              <w:rPr>
                <w:b/>
                <w:bCs/>
                <w:color w:val="auto"/>
                <w:spacing w:val="2"/>
                <w:sz w:val="20"/>
                <w:szCs w:val="20"/>
                <w:highlight w:val="none"/>
              </w:rPr>
              <w:t>项目</w:t>
            </w:r>
          </w:p>
          <w:p w14:paraId="27533CFC">
            <w:pPr>
              <w:pStyle w:val="119"/>
              <w:spacing w:before="0" w:line="240" w:lineRule="exact"/>
              <w:ind w:left="0" w:right="0" w:firstLine="0"/>
              <w:jc w:val="both"/>
              <w:rPr>
                <w:b/>
                <w:bCs/>
                <w:color w:val="auto"/>
                <w:spacing w:val="2"/>
                <w:sz w:val="20"/>
                <w:szCs w:val="20"/>
                <w:highlight w:val="none"/>
              </w:rPr>
            </w:pPr>
          </w:p>
          <w:p w14:paraId="73058533">
            <w:pPr>
              <w:pStyle w:val="119"/>
              <w:spacing w:before="0" w:line="240" w:lineRule="exact"/>
              <w:ind w:left="0" w:right="0" w:firstLine="0"/>
              <w:jc w:val="both"/>
              <w:rPr>
                <w:color w:val="auto"/>
                <w:sz w:val="20"/>
                <w:szCs w:val="20"/>
                <w:highlight w:val="none"/>
              </w:rPr>
            </w:pPr>
            <w:r>
              <w:rPr>
                <w:b/>
                <w:bCs/>
                <w:color w:val="auto"/>
                <w:spacing w:val="2"/>
                <w:sz w:val="20"/>
                <w:szCs w:val="20"/>
                <w:highlight w:val="none"/>
              </w:rPr>
              <w:t>分类</w:t>
            </w:r>
          </w:p>
        </w:tc>
        <w:tc>
          <w:tcPr>
            <w:tcW w:w="1603" w:type="dxa"/>
            <w:tcBorders>
              <w:top w:val="single" w:color="000000" w:sz="6" w:space="0"/>
            </w:tcBorders>
            <w:vAlign w:val="center"/>
          </w:tcPr>
          <w:p w14:paraId="44809335">
            <w:pPr>
              <w:pStyle w:val="119"/>
              <w:spacing w:before="0" w:line="240" w:lineRule="exact"/>
              <w:ind w:left="0"/>
              <w:jc w:val="center"/>
              <w:rPr>
                <w:color w:val="auto"/>
                <w:sz w:val="20"/>
                <w:szCs w:val="20"/>
                <w:highlight w:val="none"/>
              </w:rPr>
            </w:pPr>
            <w:r>
              <w:rPr>
                <w:b/>
                <w:bCs/>
                <w:color w:val="auto"/>
                <w:spacing w:val="6"/>
                <w:sz w:val="20"/>
                <w:szCs w:val="20"/>
                <w:highlight w:val="none"/>
              </w:rPr>
              <w:t>污染物名称</w:t>
            </w:r>
          </w:p>
        </w:tc>
        <w:tc>
          <w:tcPr>
            <w:tcW w:w="1973" w:type="dxa"/>
            <w:tcBorders>
              <w:top w:val="single" w:color="000000" w:sz="6" w:space="0"/>
            </w:tcBorders>
            <w:vAlign w:val="center"/>
          </w:tcPr>
          <w:p w14:paraId="3A3DC61D">
            <w:pPr>
              <w:pStyle w:val="119"/>
              <w:spacing w:before="0" w:line="240" w:lineRule="exact"/>
              <w:ind w:left="0"/>
              <w:jc w:val="center"/>
              <w:rPr>
                <w:color w:val="auto"/>
                <w:sz w:val="20"/>
                <w:szCs w:val="20"/>
                <w:highlight w:val="none"/>
              </w:rPr>
            </w:pPr>
            <w:r>
              <w:rPr>
                <w:b/>
                <w:bCs/>
                <w:color w:val="auto"/>
                <w:spacing w:val="6"/>
                <w:sz w:val="20"/>
                <w:szCs w:val="20"/>
                <w:highlight w:val="none"/>
              </w:rPr>
              <w:t>现有工程</w:t>
            </w:r>
            <w:r>
              <w:rPr>
                <w:b/>
                <w:bCs/>
                <w:color w:val="auto"/>
                <w:spacing w:val="7"/>
                <w:sz w:val="20"/>
                <w:szCs w:val="20"/>
                <w:highlight w:val="none"/>
              </w:rPr>
              <w:t>排放量（固体废物产生量）①</w:t>
            </w:r>
          </w:p>
        </w:tc>
        <w:tc>
          <w:tcPr>
            <w:tcW w:w="1154" w:type="dxa"/>
            <w:tcBorders>
              <w:top w:val="single" w:color="000000" w:sz="6" w:space="0"/>
            </w:tcBorders>
            <w:vAlign w:val="center"/>
          </w:tcPr>
          <w:p w14:paraId="3DE52E42">
            <w:pPr>
              <w:pStyle w:val="119"/>
              <w:spacing w:before="0" w:line="240" w:lineRule="exact"/>
              <w:ind w:left="0"/>
              <w:jc w:val="center"/>
              <w:rPr>
                <w:color w:val="auto"/>
                <w:sz w:val="20"/>
                <w:szCs w:val="20"/>
                <w:highlight w:val="none"/>
              </w:rPr>
            </w:pPr>
            <w:r>
              <w:rPr>
                <w:b/>
                <w:bCs/>
                <w:color w:val="auto"/>
                <w:spacing w:val="6"/>
                <w:sz w:val="20"/>
                <w:szCs w:val="20"/>
                <w:highlight w:val="none"/>
              </w:rPr>
              <w:t>现有工程许可排放量</w:t>
            </w:r>
            <w:r>
              <w:rPr>
                <w:b/>
                <w:bCs/>
                <w:color w:val="auto"/>
                <w:sz w:val="20"/>
                <w:szCs w:val="20"/>
                <w:highlight w:val="none"/>
              </w:rPr>
              <w:t>②</w:t>
            </w:r>
          </w:p>
        </w:tc>
        <w:tc>
          <w:tcPr>
            <w:tcW w:w="1846" w:type="dxa"/>
            <w:tcBorders>
              <w:top w:val="single" w:color="000000" w:sz="6" w:space="0"/>
            </w:tcBorders>
            <w:vAlign w:val="center"/>
          </w:tcPr>
          <w:p w14:paraId="6DD9E4A3">
            <w:pPr>
              <w:pStyle w:val="119"/>
              <w:spacing w:before="0" w:line="240" w:lineRule="exact"/>
              <w:ind w:left="0"/>
              <w:jc w:val="center"/>
              <w:rPr>
                <w:color w:val="auto"/>
                <w:sz w:val="20"/>
                <w:szCs w:val="20"/>
                <w:highlight w:val="none"/>
              </w:rPr>
            </w:pPr>
            <w:r>
              <w:rPr>
                <w:b/>
                <w:bCs/>
                <w:color w:val="auto"/>
                <w:spacing w:val="6"/>
                <w:sz w:val="20"/>
                <w:szCs w:val="20"/>
                <w:highlight w:val="none"/>
              </w:rPr>
              <w:t>在建工程</w:t>
            </w:r>
            <w:r>
              <w:rPr>
                <w:b/>
                <w:bCs/>
                <w:color w:val="auto"/>
                <w:spacing w:val="7"/>
                <w:sz w:val="20"/>
                <w:szCs w:val="20"/>
                <w:highlight w:val="none"/>
              </w:rPr>
              <w:t>排放量（固体废物</w:t>
            </w:r>
            <w:r>
              <w:rPr>
                <w:b/>
                <w:bCs/>
                <w:color w:val="auto"/>
                <w:spacing w:val="6"/>
                <w:sz w:val="20"/>
                <w:szCs w:val="20"/>
                <w:highlight w:val="none"/>
              </w:rPr>
              <w:t>产生量）③</w:t>
            </w:r>
          </w:p>
        </w:tc>
        <w:tc>
          <w:tcPr>
            <w:tcW w:w="1696" w:type="dxa"/>
            <w:tcBorders>
              <w:top w:val="single" w:color="000000" w:sz="6" w:space="0"/>
            </w:tcBorders>
            <w:vAlign w:val="center"/>
          </w:tcPr>
          <w:p w14:paraId="35F8FF13">
            <w:pPr>
              <w:pStyle w:val="119"/>
              <w:spacing w:before="0" w:line="240" w:lineRule="exact"/>
              <w:ind w:left="0"/>
              <w:jc w:val="center"/>
              <w:rPr>
                <w:color w:val="auto"/>
                <w:sz w:val="20"/>
                <w:szCs w:val="20"/>
                <w:highlight w:val="none"/>
              </w:rPr>
            </w:pPr>
            <w:r>
              <w:rPr>
                <w:b/>
                <w:bCs/>
                <w:color w:val="auto"/>
                <w:spacing w:val="5"/>
                <w:sz w:val="20"/>
                <w:szCs w:val="20"/>
                <w:highlight w:val="none"/>
              </w:rPr>
              <w:t>本项目</w:t>
            </w:r>
            <w:r>
              <w:rPr>
                <w:b/>
                <w:bCs/>
                <w:color w:val="auto"/>
                <w:spacing w:val="7"/>
                <w:sz w:val="20"/>
                <w:szCs w:val="20"/>
                <w:highlight w:val="none"/>
              </w:rPr>
              <w:t>排放量（固体废物产</w:t>
            </w:r>
            <w:r>
              <w:rPr>
                <w:b/>
                <w:bCs/>
                <w:color w:val="auto"/>
                <w:spacing w:val="5"/>
                <w:sz w:val="20"/>
                <w:szCs w:val="20"/>
                <w:highlight w:val="none"/>
              </w:rPr>
              <w:t>生量）④</w:t>
            </w:r>
          </w:p>
        </w:tc>
        <w:tc>
          <w:tcPr>
            <w:tcW w:w="1973" w:type="dxa"/>
            <w:tcBorders>
              <w:top w:val="single" w:color="000000" w:sz="6" w:space="0"/>
            </w:tcBorders>
            <w:vAlign w:val="center"/>
          </w:tcPr>
          <w:p w14:paraId="35DD8865">
            <w:pPr>
              <w:pStyle w:val="119"/>
              <w:spacing w:before="0" w:line="240" w:lineRule="exact"/>
              <w:ind w:left="0"/>
              <w:jc w:val="center"/>
              <w:rPr>
                <w:color w:val="auto"/>
                <w:sz w:val="20"/>
                <w:szCs w:val="20"/>
                <w:highlight w:val="none"/>
              </w:rPr>
            </w:pPr>
            <w:r>
              <w:rPr>
                <w:b/>
                <w:bCs/>
                <w:color w:val="auto"/>
                <w:spacing w:val="3"/>
                <w:sz w:val="20"/>
                <w:szCs w:val="20"/>
                <w:highlight w:val="none"/>
              </w:rPr>
              <w:t>以新带老削减量</w:t>
            </w:r>
          </w:p>
          <w:p w14:paraId="47BFC671">
            <w:pPr>
              <w:pStyle w:val="119"/>
              <w:spacing w:before="0" w:line="240" w:lineRule="exact"/>
              <w:ind w:left="0"/>
              <w:jc w:val="center"/>
              <w:rPr>
                <w:color w:val="auto"/>
                <w:sz w:val="20"/>
                <w:szCs w:val="20"/>
                <w:highlight w:val="none"/>
              </w:rPr>
            </w:pPr>
            <w:r>
              <w:rPr>
                <w:b/>
                <w:bCs/>
                <w:color w:val="auto"/>
                <w:spacing w:val="5"/>
                <w:sz w:val="20"/>
                <w:szCs w:val="20"/>
                <w:highlight w:val="none"/>
              </w:rPr>
              <w:t>（新建项目不填）⑤</w:t>
            </w:r>
          </w:p>
        </w:tc>
        <w:tc>
          <w:tcPr>
            <w:tcW w:w="2444" w:type="dxa"/>
            <w:tcBorders>
              <w:top w:val="single" w:color="000000" w:sz="6" w:space="0"/>
            </w:tcBorders>
            <w:vAlign w:val="center"/>
          </w:tcPr>
          <w:p w14:paraId="5345EE4D">
            <w:pPr>
              <w:pStyle w:val="119"/>
              <w:spacing w:before="0" w:line="240" w:lineRule="exact"/>
              <w:ind w:left="0" w:right="0" w:firstLine="0"/>
              <w:jc w:val="center"/>
              <w:rPr>
                <w:color w:val="auto"/>
                <w:sz w:val="20"/>
                <w:szCs w:val="20"/>
                <w:highlight w:val="none"/>
              </w:rPr>
            </w:pPr>
            <w:r>
              <w:rPr>
                <w:b/>
                <w:bCs/>
                <w:color w:val="auto"/>
                <w:spacing w:val="6"/>
                <w:sz w:val="20"/>
                <w:szCs w:val="20"/>
                <w:highlight w:val="none"/>
              </w:rPr>
              <w:t>本项目建成后</w:t>
            </w:r>
            <w:r>
              <w:rPr>
                <w:b/>
                <w:bCs/>
                <w:color w:val="auto"/>
                <w:spacing w:val="7"/>
                <w:sz w:val="20"/>
                <w:szCs w:val="20"/>
                <w:highlight w:val="none"/>
              </w:rPr>
              <w:t>全厂排放量（固体废物产生量）⑥</w:t>
            </w:r>
          </w:p>
        </w:tc>
        <w:tc>
          <w:tcPr>
            <w:tcW w:w="1653" w:type="dxa"/>
            <w:tcBorders>
              <w:top w:val="single" w:color="000000" w:sz="6" w:space="0"/>
              <w:right w:val="single" w:color="000000" w:sz="6" w:space="0"/>
            </w:tcBorders>
            <w:vAlign w:val="center"/>
          </w:tcPr>
          <w:p w14:paraId="2B56164D">
            <w:pPr>
              <w:pStyle w:val="119"/>
              <w:spacing w:before="0" w:line="240" w:lineRule="exact"/>
              <w:ind w:left="0" w:right="0" w:firstLine="0"/>
              <w:jc w:val="center"/>
              <w:rPr>
                <w:color w:val="auto"/>
                <w:sz w:val="20"/>
                <w:szCs w:val="20"/>
                <w:highlight w:val="none"/>
              </w:rPr>
            </w:pPr>
            <w:r>
              <w:rPr>
                <w:b/>
                <w:bCs/>
                <w:color w:val="auto"/>
                <w:spacing w:val="5"/>
                <w:sz w:val="20"/>
                <w:szCs w:val="20"/>
                <w:highlight w:val="none"/>
              </w:rPr>
              <w:t>变化量</w:t>
            </w:r>
            <w:r>
              <w:rPr>
                <w:b/>
                <w:bCs/>
                <w:color w:val="auto"/>
                <w:sz w:val="20"/>
                <w:szCs w:val="20"/>
                <w:highlight w:val="none"/>
              </w:rPr>
              <w:t>⑦</w:t>
            </w:r>
          </w:p>
        </w:tc>
      </w:tr>
      <w:tr w14:paraId="14C85A8B">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restart"/>
            <w:tcBorders>
              <w:left w:val="single" w:color="000000" w:sz="6" w:space="0"/>
            </w:tcBorders>
            <w:vAlign w:val="center"/>
          </w:tcPr>
          <w:p w14:paraId="6AE0C7B7">
            <w:pPr>
              <w:spacing w:before="0" w:line="240" w:lineRule="exact"/>
              <w:ind w:left="0"/>
              <w:jc w:val="center"/>
              <w:rPr>
                <w:rFonts w:hint="eastAsia" w:eastAsia="Times New Roman"/>
                <w:color w:val="auto"/>
                <w:sz w:val="20"/>
                <w:szCs w:val="20"/>
                <w:highlight w:val="none"/>
              </w:rPr>
            </w:pPr>
            <w:r>
              <w:rPr>
                <w:rFonts w:hint="eastAsia" w:eastAsia="Times New Roman"/>
                <w:color w:val="auto"/>
                <w:spacing w:val="0"/>
                <w:sz w:val="20"/>
                <w:szCs w:val="20"/>
                <w:highlight w:val="none"/>
              </w:rPr>
              <w:t>废气</w:t>
            </w:r>
          </w:p>
        </w:tc>
        <w:tc>
          <w:tcPr>
            <w:tcW w:w="1603" w:type="dxa"/>
            <w:vAlign w:val="top"/>
          </w:tcPr>
          <w:p w14:paraId="6CA08A98">
            <w:pPr>
              <w:spacing w:before="0" w:line="240" w:lineRule="exact"/>
              <w:ind w:left="0"/>
              <w:jc w:val="center"/>
              <w:rPr>
                <w:rFonts w:hint="eastAsia" w:eastAsia="Times New Roman"/>
                <w:color w:val="auto"/>
                <w:sz w:val="20"/>
                <w:szCs w:val="20"/>
                <w:highlight w:val="none"/>
              </w:rPr>
            </w:pPr>
            <w:r>
              <w:rPr>
                <w:rFonts w:hint="eastAsia" w:eastAsia="Times New Roman"/>
                <w:color w:val="auto"/>
                <w:spacing w:val="0"/>
                <w:sz w:val="20"/>
                <w:szCs w:val="20"/>
                <w:highlight w:val="none"/>
              </w:rPr>
              <w:t>颗粒物</w:t>
            </w:r>
          </w:p>
        </w:tc>
        <w:tc>
          <w:tcPr>
            <w:tcW w:w="1973" w:type="dxa"/>
            <w:vAlign w:val="top"/>
          </w:tcPr>
          <w:p w14:paraId="7AAA3357">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154" w:type="dxa"/>
            <w:vAlign w:val="top"/>
          </w:tcPr>
          <w:p w14:paraId="0E9290D6">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846" w:type="dxa"/>
            <w:vAlign w:val="top"/>
          </w:tcPr>
          <w:p w14:paraId="63110891">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696" w:type="dxa"/>
            <w:vAlign w:val="center"/>
          </w:tcPr>
          <w:p w14:paraId="495F95A8">
            <w:pPr>
              <w:spacing w:before="0" w:line="240" w:lineRule="exact"/>
              <w:ind w:left="0" w:leftChars="0"/>
              <w:jc w:val="center"/>
              <w:rPr>
                <w:rFonts w:hint="eastAsia" w:ascii="Times New Roman" w:hAnsi="Times New Roman" w:eastAsia="Times New Roman" w:cs="Times New Roman"/>
                <w:color w:val="auto"/>
                <w:sz w:val="20"/>
                <w:szCs w:val="20"/>
                <w:highlight w:val="none"/>
                <w:lang w:val="en-US" w:eastAsia="zh-CN"/>
              </w:rPr>
            </w:pPr>
            <w:r>
              <w:rPr>
                <w:rFonts w:hint="eastAsia" w:ascii="Times New Roman" w:hAnsi="Times New Roman" w:eastAsia="Times New Roman" w:cs="Times New Roman"/>
                <w:color w:val="auto"/>
                <w:sz w:val="20"/>
                <w:szCs w:val="20"/>
                <w:highlight w:val="none"/>
                <w:lang w:val="en-US" w:eastAsia="zh-CN"/>
              </w:rPr>
              <w:t>0.0006</w:t>
            </w:r>
          </w:p>
        </w:tc>
        <w:tc>
          <w:tcPr>
            <w:tcW w:w="1973" w:type="dxa"/>
            <w:vAlign w:val="top"/>
          </w:tcPr>
          <w:p w14:paraId="42FC8A0E">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2444" w:type="dxa"/>
            <w:vAlign w:val="center"/>
          </w:tcPr>
          <w:p w14:paraId="70E59176">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0.0006</w:t>
            </w:r>
          </w:p>
        </w:tc>
        <w:tc>
          <w:tcPr>
            <w:tcW w:w="1653" w:type="dxa"/>
            <w:tcBorders>
              <w:right w:val="single" w:color="000000" w:sz="6" w:space="0"/>
            </w:tcBorders>
            <w:vAlign w:val="center"/>
          </w:tcPr>
          <w:p w14:paraId="5AC58C63">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0.0006</w:t>
            </w:r>
          </w:p>
        </w:tc>
      </w:tr>
      <w:tr w14:paraId="57B94BDE">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tcBorders>
            <w:vAlign w:val="center"/>
          </w:tcPr>
          <w:p w14:paraId="43C8C2BA">
            <w:pPr>
              <w:spacing w:before="0" w:line="240" w:lineRule="exact"/>
              <w:jc w:val="center"/>
              <w:rPr>
                <w:rFonts w:hint="eastAsia" w:ascii="Times New Roman" w:eastAsia="Times New Roman"/>
                <w:color w:val="auto"/>
                <w:sz w:val="20"/>
                <w:szCs w:val="20"/>
                <w:highlight w:val="none"/>
              </w:rPr>
            </w:pPr>
          </w:p>
        </w:tc>
        <w:tc>
          <w:tcPr>
            <w:tcW w:w="1603" w:type="dxa"/>
            <w:vAlign w:val="top"/>
          </w:tcPr>
          <w:p w14:paraId="3DEF7E7B">
            <w:pPr>
              <w:spacing w:before="0" w:line="240" w:lineRule="exact"/>
              <w:ind w:left="0"/>
              <w:jc w:val="center"/>
              <w:rPr>
                <w:rFonts w:hint="eastAsia" w:eastAsia="Times New Roman"/>
                <w:color w:val="auto"/>
                <w:sz w:val="20"/>
                <w:szCs w:val="20"/>
                <w:highlight w:val="none"/>
              </w:rPr>
            </w:pPr>
            <w:r>
              <w:rPr>
                <w:rFonts w:hint="eastAsia" w:eastAsia="Times New Roman"/>
                <w:color w:val="auto"/>
                <w:spacing w:val="0"/>
                <w:sz w:val="20"/>
                <w:szCs w:val="20"/>
                <w:highlight w:val="none"/>
              </w:rPr>
              <w:t>二氧化硫</w:t>
            </w:r>
          </w:p>
        </w:tc>
        <w:tc>
          <w:tcPr>
            <w:tcW w:w="1973" w:type="dxa"/>
            <w:vAlign w:val="top"/>
          </w:tcPr>
          <w:p w14:paraId="1EAF38C1">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154" w:type="dxa"/>
            <w:vAlign w:val="top"/>
          </w:tcPr>
          <w:p w14:paraId="51FF9521">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846" w:type="dxa"/>
            <w:vAlign w:val="top"/>
          </w:tcPr>
          <w:p w14:paraId="27175186">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696" w:type="dxa"/>
            <w:vAlign w:val="center"/>
          </w:tcPr>
          <w:p w14:paraId="04A88644">
            <w:pPr>
              <w:spacing w:before="0" w:line="240" w:lineRule="exact"/>
              <w:ind w:left="0" w:leftChars="0"/>
              <w:jc w:val="center"/>
              <w:rPr>
                <w:rFonts w:hint="eastAsia" w:ascii="Times New Roman" w:hAnsi="Times New Roman" w:eastAsia="Times New Roman" w:cs="Times New Roman"/>
                <w:color w:val="auto"/>
                <w:sz w:val="20"/>
                <w:szCs w:val="20"/>
                <w:highlight w:val="none"/>
                <w:lang w:val="en-US" w:eastAsia="zh-CN"/>
              </w:rPr>
            </w:pPr>
            <w:r>
              <w:rPr>
                <w:rFonts w:hint="eastAsia" w:ascii="Times New Roman" w:hAnsi="Times New Roman" w:eastAsia="Times New Roman" w:cs="Times New Roman"/>
                <w:color w:val="auto"/>
                <w:sz w:val="20"/>
                <w:szCs w:val="20"/>
                <w:highlight w:val="none"/>
                <w:lang w:val="en-US" w:eastAsia="zh-CN"/>
              </w:rPr>
              <w:t>0.0115</w:t>
            </w:r>
          </w:p>
        </w:tc>
        <w:tc>
          <w:tcPr>
            <w:tcW w:w="1973" w:type="dxa"/>
            <w:vAlign w:val="top"/>
          </w:tcPr>
          <w:p w14:paraId="2C4EF403">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2444" w:type="dxa"/>
            <w:vAlign w:val="center"/>
          </w:tcPr>
          <w:p w14:paraId="35BA13D8">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0.0115</w:t>
            </w:r>
          </w:p>
        </w:tc>
        <w:tc>
          <w:tcPr>
            <w:tcW w:w="1653" w:type="dxa"/>
            <w:tcBorders>
              <w:right w:val="single" w:color="000000" w:sz="6" w:space="0"/>
            </w:tcBorders>
            <w:vAlign w:val="center"/>
          </w:tcPr>
          <w:p w14:paraId="59631FC9">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0.0115</w:t>
            </w:r>
          </w:p>
        </w:tc>
      </w:tr>
      <w:tr w14:paraId="19059F6D">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tcBorders>
            <w:vAlign w:val="center"/>
          </w:tcPr>
          <w:p w14:paraId="3141FCE8">
            <w:pPr>
              <w:spacing w:before="0" w:line="240" w:lineRule="exact"/>
              <w:jc w:val="center"/>
              <w:rPr>
                <w:rFonts w:hint="eastAsia" w:ascii="Times New Roman" w:eastAsia="Times New Roman"/>
                <w:color w:val="auto"/>
                <w:sz w:val="20"/>
                <w:szCs w:val="20"/>
                <w:highlight w:val="none"/>
              </w:rPr>
            </w:pPr>
          </w:p>
        </w:tc>
        <w:tc>
          <w:tcPr>
            <w:tcW w:w="1603" w:type="dxa"/>
            <w:vAlign w:val="top"/>
          </w:tcPr>
          <w:p w14:paraId="63F92CBB">
            <w:pPr>
              <w:spacing w:before="0" w:line="240" w:lineRule="exact"/>
              <w:ind w:left="0"/>
              <w:jc w:val="center"/>
              <w:rPr>
                <w:rFonts w:hint="eastAsia" w:eastAsia="Times New Roman"/>
                <w:color w:val="auto"/>
                <w:sz w:val="20"/>
                <w:szCs w:val="20"/>
                <w:highlight w:val="none"/>
              </w:rPr>
            </w:pPr>
            <w:r>
              <w:rPr>
                <w:rFonts w:hint="eastAsia" w:eastAsia="Times New Roman"/>
                <w:color w:val="auto"/>
                <w:spacing w:val="0"/>
                <w:sz w:val="20"/>
                <w:szCs w:val="20"/>
                <w:highlight w:val="none"/>
              </w:rPr>
              <w:t>氮氧化物</w:t>
            </w:r>
          </w:p>
        </w:tc>
        <w:tc>
          <w:tcPr>
            <w:tcW w:w="1973" w:type="dxa"/>
            <w:vAlign w:val="top"/>
          </w:tcPr>
          <w:p w14:paraId="736FC659">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154" w:type="dxa"/>
            <w:vAlign w:val="top"/>
          </w:tcPr>
          <w:p w14:paraId="1AE0CB74">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846" w:type="dxa"/>
            <w:vAlign w:val="top"/>
          </w:tcPr>
          <w:p w14:paraId="3B66C7C6">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696" w:type="dxa"/>
            <w:vAlign w:val="center"/>
          </w:tcPr>
          <w:p w14:paraId="0CE75EC8">
            <w:pPr>
              <w:spacing w:before="0" w:line="240" w:lineRule="exact"/>
              <w:ind w:left="0" w:leftChars="0"/>
              <w:jc w:val="center"/>
              <w:rPr>
                <w:rFonts w:hint="eastAsia" w:ascii="Times New Roman" w:hAnsi="Times New Roman" w:eastAsia="Times New Roman" w:cs="Times New Roman"/>
                <w:color w:val="auto"/>
                <w:sz w:val="20"/>
                <w:szCs w:val="20"/>
                <w:highlight w:val="none"/>
                <w:lang w:val="en-US" w:eastAsia="zh-CN"/>
              </w:rPr>
            </w:pPr>
            <w:r>
              <w:rPr>
                <w:rFonts w:hint="eastAsia" w:ascii="Times New Roman" w:hAnsi="Times New Roman" w:eastAsia="Times New Roman" w:cs="Times New Roman"/>
                <w:color w:val="auto"/>
                <w:sz w:val="20"/>
                <w:szCs w:val="20"/>
                <w:highlight w:val="none"/>
                <w:lang w:val="en-US" w:eastAsia="zh-CN"/>
              </w:rPr>
              <w:t>0.0401</w:t>
            </w:r>
          </w:p>
        </w:tc>
        <w:tc>
          <w:tcPr>
            <w:tcW w:w="1973" w:type="dxa"/>
            <w:vAlign w:val="top"/>
          </w:tcPr>
          <w:p w14:paraId="045790A4">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2444" w:type="dxa"/>
            <w:vAlign w:val="center"/>
          </w:tcPr>
          <w:p w14:paraId="65B999C9">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0.0401</w:t>
            </w:r>
          </w:p>
        </w:tc>
        <w:tc>
          <w:tcPr>
            <w:tcW w:w="1653" w:type="dxa"/>
            <w:tcBorders>
              <w:right w:val="single" w:color="000000" w:sz="6" w:space="0"/>
            </w:tcBorders>
            <w:vAlign w:val="center"/>
          </w:tcPr>
          <w:p w14:paraId="6190038B">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0.0401</w:t>
            </w:r>
          </w:p>
        </w:tc>
      </w:tr>
      <w:tr w14:paraId="55F839E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tcBorders>
            <w:vAlign w:val="center"/>
          </w:tcPr>
          <w:p w14:paraId="74EFB53E">
            <w:pPr>
              <w:spacing w:before="0" w:line="240" w:lineRule="exact"/>
              <w:jc w:val="center"/>
              <w:rPr>
                <w:rFonts w:hint="eastAsia" w:ascii="Times New Roman" w:eastAsia="Times New Roman"/>
                <w:color w:val="auto"/>
                <w:sz w:val="20"/>
                <w:szCs w:val="20"/>
                <w:highlight w:val="none"/>
              </w:rPr>
            </w:pPr>
          </w:p>
        </w:tc>
        <w:tc>
          <w:tcPr>
            <w:tcW w:w="1603" w:type="dxa"/>
            <w:vAlign w:val="top"/>
          </w:tcPr>
          <w:p w14:paraId="58901097">
            <w:pPr>
              <w:spacing w:before="0" w:line="240" w:lineRule="exact"/>
              <w:ind w:left="0"/>
              <w:jc w:val="center"/>
              <w:rPr>
                <w:rFonts w:hint="eastAsia" w:eastAsia="Times New Roman"/>
                <w:color w:val="auto"/>
                <w:sz w:val="20"/>
                <w:szCs w:val="20"/>
                <w:highlight w:val="none"/>
              </w:rPr>
            </w:pPr>
            <w:r>
              <w:rPr>
                <w:rFonts w:hint="eastAsia" w:eastAsia="Times New Roman"/>
                <w:color w:val="auto"/>
                <w:spacing w:val="0"/>
                <w:sz w:val="20"/>
                <w:szCs w:val="20"/>
                <w:highlight w:val="none"/>
              </w:rPr>
              <w:t>硫化氢</w:t>
            </w:r>
          </w:p>
        </w:tc>
        <w:tc>
          <w:tcPr>
            <w:tcW w:w="1973" w:type="dxa"/>
            <w:vAlign w:val="top"/>
          </w:tcPr>
          <w:p w14:paraId="7236A6D5">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154" w:type="dxa"/>
            <w:vAlign w:val="top"/>
          </w:tcPr>
          <w:p w14:paraId="6B8B779C">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846" w:type="dxa"/>
            <w:vAlign w:val="top"/>
          </w:tcPr>
          <w:p w14:paraId="7F910858">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696" w:type="dxa"/>
            <w:vAlign w:val="center"/>
          </w:tcPr>
          <w:p w14:paraId="7AF7020F">
            <w:pPr>
              <w:spacing w:before="0" w:line="240" w:lineRule="exact"/>
              <w:ind w:left="0" w:leftChars="0"/>
              <w:jc w:val="center"/>
              <w:rPr>
                <w:rFonts w:hint="eastAsia" w:ascii="Times New Roman" w:hAnsi="Times New Roman" w:eastAsia="Times New Roman" w:cs="Times New Roman"/>
                <w:color w:val="auto"/>
                <w:sz w:val="20"/>
                <w:szCs w:val="20"/>
                <w:highlight w:val="none"/>
                <w:lang w:val="en-US" w:eastAsia="zh-CN"/>
              </w:rPr>
            </w:pPr>
            <w:r>
              <w:rPr>
                <w:rFonts w:hint="eastAsia" w:ascii="Times New Roman" w:hAnsi="Times New Roman" w:eastAsia="Times New Roman" w:cs="Times New Roman"/>
                <w:color w:val="auto"/>
                <w:sz w:val="20"/>
                <w:szCs w:val="20"/>
                <w:highlight w:val="none"/>
                <w:lang w:val="en-US" w:eastAsia="zh-CN"/>
              </w:rPr>
              <w:t>0</w:t>
            </w:r>
          </w:p>
        </w:tc>
        <w:tc>
          <w:tcPr>
            <w:tcW w:w="1973" w:type="dxa"/>
            <w:vAlign w:val="top"/>
          </w:tcPr>
          <w:p w14:paraId="161FCBBF">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2444" w:type="dxa"/>
            <w:vAlign w:val="center"/>
          </w:tcPr>
          <w:p w14:paraId="6CCF62DE">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w:t>
            </w:r>
          </w:p>
        </w:tc>
        <w:tc>
          <w:tcPr>
            <w:tcW w:w="1653" w:type="dxa"/>
            <w:tcBorders>
              <w:right w:val="single" w:color="000000" w:sz="6" w:space="0"/>
            </w:tcBorders>
            <w:vAlign w:val="center"/>
          </w:tcPr>
          <w:p w14:paraId="65AE2266">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w:t>
            </w:r>
          </w:p>
        </w:tc>
      </w:tr>
      <w:tr w14:paraId="686EA47D">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tcBorders>
            <w:vAlign w:val="center"/>
          </w:tcPr>
          <w:p w14:paraId="36CED384">
            <w:pPr>
              <w:spacing w:before="0" w:line="240" w:lineRule="exact"/>
              <w:jc w:val="center"/>
              <w:rPr>
                <w:rFonts w:hint="eastAsia" w:ascii="Times New Roman" w:eastAsia="Times New Roman"/>
                <w:color w:val="auto"/>
                <w:sz w:val="20"/>
                <w:szCs w:val="20"/>
                <w:highlight w:val="none"/>
              </w:rPr>
            </w:pPr>
          </w:p>
        </w:tc>
        <w:tc>
          <w:tcPr>
            <w:tcW w:w="1603" w:type="dxa"/>
            <w:vAlign w:val="top"/>
          </w:tcPr>
          <w:p w14:paraId="48C751FB">
            <w:pPr>
              <w:spacing w:before="0" w:line="240" w:lineRule="exact"/>
              <w:ind w:left="0"/>
              <w:jc w:val="center"/>
              <w:rPr>
                <w:rFonts w:hint="eastAsia" w:eastAsia="Times New Roman"/>
                <w:color w:val="auto"/>
                <w:sz w:val="20"/>
                <w:szCs w:val="20"/>
                <w:highlight w:val="none"/>
              </w:rPr>
            </w:pPr>
            <w:r>
              <w:rPr>
                <w:rFonts w:hint="eastAsia" w:eastAsia="Times New Roman"/>
                <w:color w:val="auto"/>
                <w:sz w:val="20"/>
                <w:szCs w:val="20"/>
                <w:highlight w:val="none"/>
              </w:rPr>
              <w:t>氨</w:t>
            </w:r>
          </w:p>
        </w:tc>
        <w:tc>
          <w:tcPr>
            <w:tcW w:w="1973" w:type="dxa"/>
            <w:vAlign w:val="top"/>
          </w:tcPr>
          <w:p w14:paraId="3E55BB7E">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154" w:type="dxa"/>
            <w:vAlign w:val="top"/>
          </w:tcPr>
          <w:p w14:paraId="3A63F266">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846" w:type="dxa"/>
            <w:vAlign w:val="top"/>
          </w:tcPr>
          <w:p w14:paraId="429FB78B">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696" w:type="dxa"/>
            <w:vAlign w:val="center"/>
          </w:tcPr>
          <w:p w14:paraId="6AC682F0">
            <w:pPr>
              <w:spacing w:before="0" w:line="240" w:lineRule="exact"/>
              <w:ind w:left="0" w:leftChars="0"/>
              <w:jc w:val="center"/>
              <w:rPr>
                <w:rFonts w:hint="eastAsia" w:ascii="Times New Roman" w:hAnsi="Times New Roman" w:eastAsia="Times New Roman" w:cs="Times New Roman"/>
                <w:color w:val="auto"/>
                <w:sz w:val="20"/>
                <w:szCs w:val="20"/>
                <w:highlight w:val="none"/>
                <w:lang w:val="en-US" w:eastAsia="zh-CN"/>
              </w:rPr>
            </w:pPr>
            <w:r>
              <w:rPr>
                <w:rFonts w:hint="eastAsia" w:ascii="Times New Roman" w:hAnsi="Times New Roman" w:eastAsia="Times New Roman" w:cs="Times New Roman"/>
                <w:color w:val="auto"/>
                <w:sz w:val="20"/>
                <w:szCs w:val="20"/>
                <w:highlight w:val="none"/>
                <w:lang w:val="en-US" w:eastAsia="zh-CN"/>
              </w:rPr>
              <w:t>0</w:t>
            </w:r>
          </w:p>
        </w:tc>
        <w:tc>
          <w:tcPr>
            <w:tcW w:w="1973" w:type="dxa"/>
            <w:vAlign w:val="top"/>
          </w:tcPr>
          <w:p w14:paraId="35424DF9">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2444" w:type="dxa"/>
            <w:vAlign w:val="center"/>
          </w:tcPr>
          <w:p w14:paraId="6DD1601A">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w:t>
            </w:r>
          </w:p>
        </w:tc>
        <w:tc>
          <w:tcPr>
            <w:tcW w:w="1653" w:type="dxa"/>
            <w:tcBorders>
              <w:right w:val="single" w:color="000000" w:sz="6" w:space="0"/>
            </w:tcBorders>
            <w:vAlign w:val="center"/>
          </w:tcPr>
          <w:p w14:paraId="58D02C85">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w:t>
            </w:r>
          </w:p>
        </w:tc>
      </w:tr>
      <w:tr w14:paraId="7BFF394F">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restart"/>
            <w:tcBorders>
              <w:left w:val="single" w:color="000000" w:sz="6" w:space="0"/>
            </w:tcBorders>
            <w:vAlign w:val="center"/>
          </w:tcPr>
          <w:p w14:paraId="1D8FEF60">
            <w:pPr>
              <w:spacing w:before="0" w:line="240" w:lineRule="exact"/>
              <w:ind w:left="0"/>
              <w:jc w:val="center"/>
              <w:rPr>
                <w:rFonts w:hint="eastAsia" w:eastAsia="Times New Roman"/>
                <w:color w:val="auto"/>
                <w:sz w:val="20"/>
                <w:szCs w:val="20"/>
                <w:highlight w:val="none"/>
              </w:rPr>
            </w:pPr>
            <w:r>
              <w:rPr>
                <w:rFonts w:hint="eastAsia" w:eastAsia="Times New Roman"/>
                <w:color w:val="auto"/>
                <w:spacing w:val="0"/>
                <w:sz w:val="20"/>
                <w:szCs w:val="20"/>
                <w:highlight w:val="none"/>
              </w:rPr>
              <w:t>废水</w:t>
            </w:r>
          </w:p>
        </w:tc>
        <w:tc>
          <w:tcPr>
            <w:tcW w:w="1603" w:type="dxa"/>
            <w:vAlign w:val="top"/>
          </w:tcPr>
          <w:p w14:paraId="58AE77E3">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COD</w:t>
            </w:r>
          </w:p>
        </w:tc>
        <w:tc>
          <w:tcPr>
            <w:tcW w:w="1973" w:type="dxa"/>
            <w:vAlign w:val="top"/>
          </w:tcPr>
          <w:p w14:paraId="2B6FCB19">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154" w:type="dxa"/>
            <w:vAlign w:val="top"/>
          </w:tcPr>
          <w:p w14:paraId="2EA05B3D">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846" w:type="dxa"/>
            <w:vAlign w:val="top"/>
          </w:tcPr>
          <w:p w14:paraId="3B30E99C">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696" w:type="dxa"/>
            <w:shd w:val="clear" w:color="auto" w:fill="auto"/>
            <w:vAlign w:val="center"/>
          </w:tcPr>
          <w:p w14:paraId="4748A492">
            <w:pPr>
              <w:spacing w:before="0" w:line="240" w:lineRule="exact"/>
              <w:ind w:left="0" w:leftChars="0"/>
              <w:jc w:val="center"/>
              <w:rPr>
                <w:rFonts w:hint="default" w:ascii="Times New Roman" w:hAnsi="Times New Roman" w:eastAsia="Times New Roman" w:cs="Times New Roman"/>
                <w:color w:val="auto"/>
                <w:sz w:val="20"/>
                <w:szCs w:val="20"/>
                <w:highlight w:val="none"/>
                <w:lang w:val="en-US" w:eastAsia="zh-CN"/>
              </w:rPr>
            </w:pPr>
            <w:r>
              <w:rPr>
                <w:rFonts w:hint="eastAsia" w:eastAsia="Times New Roman" w:cs="Times New Roman"/>
                <w:color w:val="auto"/>
                <w:sz w:val="20"/>
                <w:szCs w:val="20"/>
                <w:highlight w:val="none"/>
                <w:lang w:val="en-US" w:eastAsia="zh-CN"/>
              </w:rPr>
              <w:t>0.358</w:t>
            </w:r>
          </w:p>
        </w:tc>
        <w:tc>
          <w:tcPr>
            <w:tcW w:w="1973" w:type="dxa"/>
            <w:vAlign w:val="top"/>
          </w:tcPr>
          <w:p w14:paraId="7528C52B">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2444" w:type="dxa"/>
            <w:vAlign w:val="center"/>
          </w:tcPr>
          <w:p w14:paraId="009884F7">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eastAsia="Times New Roman" w:cs="Times New Roman"/>
                <w:color w:val="auto"/>
                <w:sz w:val="20"/>
                <w:szCs w:val="20"/>
                <w:highlight w:val="none"/>
                <w:lang w:val="en-US" w:eastAsia="zh-CN"/>
              </w:rPr>
              <w:t>0.358</w:t>
            </w:r>
          </w:p>
        </w:tc>
        <w:tc>
          <w:tcPr>
            <w:tcW w:w="1653" w:type="dxa"/>
            <w:tcBorders>
              <w:right w:val="single" w:color="000000" w:sz="6" w:space="0"/>
            </w:tcBorders>
            <w:vAlign w:val="center"/>
          </w:tcPr>
          <w:p w14:paraId="19B65333">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eastAsia="Times New Roman" w:cs="Times New Roman"/>
                <w:color w:val="auto"/>
                <w:sz w:val="20"/>
                <w:szCs w:val="20"/>
                <w:highlight w:val="none"/>
                <w:lang w:val="en-US" w:eastAsia="zh-CN"/>
              </w:rPr>
              <w:t>0.358</w:t>
            </w:r>
          </w:p>
        </w:tc>
      </w:tr>
      <w:tr w14:paraId="3F04EFDC">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tcBorders>
            <w:vAlign w:val="center"/>
          </w:tcPr>
          <w:p w14:paraId="71A18ECC">
            <w:pPr>
              <w:spacing w:before="0" w:line="240" w:lineRule="exact"/>
              <w:jc w:val="center"/>
              <w:rPr>
                <w:rFonts w:hint="eastAsia" w:ascii="Times New Roman" w:eastAsia="Times New Roman"/>
                <w:color w:val="auto"/>
                <w:sz w:val="20"/>
                <w:szCs w:val="20"/>
                <w:highlight w:val="none"/>
              </w:rPr>
            </w:pPr>
          </w:p>
        </w:tc>
        <w:tc>
          <w:tcPr>
            <w:tcW w:w="1603" w:type="dxa"/>
            <w:vAlign w:val="top"/>
          </w:tcPr>
          <w:p w14:paraId="300D7FE2">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BOD</w:t>
            </w:r>
            <w:r>
              <w:rPr>
                <w:rFonts w:hint="eastAsia" w:ascii="Times New Roman" w:hAnsi="Times New Roman" w:eastAsia="Times New Roman" w:cs="Times New Roman"/>
                <w:color w:val="auto"/>
                <w:spacing w:val="0"/>
                <w:position w:val="0"/>
                <w:sz w:val="20"/>
                <w:szCs w:val="20"/>
                <w:highlight w:val="none"/>
              </w:rPr>
              <w:t>5</w:t>
            </w:r>
          </w:p>
        </w:tc>
        <w:tc>
          <w:tcPr>
            <w:tcW w:w="1973" w:type="dxa"/>
            <w:vAlign w:val="top"/>
          </w:tcPr>
          <w:p w14:paraId="07261B37">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154" w:type="dxa"/>
            <w:vAlign w:val="top"/>
          </w:tcPr>
          <w:p w14:paraId="793BB855">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846" w:type="dxa"/>
            <w:vAlign w:val="top"/>
          </w:tcPr>
          <w:p w14:paraId="72541E5C">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696" w:type="dxa"/>
            <w:shd w:val="clear" w:color="auto" w:fill="auto"/>
            <w:vAlign w:val="center"/>
          </w:tcPr>
          <w:p w14:paraId="6A79D085">
            <w:pPr>
              <w:spacing w:before="0" w:line="240" w:lineRule="exact"/>
              <w:ind w:left="0" w:leftChars="0"/>
              <w:jc w:val="center"/>
              <w:rPr>
                <w:rFonts w:hint="default" w:ascii="Times New Roman" w:hAnsi="Times New Roman" w:eastAsia="Times New Roman" w:cs="Times New Roman"/>
                <w:color w:val="auto"/>
                <w:sz w:val="20"/>
                <w:szCs w:val="20"/>
                <w:highlight w:val="none"/>
                <w:lang w:val="en-US" w:eastAsia="zh-CN"/>
              </w:rPr>
            </w:pPr>
            <w:r>
              <w:rPr>
                <w:rFonts w:hint="eastAsia" w:eastAsia="Times New Roman" w:cs="Times New Roman"/>
                <w:color w:val="auto"/>
                <w:sz w:val="20"/>
                <w:szCs w:val="20"/>
                <w:highlight w:val="none"/>
                <w:lang w:val="en-US" w:eastAsia="zh-CN"/>
              </w:rPr>
              <w:t>0.181</w:t>
            </w:r>
          </w:p>
        </w:tc>
        <w:tc>
          <w:tcPr>
            <w:tcW w:w="1973" w:type="dxa"/>
            <w:vAlign w:val="top"/>
          </w:tcPr>
          <w:p w14:paraId="658B9110">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2444" w:type="dxa"/>
            <w:vAlign w:val="center"/>
          </w:tcPr>
          <w:p w14:paraId="6492A22C">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eastAsia="Times New Roman" w:cs="Times New Roman"/>
                <w:color w:val="auto"/>
                <w:sz w:val="20"/>
                <w:szCs w:val="20"/>
                <w:highlight w:val="none"/>
                <w:lang w:val="en-US" w:eastAsia="zh-CN"/>
              </w:rPr>
              <w:t>0.181</w:t>
            </w:r>
          </w:p>
        </w:tc>
        <w:tc>
          <w:tcPr>
            <w:tcW w:w="1653" w:type="dxa"/>
            <w:tcBorders>
              <w:right w:val="single" w:color="000000" w:sz="6" w:space="0"/>
            </w:tcBorders>
            <w:vAlign w:val="center"/>
          </w:tcPr>
          <w:p w14:paraId="44843F87">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eastAsia="Times New Roman" w:cs="Times New Roman"/>
                <w:color w:val="auto"/>
                <w:sz w:val="20"/>
                <w:szCs w:val="20"/>
                <w:highlight w:val="none"/>
                <w:lang w:val="en-US" w:eastAsia="zh-CN"/>
              </w:rPr>
              <w:t>0.181</w:t>
            </w:r>
          </w:p>
        </w:tc>
      </w:tr>
      <w:tr w14:paraId="7863A7B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tcBorders>
            <w:vAlign w:val="center"/>
          </w:tcPr>
          <w:p w14:paraId="1746CF93">
            <w:pPr>
              <w:spacing w:before="0" w:line="240" w:lineRule="exact"/>
              <w:jc w:val="center"/>
              <w:rPr>
                <w:rFonts w:hint="eastAsia" w:ascii="Times New Roman" w:eastAsia="Times New Roman"/>
                <w:color w:val="auto"/>
                <w:sz w:val="20"/>
                <w:szCs w:val="20"/>
                <w:highlight w:val="none"/>
              </w:rPr>
            </w:pPr>
          </w:p>
        </w:tc>
        <w:tc>
          <w:tcPr>
            <w:tcW w:w="1603" w:type="dxa"/>
            <w:vAlign w:val="top"/>
          </w:tcPr>
          <w:p w14:paraId="1CCEE600">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SS</w:t>
            </w:r>
          </w:p>
        </w:tc>
        <w:tc>
          <w:tcPr>
            <w:tcW w:w="1973" w:type="dxa"/>
            <w:vAlign w:val="top"/>
          </w:tcPr>
          <w:p w14:paraId="22DEA238">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154" w:type="dxa"/>
            <w:vAlign w:val="top"/>
          </w:tcPr>
          <w:p w14:paraId="0C13C57D">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846" w:type="dxa"/>
            <w:vAlign w:val="top"/>
          </w:tcPr>
          <w:p w14:paraId="0B88A38F">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696" w:type="dxa"/>
            <w:shd w:val="clear" w:color="auto" w:fill="auto"/>
            <w:vAlign w:val="center"/>
          </w:tcPr>
          <w:p w14:paraId="15806582">
            <w:pPr>
              <w:spacing w:before="0" w:line="240" w:lineRule="exact"/>
              <w:ind w:left="0" w:leftChars="0"/>
              <w:jc w:val="center"/>
              <w:rPr>
                <w:rFonts w:hint="default" w:ascii="Times New Roman" w:hAnsi="Times New Roman" w:eastAsia="Times New Roman" w:cs="Times New Roman"/>
                <w:color w:val="auto"/>
                <w:sz w:val="20"/>
                <w:szCs w:val="20"/>
                <w:highlight w:val="none"/>
                <w:lang w:val="en-US" w:eastAsia="zh-CN"/>
              </w:rPr>
            </w:pPr>
            <w:r>
              <w:rPr>
                <w:rFonts w:hint="eastAsia" w:eastAsia="Times New Roman" w:cs="Times New Roman"/>
                <w:color w:val="auto"/>
                <w:sz w:val="20"/>
                <w:szCs w:val="20"/>
                <w:highlight w:val="none"/>
                <w:lang w:val="en-US" w:eastAsia="zh-CN"/>
              </w:rPr>
              <w:t>0.0398</w:t>
            </w:r>
          </w:p>
        </w:tc>
        <w:tc>
          <w:tcPr>
            <w:tcW w:w="1973" w:type="dxa"/>
            <w:vAlign w:val="top"/>
          </w:tcPr>
          <w:p w14:paraId="2B5C7962">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2444" w:type="dxa"/>
            <w:vAlign w:val="center"/>
          </w:tcPr>
          <w:p w14:paraId="75175D0B">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eastAsia="Times New Roman" w:cs="Times New Roman"/>
                <w:color w:val="auto"/>
                <w:sz w:val="20"/>
                <w:szCs w:val="20"/>
                <w:highlight w:val="none"/>
                <w:lang w:val="en-US" w:eastAsia="zh-CN"/>
              </w:rPr>
              <w:t>0.0398</w:t>
            </w:r>
          </w:p>
        </w:tc>
        <w:tc>
          <w:tcPr>
            <w:tcW w:w="1653" w:type="dxa"/>
            <w:tcBorders>
              <w:right w:val="single" w:color="000000" w:sz="6" w:space="0"/>
            </w:tcBorders>
            <w:vAlign w:val="center"/>
          </w:tcPr>
          <w:p w14:paraId="478F1FE2">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eastAsia="Times New Roman" w:cs="Times New Roman"/>
                <w:color w:val="auto"/>
                <w:sz w:val="20"/>
                <w:szCs w:val="20"/>
                <w:highlight w:val="none"/>
                <w:lang w:val="en-US" w:eastAsia="zh-CN"/>
              </w:rPr>
              <w:t>0.0398</w:t>
            </w:r>
          </w:p>
        </w:tc>
      </w:tr>
      <w:tr w14:paraId="79B65AEF">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tcBorders>
            <w:vAlign w:val="center"/>
          </w:tcPr>
          <w:p w14:paraId="2A011B08">
            <w:pPr>
              <w:spacing w:before="0" w:line="240" w:lineRule="exact"/>
              <w:jc w:val="center"/>
              <w:rPr>
                <w:rFonts w:hint="eastAsia" w:ascii="Times New Roman" w:eastAsia="Times New Roman"/>
                <w:color w:val="auto"/>
                <w:sz w:val="20"/>
                <w:szCs w:val="20"/>
                <w:highlight w:val="none"/>
              </w:rPr>
            </w:pPr>
          </w:p>
        </w:tc>
        <w:tc>
          <w:tcPr>
            <w:tcW w:w="1603" w:type="dxa"/>
            <w:vAlign w:val="top"/>
          </w:tcPr>
          <w:p w14:paraId="36F9B94C">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rPr>
              <w:t>NH</w:t>
            </w:r>
            <w:r>
              <w:rPr>
                <w:rFonts w:hint="eastAsia" w:ascii="Times New Roman" w:hAnsi="Times New Roman" w:eastAsia="Times New Roman" w:cs="Times New Roman"/>
                <w:color w:val="auto"/>
                <w:spacing w:val="0"/>
                <w:position w:val="0"/>
                <w:sz w:val="20"/>
                <w:szCs w:val="20"/>
                <w:highlight w:val="none"/>
                <w:vertAlign w:val="subscript"/>
              </w:rPr>
              <w:t>3</w:t>
            </w:r>
            <w:r>
              <w:rPr>
                <w:rFonts w:hint="eastAsia" w:ascii="Times New Roman" w:hAnsi="Times New Roman" w:eastAsia="Times New Roman" w:cs="Times New Roman"/>
                <w:color w:val="auto"/>
                <w:spacing w:val="0"/>
                <w:sz w:val="20"/>
                <w:szCs w:val="20"/>
                <w:highlight w:val="none"/>
              </w:rPr>
              <w:t>-N</w:t>
            </w:r>
          </w:p>
        </w:tc>
        <w:tc>
          <w:tcPr>
            <w:tcW w:w="1973" w:type="dxa"/>
            <w:vAlign w:val="top"/>
          </w:tcPr>
          <w:p w14:paraId="1BF47F14">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154" w:type="dxa"/>
            <w:vAlign w:val="top"/>
          </w:tcPr>
          <w:p w14:paraId="7F108477">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846" w:type="dxa"/>
            <w:vAlign w:val="top"/>
          </w:tcPr>
          <w:p w14:paraId="0417466E">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696" w:type="dxa"/>
            <w:shd w:val="clear" w:color="auto" w:fill="auto"/>
            <w:vAlign w:val="center"/>
          </w:tcPr>
          <w:p w14:paraId="74F931E0">
            <w:pPr>
              <w:spacing w:before="0" w:line="240" w:lineRule="exact"/>
              <w:ind w:left="0" w:leftChars="0"/>
              <w:jc w:val="center"/>
              <w:rPr>
                <w:rFonts w:hint="default" w:ascii="Times New Roman" w:hAnsi="Times New Roman" w:eastAsia="Times New Roman" w:cs="Times New Roman"/>
                <w:color w:val="auto"/>
                <w:sz w:val="20"/>
                <w:szCs w:val="20"/>
                <w:highlight w:val="none"/>
                <w:lang w:val="en-US" w:eastAsia="zh-CN"/>
              </w:rPr>
            </w:pPr>
            <w:r>
              <w:rPr>
                <w:rFonts w:hint="eastAsia" w:eastAsia="Times New Roman" w:cs="Times New Roman"/>
                <w:color w:val="auto"/>
                <w:sz w:val="20"/>
                <w:szCs w:val="20"/>
                <w:highlight w:val="none"/>
                <w:lang w:val="en-US" w:eastAsia="zh-CN"/>
              </w:rPr>
              <w:t>0.00509</w:t>
            </w:r>
          </w:p>
        </w:tc>
        <w:tc>
          <w:tcPr>
            <w:tcW w:w="1973" w:type="dxa"/>
            <w:vAlign w:val="top"/>
          </w:tcPr>
          <w:p w14:paraId="378F96A7">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2444" w:type="dxa"/>
            <w:vAlign w:val="center"/>
          </w:tcPr>
          <w:p w14:paraId="6026CEB7">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eastAsia="Times New Roman" w:cs="Times New Roman"/>
                <w:color w:val="auto"/>
                <w:sz w:val="20"/>
                <w:szCs w:val="20"/>
                <w:highlight w:val="none"/>
                <w:lang w:val="en-US" w:eastAsia="zh-CN"/>
              </w:rPr>
              <w:t>0.00509</w:t>
            </w:r>
          </w:p>
        </w:tc>
        <w:tc>
          <w:tcPr>
            <w:tcW w:w="1653" w:type="dxa"/>
            <w:tcBorders>
              <w:right w:val="single" w:color="000000" w:sz="6" w:space="0"/>
            </w:tcBorders>
            <w:vAlign w:val="center"/>
          </w:tcPr>
          <w:p w14:paraId="6A0086D2">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eastAsia="Times New Roman" w:cs="Times New Roman"/>
                <w:color w:val="auto"/>
                <w:sz w:val="20"/>
                <w:szCs w:val="20"/>
                <w:highlight w:val="none"/>
                <w:lang w:val="en-US" w:eastAsia="zh-CN"/>
              </w:rPr>
              <w:t>0.00509</w:t>
            </w:r>
          </w:p>
        </w:tc>
      </w:tr>
      <w:tr w14:paraId="425B5222">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restart"/>
            <w:tcBorders>
              <w:left w:val="single" w:color="000000" w:sz="6" w:space="0"/>
            </w:tcBorders>
            <w:vAlign w:val="center"/>
          </w:tcPr>
          <w:p w14:paraId="0DC9CCB1">
            <w:pPr>
              <w:spacing w:before="0" w:line="240" w:lineRule="exact"/>
              <w:jc w:val="center"/>
              <w:rPr>
                <w:rFonts w:hint="eastAsia" w:ascii="Times New Roman" w:eastAsia="Times New Roman"/>
                <w:color w:val="auto"/>
                <w:sz w:val="20"/>
                <w:szCs w:val="20"/>
                <w:highlight w:val="none"/>
              </w:rPr>
            </w:pPr>
            <w:r>
              <w:rPr>
                <w:rFonts w:hint="eastAsia" w:eastAsia="Times New Roman"/>
                <w:color w:val="auto"/>
                <w:spacing w:val="0"/>
                <w:sz w:val="20"/>
                <w:szCs w:val="20"/>
                <w:highlight w:val="none"/>
              </w:rPr>
              <w:t>一般工业固体废物</w:t>
            </w:r>
          </w:p>
        </w:tc>
        <w:tc>
          <w:tcPr>
            <w:tcW w:w="1603" w:type="dxa"/>
            <w:vAlign w:val="top"/>
          </w:tcPr>
          <w:p w14:paraId="2BF2DB2C">
            <w:pPr>
              <w:spacing w:before="0" w:line="240" w:lineRule="exact"/>
              <w:ind w:left="0"/>
              <w:jc w:val="center"/>
              <w:rPr>
                <w:rFonts w:hint="eastAsia" w:ascii="Times New Roman" w:hAnsi="Times New Roman" w:eastAsia="宋体" w:cs="Times New Roman"/>
                <w:color w:val="auto"/>
                <w:sz w:val="20"/>
                <w:szCs w:val="20"/>
                <w:highlight w:val="none"/>
                <w:lang w:val="en-US" w:eastAsia="zh-CN"/>
              </w:rPr>
            </w:pPr>
            <w:r>
              <w:rPr>
                <w:rFonts w:hint="eastAsia" w:eastAsia="宋体" w:cs="Times New Roman"/>
                <w:color w:val="auto"/>
                <w:sz w:val="20"/>
                <w:szCs w:val="20"/>
                <w:highlight w:val="none"/>
                <w:lang w:val="en-US" w:eastAsia="zh-CN"/>
              </w:rPr>
              <w:t>坏果</w:t>
            </w:r>
          </w:p>
        </w:tc>
        <w:tc>
          <w:tcPr>
            <w:tcW w:w="1973" w:type="dxa"/>
            <w:shd w:val="clear" w:color="auto" w:fill="auto"/>
            <w:vAlign w:val="top"/>
          </w:tcPr>
          <w:p w14:paraId="00D948FF">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154" w:type="dxa"/>
            <w:shd w:val="clear" w:color="auto" w:fill="auto"/>
            <w:vAlign w:val="top"/>
          </w:tcPr>
          <w:p w14:paraId="614C19A5">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846" w:type="dxa"/>
            <w:shd w:val="clear" w:color="auto" w:fill="auto"/>
            <w:vAlign w:val="top"/>
          </w:tcPr>
          <w:p w14:paraId="07D0D5D2">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696" w:type="dxa"/>
            <w:shd w:val="clear" w:color="auto" w:fill="auto"/>
            <w:vAlign w:val="center"/>
          </w:tcPr>
          <w:p w14:paraId="29D7D128">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810</w:t>
            </w:r>
          </w:p>
        </w:tc>
        <w:tc>
          <w:tcPr>
            <w:tcW w:w="1973" w:type="dxa"/>
            <w:shd w:val="clear" w:color="auto" w:fill="auto"/>
            <w:vAlign w:val="top"/>
          </w:tcPr>
          <w:p w14:paraId="3738AC89">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2444" w:type="dxa"/>
            <w:shd w:val="clear" w:color="auto" w:fill="auto"/>
            <w:vAlign w:val="center"/>
          </w:tcPr>
          <w:p w14:paraId="377FB164">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810</w:t>
            </w:r>
          </w:p>
        </w:tc>
        <w:tc>
          <w:tcPr>
            <w:tcW w:w="1653" w:type="dxa"/>
            <w:tcBorders>
              <w:right w:val="single" w:color="000000" w:sz="6" w:space="0"/>
            </w:tcBorders>
            <w:shd w:val="clear" w:color="auto" w:fill="auto"/>
            <w:vAlign w:val="center"/>
          </w:tcPr>
          <w:p w14:paraId="13E09914">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810</w:t>
            </w:r>
          </w:p>
        </w:tc>
      </w:tr>
      <w:tr w14:paraId="1D12321C">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tcBorders>
            <w:vAlign w:val="center"/>
          </w:tcPr>
          <w:p w14:paraId="045545F4">
            <w:pPr>
              <w:spacing w:before="0" w:line="240" w:lineRule="exact"/>
              <w:jc w:val="center"/>
              <w:rPr>
                <w:rFonts w:hint="eastAsia" w:ascii="Times New Roman" w:eastAsia="Times New Roman"/>
                <w:color w:val="auto"/>
                <w:sz w:val="20"/>
                <w:szCs w:val="20"/>
                <w:highlight w:val="none"/>
              </w:rPr>
            </w:pPr>
          </w:p>
        </w:tc>
        <w:tc>
          <w:tcPr>
            <w:tcW w:w="1603" w:type="dxa"/>
            <w:vAlign w:val="top"/>
          </w:tcPr>
          <w:p w14:paraId="0CF1A887">
            <w:pPr>
              <w:spacing w:before="0" w:line="240" w:lineRule="exact"/>
              <w:ind w:left="0"/>
              <w:jc w:val="center"/>
              <w:rPr>
                <w:rFonts w:hint="eastAsia" w:ascii="Times New Roman" w:hAnsi="Times New Roman" w:eastAsia="宋体" w:cs="Times New Roman"/>
                <w:color w:val="auto"/>
                <w:sz w:val="20"/>
                <w:szCs w:val="20"/>
                <w:highlight w:val="none"/>
                <w:lang w:val="en-US" w:eastAsia="zh-CN"/>
              </w:rPr>
            </w:pPr>
            <w:r>
              <w:rPr>
                <w:rFonts w:hint="eastAsia" w:eastAsia="宋体" w:cs="Times New Roman"/>
                <w:color w:val="auto"/>
                <w:sz w:val="20"/>
                <w:szCs w:val="20"/>
                <w:highlight w:val="none"/>
                <w:lang w:val="en-US" w:eastAsia="zh-CN"/>
              </w:rPr>
              <w:t>废包装材料</w:t>
            </w:r>
          </w:p>
        </w:tc>
        <w:tc>
          <w:tcPr>
            <w:tcW w:w="1973" w:type="dxa"/>
            <w:shd w:val="clear" w:color="auto" w:fill="auto"/>
            <w:vAlign w:val="top"/>
          </w:tcPr>
          <w:p w14:paraId="11021508">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154" w:type="dxa"/>
            <w:shd w:val="clear" w:color="auto" w:fill="auto"/>
            <w:vAlign w:val="top"/>
          </w:tcPr>
          <w:p w14:paraId="109C2E2E">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846" w:type="dxa"/>
            <w:shd w:val="clear" w:color="auto" w:fill="auto"/>
            <w:vAlign w:val="top"/>
          </w:tcPr>
          <w:p w14:paraId="19F4DCEF">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696" w:type="dxa"/>
            <w:shd w:val="clear" w:color="auto" w:fill="auto"/>
            <w:vAlign w:val="center"/>
          </w:tcPr>
          <w:p w14:paraId="27C84235">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0.2</w:t>
            </w:r>
          </w:p>
        </w:tc>
        <w:tc>
          <w:tcPr>
            <w:tcW w:w="1973" w:type="dxa"/>
            <w:shd w:val="clear" w:color="auto" w:fill="auto"/>
            <w:vAlign w:val="top"/>
          </w:tcPr>
          <w:p w14:paraId="24661A66">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2444" w:type="dxa"/>
            <w:shd w:val="clear" w:color="auto" w:fill="auto"/>
            <w:vAlign w:val="center"/>
          </w:tcPr>
          <w:p w14:paraId="4F3DE9CE">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0.2</w:t>
            </w:r>
          </w:p>
        </w:tc>
        <w:tc>
          <w:tcPr>
            <w:tcW w:w="1653" w:type="dxa"/>
            <w:tcBorders>
              <w:right w:val="single" w:color="000000" w:sz="6" w:space="0"/>
            </w:tcBorders>
            <w:shd w:val="clear" w:color="auto" w:fill="auto"/>
            <w:vAlign w:val="center"/>
          </w:tcPr>
          <w:p w14:paraId="41CF8C04">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0.2</w:t>
            </w:r>
          </w:p>
        </w:tc>
      </w:tr>
      <w:tr w14:paraId="1066A4C3">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tcBorders>
            <w:vAlign w:val="center"/>
          </w:tcPr>
          <w:p w14:paraId="65663CD7">
            <w:pPr>
              <w:spacing w:before="0" w:line="240" w:lineRule="exact"/>
              <w:jc w:val="center"/>
              <w:rPr>
                <w:rFonts w:hint="eastAsia" w:ascii="Times New Roman" w:eastAsia="Times New Roman"/>
                <w:color w:val="auto"/>
                <w:sz w:val="20"/>
                <w:szCs w:val="20"/>
                <w:highlight w:val="none"/>
              </w:rPr>
            </w:pPr>
          </w:p>
        </w:tc>
        <w:tc>
          <w:tcPr>
            <w:tcW w:w="1603" w:type="dxa"/>
            <w:vAlign w:val="top"/>
          </w:tcPr>
          <w:p w14:paraId="21D00592">
            <w:pPr>
              <w:spacing w:before="0" w:line="240" w:lineRule="exact"/>
              <w:ind w:left="0"/>
              <w:jc w:val="center"/>
              <w:rPr>
                <w:rFonts w:hint="eastAsia" w:ascii="Times New Roman" w:hAnsi="Times New Roman" w:eastAsia="宋体" w:cs="Times New Roman"/>
                <w:color w:val="auto"/>
                <w:sz w:val="20"/>
                <w:szCs w:val="20"/>
                <w:highlight w:val="none"/>
                <w:lang w:val="en-US" w:eastAsia="zh-CN"/>
              </w:rPr>
            </w:pPr>
            <w:r>
              <w:rPr>
                <w:rFonts w:hint="eastAsia" w:eastAsia="宋体" w:cs="Times New Roman"/>
                <w:color w:val="auto"/>
                <w:sz w:val="20"/>
                <w:szCs w:val="20"/>
                <w:highlight w:val="none"/>
                <w:lang w:val="en-US" w:eastAsia="zh-CN"/>
              </w:rPr>
              <w:t>不合格品</w:t>
            </w:r>
          </w:p>
        </w:tc>
        <w:tc>
          <w:tcPr>
            <w:tcW w:w="1973" w:type="dxa"/>
            <w:shd w:val="clear" w:color="auto" w:fill="auto"/>
            <w:vAlign w:val="top"/>
          </w:tcPr>
          <w:p w14:paraId="626B3BF2">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154" w:type="dxa"/>
            <w:shd w:val="clear" w:color="auto" w:fill="auto"/>
            <w:vAlign w:val="top"/>
          </w:tcPr>
          <w:p w14:paraId="60A95AC7">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846" w:type="dxa"/>
            <w:shd w:val="clear" w:color="auto" w:fill="auto"/>
            <w:vAlign w:val="top"/>
          </w:tcPr>
          <w:p w14:paraId="5C695E26">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696" w:type="dxa"/>
            <w:shd w:val="clear" w:color="auto" w:fill="auto"/>
            <w:vAlign w:val="center"/>
          </w:tcPr>
          <w:p w14:paraId="405202D7">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0.6</w:t>
            </w:r>
          </w:p>
        </w:tc>
        <w:tc>
          <w:tcPr>
            <w:tcW w:w="1973" w:type="dxa"/>
            <w:shd w:val="clear" w:color="auto" w:fill="auto"/>
            <w:vAlign w:val="top"/>
          </w:tcPr>
          <w:p w14:paraId="5BB15D88">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2444" w:type="dxa"/>
            <w:shd w:val="clear" w:color="auto" w:fill="auto"/>
            <w:vAlign w:val="center"/>
          </w:tcPr>
          <w:p w14:paraId="1DC89D8C">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0.6</w:t>
            </w:r>
          </w:p>
        </w:tc>
        <w:tc>
          <w:tcPr>
            <w:tcW w:w="1653" w:type="dxa"/>
            <w:tcBorders>
              <w:right w:val="single" w:color="000000" w:sz="6" w:space="0"/>
            </w:tcBorders>
            <w:shd w:val="clear" w:color="auto" w:fill="auto"/>
            <w:vAlign w:val="center"/>
          </w:tcPr>
          <w:p w14:paraId="76BC194C">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0.6</w:t>
            </w:r>
          </w:p>
        </w:tc>
      </w:tr>
      <w:tr w14:paraId="53FAB23D">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tcBorders>
            <w:vAlign w:val="center"/>
          </w:tcPr>
          <w:p w14:paraId="598C87D4">
            <w:pPr>
              <w:spacing w:before="0" w:line="240" w:lineRule="exact"/>
              <w:jc w:val="center"/>
              <w:rPr>
                <w:rFonts w:hint="eastAsia" w:ascii="Times New Roman" w:eastAsia="Times New Roman"/>
                <w:color w:val="auto"/>
                <w:sz w:val="20"/>
                <w:szCs w:val="20"/>
                <w:highlight w:val="none"/>
              </w:rPr>
            </w:pPr>
          </w:p>
        </w:tc>
        <w:tc>
          <w:tcPr>
            <w:tcW w:w="1603" w:type="dxa"/>
            <w:vAlign w:val="top"/>
          </w:tcPr>
          <w:p w14:paraId="1D70FA3D">
            <w:pPr>
              <w:spacing w:before="0" w:line="240" w:lineRule="exact"/>
              <w:ind w:left="0"/>
              <w:jc w:val="center"/>
              <w:rPr>
                <w:rFonts w:hint="eastAsia" w:ascii="Times New Roman" w:hAnsi="Times New Roman" w:eastAsia="宋体" w:cs="Times New Roman"/>
                <w:color w:val="auto"/>
                <w:sz w:val="20"/>
                <w:szCs w:val="20"/>
                <w:highlight w:val="none"/>
                <w:lang w:val="en-US" w:eastAsia="zh-CN"/>
              </w:rPr>
            </w:pPr>
            <w:r>
              <w:rPr>
                <w:rFonts w:hint="eastAsia" w:eastAsia="宋体" w:cs="Times New Roman"/>
                <w:color w:val="auto"/>
                <w:sz w:val="20"/>
                <w:szCs w:val="20"/>
                <w:highlight w:val="none"/>
                <w:lang w:val="en-US" w:eastAsia="zh-CN"/>
              </w:rPr>
              <w:t>生活垃圾</w:t>
            </w:r>
          </w:p>
        </w:tc>
        <w:tc>
          <w:tcPr>
            <w:tcW w:w="1973" w:type="dxa"/>
            <w:shd w:val="clear" w:color="auto" w:fill="auto"/>
            <w:vAlign w:val="top"/>
          </w:tcPr>
          <w:p w14:paraId="014211F4">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154" w:type="dxa"/>
            <w:shd w:val="clear" w:color="auto" w:fill="auto"/>
            <w:vAlign w:val="top"/>
          </w:tcPr>
          <w:p w14:paraId="7F532236">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846" w:type="dxa"/>
            <w:shd w:val="clear" w:color="auto" w:fill="auto"/>
            <w:vAlign w:val="top"/>
          </w:tcPr>
          <w:p w14:paraId="0C0895C1">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1696" w:type="dxa"/>
            <w:shd w:val="clear" w:color="auto" w:fill="auto"/>
            <w:vAlign w:val="center"/>
          </w:tcPr>
          <w:p w14:paraId="0D41626C">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1.53</w:t>
            </w:r>
          </w:p>
        </w:tc>
        <w:tc>
          <w:tcPr>
            <w:tcW w:w="1973" w:type="dxa"/>
            <w:shd w:val="clear" w:color="auto" w:fill="auto"/>
            <w:vAlign w:val="top"/>
          </w:tcPr>
          <w:p w14:paraId="5A62CF2E">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pacing w:val="0"/>
                <w:sz w:val="20"/>
                <w:szCs w:val="20"/>
                <w:highlight w:val="none"/>
              </w:rPr>
              <w:t>/</w:t>
            </w:r>
          </w:p>
        </w:tc>
        <w:tc>
          <w:tcPr>
            <w:tcW w:w="2444" w:type="dxa"/>
            <w:shd w:val="clear" w:color="auto" w:fill="auto"/>
            <w:vAlign w:val="center"/>
          </w:tcPr>
          <w:p w14:paraId="1CBE1EFA">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1.53</w:t>
            </w:r>
          </w:p>
        </w:tc>
        <w:tc>
          <w:tcPr>
            <w:tcW w:w="1653" w:type="dxa"/>
            <w:tcBorders>
              <w:right w:val="single" w:color="000000" w:sz="6" w:space="0"/>
            </w:tcBorders>
            <w:shd w:val="clear" w:color="auto" w:fill="auto"/>
            <w:vAlign w:val="center"/>
          </w:tcPr>
          <w:p w14:paraId="1B83FC8A">
            <w:pPr>
              <w:spacing w:before="0" w:line="240" w:lineRule="exact"/>
              <w:ind w:left="0" w:leftChars="0"/>
              <w:jc w:val="center"/>
              <w:rPr>
                <w:rFonts w:hint="eastAsia" w:ascii="Times New Roman" w:hAnsi="Times New Roman" w:eastAsia="Times New Roman" w:cs="Times New Roman"/>
                <w:color w:val="auto"/>
                <w:kern w:val="2"/>
                <w:sz w:val="20"/>
                <w:szCs w:val="20"/>
                <w:highlight w:val="none"/>
                <w:lang w:val="en-US" w:eastAsia="zh-CN" w:bidi="ar-SA"/>
              </w:rPr>
            </w:pPr>
            <w:r>
              <w:rPr>
                <w:rFonts w:hint="eastAsia" w:ascii="Times New Roman" w:hAnsi="Times New Roman" w:eastAsia="Times New Roman" w:cs="Times New Roman"/>
                <w:color w:val="auto"/>
                <w:sz w:val="20"/>
                <w:szCs w:val="20"/>
                <w:highlight w:val="none"/>
                <w:lang w:val="en-US" w:eastAsia="zh-CN"/>
              </w:rPr>
              <w:t>1.53</w:t>
            </w:r>
          </w:p>
        </w:tc>
      </w:tr>
      <w:tr w14:paraId="7A0CA4A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restart"/>
            <w:tcBorders>
              <w:left w:val="single" w:color="000000" w:sz="6" w:space="0"/>
            </w:tcBorders>
            <w:vAlign w:val="center"/>
          </w:tcPr>
          <w:p w14:paraId="0A81BCCD">
            <w:pPr>
              <w:spacing w:before="0" w:line="240" w:lineRule="exact"/>
              <w:jc w:val="center"/>
              <w:rPr>
                <w:rFonts w:hint="eastAsia" w:eastAsia="Times New Roman"/>
                <w:color w:val="auto"/>
                <w:sz w:val="20"/>
                <w:szCs w:val="20"/>
                <w:highlight w:val="none"/>
              </w:rPr>
            </w:pPr>
            <w:r>
              <w:rPr>
                <w:rFonts w:hint="eastAsia" w:eastAsia="Times New Roman"/>
                <w:color w:val="auto"/>
                <w:spacing w:val="0"/>
                <w:sz w:val="20"/>
                <w:szCs w:val="20"/>
                <w:highlight w:val="none"/>
              </w:rPr>
              <w:t>危险废物</w:t>
            </w:r>
          </w:p>
        </w:tc>
        <w:tc>
          <w:tcPr>
            <w:tcW w:w="1603" w:type="dxa"/>
            <w:vAlign w:val="center"/>
          </w:tcPr>
          <w:p w14:paraId="42AEB720">
            <w:pPr>
              <w:keepNext w:val="0"/>
              <w:keepLines w:val="0"/>
              <w:widowControl/>
              <w:suppressLineNumbers w:val="0"/>
              <w:spacing w:before="0" w:line="240" w:lineRule="exact"/>
              <w:jc w:val="center"/>
              <w:textAlignment w:val="auto"/>
              <w:rPr>
                <w:rFonts w:hint="eastAsia" w:eastAsia="Times New Roman"/>
                <w:color w:val="auto"/>
                <w:sz w:val="20"/>
                <w:szCs w:val="20"/>
                <w:highlight w:val="none"/>
              </w:rPr>
            </w:pPr>
            <w:r>
              <w:rPr>
                <w:rFonts w:hint="eastAsia" w:ascii="Times New Roman" w:hAnsi="Times New Roman" w:eastAsia="Times New Roman" w:cs="Times New Roman"/>
                <w:i w:val="0"/>
                <w:iCs w:val="0"/>
                <w:color w:val="auto"/>
                <w:kern w:val="2"/>
                <w:sz w:val="20"/>
                <w:szCs w:val="20"/>
                <w:highlight w:val="none"/>
                <w:u w:val="none"/>
                <w:lang w:val="en-US" w:eastAsia="zh-CN" w:bidi="ar"/>
              </w:rPr>
              <w:t>废试剂瓶</w:t>
            </w:r>
          </w:p>
        </w:tc>
        <w:tc>
          <w:tcPr>
            <w:tcW w:w="1973" w:type="dxa"/>
            <w:vAlign w:val="top"/>
          </w:tcPr>
          <w:p w14:paraId="03AFE803">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154" w:type="dxa"/>
            <w:vAlign w:val="top"/>
          </w:tcPr>
          <w:p w14:paraId="33F527CC">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846" w:type="dxa"/>
            <w:vAlign w:val="top"/>
          </w:tcPr>
          <w:p w14:paraId="3C390BFF">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696" w:type="dxa"/>
            <w:vAlign w:val="center"/>
          </w:tcPr>
          <w:p w14:paraId="14CADB3E">
            <w:pPr>
              <w:spacing w:before="0" w:line="240" w:lineRule="exact"/>
              <w:ind w:left="0" w:leftChars="0"/>
              <w:jc w:val="center"/>
              <w:rPr>
                <w:rFonts w:hint="eastAsia" w:ascii="Times New Roman" w:hAnsi="Times New Roman" w:eastAsia="Times New Roman" w:cs="Times New Roman"/>
                <w:color w:val="auto"/>
                <w:sz w:val="20"/>
                <w:szCs w:val="20"/>
                <w:highlight w:val="none"/>
                <w:lang w:val="en-US" w:eastAsia="zh-CN"/>
              </w:rPr>
            </w:pPr>
            <w:r>
              <w:rPr>
                <w:rFonts w:hint="eastAsia" w:ascii="Times New Roman" w:hAnsi="Times New Roman" w:eastAsia="Times New Roman" w:cs="Times New Roman"/>
                <w:color w:val="auto"/>
                <w:sz w:val="20"/>
                <w:szCs w:val="20"/>
                <w:highlight w:val="none"/>
                <w:lang w:val="en-US" w:eastAsia="zh-CN"/>
              </w:rPr>
              <w:t>0.</w:t>
            </w:r>
            <w:r>
              <w:rPr>
                <w:rFonts w:hint="eastAsia" w:eastAsia="Times New Roman" w:cs="Times New Roman"/>
                <w:color w:val="auto"/>
                <w:sz w:val="20"/>
                <w:szCs w:val="20"/>
                <w:highlight w:val="none"/>
                <w:lang w:val="en-US" w:eastAsia="zh-CN"/>
              </w:rPr>
              <w:t>1</w:t>
            </w:r>
            <w:r>
              <w:rPr>
                <w:rFonts w:hint="eastAsia" w:ascii="Times New Roman" w:hAnsi="Times New Roman" w:eastAsia="Times New Roman" w:cs="Times New Roman"/>
                <w:color w:val="auto"/>
                <w:sz w:val="20"/>
                <w:szCs w:val="20"/>
                <w:highlight w:val="none"/>
                <w:lang w:val="en-US" w:eastAsia="zh-CN"/>
              </w:rPr>
              <w:t>5</w:t>
            </w:r>
          </w:p>
        </w:tc>
        <w:tc>
          <w:tcPr>
            <w:tcW w:w="1973" w:type="dxa"/>
            <w:vAlign w:val="top"/>
          </w:tcPr>
          <w:p w14:paraId="13F2BF69">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2444" w:type="dxa"/>
            <w:vAlign w:val="center"/>
          </w:tcPr>
          <w:p w14:paraId="744A0BED">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w:t>
            </w:r>
            <w:r>
              <w:rPr>
                <w:rFonts w:hint="eastAsia" w:eastAsia="Times New Roman" w:cs="Times New Roman"/>
                <w:color w:val="auto"/>
                <w:sz w:val="20"/>
                <w:szCs w:val="20"/>
                <w:highlight w:val="none"/>
                <w:lang w:val="en-US" w:eastAsia="zh-CN"/>
              </w:rPr>
              <w:t>1</w:t>
            </w:r>
            <w:r>
              <w:rPr>
                <w:rFonts w:hint="eastAsia" w:ascii="Times New Roman" w:hAnsi="Times New Roman" w:eastAsia="Times New Roman" w:cs="Times New Roman"/>
                <w:color w:val="auto"/>
                <w:sz w:val="20"/>
                <w:szCs w:val="20"/>
                <w:highlight w:val="none"/>
                <w:lang w:val="en-US" w:eastAsia="zh-CN"/>
              </w:rPr>
              <w:t>5</w:t>
            </w:r>
          </w:p>
        </w:tc>
        <w:tc>
          <w:tcPr>
            <w:tcW w:w="1653" w:type="dxa"/>
            <w:tcBorders>
              <w:right w:val="single" w:color="000000" w:sz="6" w:space="0"/>
            </w:tcBorders>
            <w:vAlign w:val="center"/>
          </w:tcPr>
          <w:p w14:paraId="1635F9EB">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w:t>
            </w:r>
            <w:r>
              <w:rPr>
                <w:rFonts w:hint="eastAsia" w:eastAsia="Times New Roman" w:cs="Times New Roman"/>
                <w:color w:val="auto"/>
                <w:sz w:val="20"/>
                <w:szCs w:val="20"/>
                <w:highlight w:val="none"/>
                <w:lang w:val="en-US" w:eastAsia="zh-CN"/>
              </w:rPr>
              <w:t>1</w:t>
            </w:r>
            <w:r>
              <w:rPr>
                <w:rFonts w:hint="eastAsia" w:ascii="Times New Roman" w:hAnsi="Times New Roman" w:eastAsia="Times New Roman" w:cs="Times New Roman"/>
                <w:color w:val="auto"/>
                <w:sz w:val="20"/>
                <w:szCs w:val="20"/>
                <w:highlight w:val="none"/>
                <w:lang w:val="en-US" w:eastAsia="zh-CN"/>
              </w:rPr>
              <w:t>5</w:t>
            </w:r>
          </w:p>
        </w:tc>
      </w:tr>
      <w:tr w14:paraId="5004904A">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tcBorders>
            <w:vAlign w:val="center"/>
          </w:tcPr>
          <w:p w14:paraId="63FC3AF5">
            <w:pPr>
              <w:spacing w:before="0" w:line="240" w:lineRule="exact"/>
              <w:jc w:val="center"/>
              <w:rPr>
                <w:rFonts w:hint="eastAsia" w:ascii="Times New Roman" w:eastAsia="Times New Roman"/>
                <w:color w:val="auto"/>
                <w:sz w:val="20"/>
                <w:szCs w:val="20"/>
                <w:highlight w:val="none"/>
              </w:rPr>
            </w:pPr>
          </w:p>
        </w:tc>
        <w:tc>
          <w:tcPr>
            <w:tcW w:w="1603" w:type="dxa"/>
            <w:vAlign w:val="center"/>
          </w:tcPr>
          <w:p w14:paraId="7F13772F">
            <w:pPr>
              <w:keepNext w:val="0"/>
              <w:keepLines w:val="0"/>
              <w:widowControl/>
              <w:suppressLineNumbers w:val="0"/>
              <w:spacing w:before="0" w:line="240" w:lineRule="exact"/>
              <w:jc w:val="center"/>
              <w:textAlignment w:val="auto"/>
              <w:rPr>
                <w:rFonts w:hint="eastAsia" w:eastAsia="Times New Roman"/>
                <w:color w:val="auto"/>
                <w:sz w:val="20"/>
                <w:szCs w:val="20"/>
                <w:highlight w:val="none"/>
              </w:rPr>
            </w:pPr>
            <w:r>
              <w:rPr>
                <w:rFonts w:hint="eastAsia" w:ascii="Times New Roman" w:hAnsi="Times New Roman" w:eastAsia="Times New Roman" w:cs="Times New Roman"/>
                <w:i w:val="0"/>
                <w:iCs w:val="0"/>
                <w:color w:val="auto"/>
                <w:kern w:val="2"/>
                <w:sz w:val="20"/>
                <w:szCs w:val="20"/>
                <w:highlight w:val="none"/>
                <w:u w:val="none"/>
                <w:lang w:val="en-US" w:eastAsia="zh-CN" w:bidi="ar"/>
              </w:rPr>
              <w:t>实验废物</w:t>
            </w:r>
          </w:p>
        </w:tc>
        <w:tc>
          <w:tcPr>
            <w:tcW w:w="1973" w:type="dxa"/>
            <w:vAlign w:val="top"/>
          </w:tcPr>
          <w:p w14:paraId="0F3402A1">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154" w:type="dxa"/>
            <w:vAlign w:val="top"/>
          </w:tcPr>
          <w:p w14:paraId="763BFB9C">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846" w:type="dxa"/>
            <w:vAlign w:val="top"/>
          </w:tcPr>
          <w:p w14:paraId="3065246A">
            <w:pPr>
              <w:spacing w:before="0" w:line="240" w:lineRule="exact"/>
              <w:ind w:left="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1696" w:type="dxa"/>
            <w:vAlign w:val="center"/>
          </w:tcPr>
          <w:p w14:paraId="5C2E4CCC">
            <w:pPr>
              <w:spacing w:before="0" w:line="240" w:lineRule="exact"/>
              <w:ind w:left="0" w:leftChars="0"/>
              <w:jc w:val="center"/>
              <w:rPr>
                <w:rFonts w:hint="eastAsia" w:ascii="Times New Roman" w:hAnsi="Times New Roman" w:eastAsia="Times New Roman" w:cs="Times New Roman"/>
                <w:color w:val="auto"/>
                <w:sz w:val="20"/>
                <w:szCs w:val="20"/>
                <w:highlight w:val="none"/>
                <w:lang w:val="en-US" w:eastAsia="zh-CN"/>
              </w:rPr>
            </w:pPr>
            <w:r>
              <w:rPr>
                <w:rFonts w:hint="eastAsia" w:ascii="Times New Roman" w:hAnsi="Times New Roman" w:eastAsia="Times New Roman" w:cs="Times New Roman"/>
                <w:color w:val="auto"/>
                <w:sz w:val="20"/>
                <w:szCs w:val="20"/>
                <w:highlight w:val="none"/>
                <w:lang w:val="en-US" w:eastAsia="zh-CN"/>
              </w:rPr>
              <w:t>0.005</w:t>
            </w:r>
          </w:p>
        </w:tc>
        <w:tc>
          <w:tcPr>
            <w:tcW w:w="1973" w:type="dxa"/>
            <w:vAlign w:val="top"/>
          </w:tcPr>
          <w:p w14:paraId="41681409">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pacing w:val="0"/>
                <w:sz w:val="20"/>
                <w:szCs w:val="20"/>
                <w:highlight w:val="none"/>
              </w:rPr>
              <w:t>/</w:t>
            </w:r>
          </w:p>
        </w:tc>
        <w:tc>
          <w:tcPr>
            <w:tcW w:w="2444" w:type="dxa"/>
            <w:vAlign w:val="center"/>
          </w:tcPr>
          <w:p w14:paraId="5BDF055B">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0.005</w:t>
            </w:r>
          </w:p>
        </w:tc>
        <w:tc>
          <w:tcPr>
            <w:tcW w:w="1653" w:type="dxa"/>
            <w:tcBorders>
              <w:right w:val="single" w:color="000000" w:sz="6" w:space="0"/>
            </w:tcBorders>
            <w:vAlign w:val="center"/>
          </w:tcPr>
          <w:p w14:paraId="2150F8F8">
            <w:pPr>
              <w:spacing w:before="0" w:line="240" w:lineRule="exact"/>
              <w:ind w:left="0" w:leftChars="0"/>
              <w:jc w:val="center"/>
              <w:rPr>
                <w:rFonts w:hint="eastAsia" w:ascii="Times New Roman" w:hAnsi="Times New Roman" w:eastAsia="Times New Roman" w:cs="Times New Roman"/>
                <w:color w:val="auto"/>
                <w:sz w:val="20"/>
                <w:szCs w:val="20"/>
                <w:highlight w:val="none"/>
              </w:rPr>
            </w:pPr>
            <w:r>
              <w:rPr>
                <w:rFonts w:hint="eastAsia" w:ascii="Times New Roman" w:hAnsi="Times New Roman" w:eastAsia="Times New Roman" w:cs="Times New Roman"/>
                <w:color w:val="auto"/>
                <w:sz w:val="20"/>
                <w:szCs w:val="20"/>
                <w:highlight w:val="none"/>
                <w:lang w:val="en-US" w:eastAsia="zh-CN"/>
              </w:rPr>
              <w:t>0.005</w:t>
            </w:r>
          </w:p>
        </w:tc>
      </w:tr>
      <w:tr w14:paraId="083F3D6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116" w:type="dxa"/>
            <w:vMerge w:val="continue"/>
            <w:tcBorders>
              <w:left w:val="single" w:color="000000" w:sz="6" w:space="0"/>
              <w:bottom w:val="single" w:color="000000" w:sz="6" w:space="0"/>
            </w:tcBorders>
            <w:vAlign w:val="center"/>
          </w:tcPr>
          <w:p w14:paraId="40AF98BD">
            <w:pPr>
              <w:spacing w:before="0" w:line="240" w:lineRule="exact"/>
              <w:jc w:val="center"/>
              <w:rPr>
                <w:rFonts w:hint="eastAsia" w:ascii="Times New Roman" w:eastAsia="Times New Roman"/>
                <w:color w:val="auto"/>
                <w:sz w:val="20"/>
                <w:szCs w:val="20"/>
                <w:highlight w:val="none"/>
              </w:rPr>
            </w:pPr>
          </w:p>
        </w:tc>
        <w:tc>
          <w:tcPr>
            <w:tcW w:w="1603" w:type="dxa"/>
            <w:tcBorders>
              <w:bottom w:val="single" w:color="000000" w:sz="6" w:space="0"/>
            </w:tcBorders>
            <w:vAlign w:val="center"/>
          </w:tcPr>
          <w:p w14:paraId="361AE13D">
            <w:pPr>
              <w:keepNext w:val="0"/>
              <w:keepLines w:val="0"/>
              <w:widowControl/>
              <w:suppressLineNumbers w:val="0"/>
              <w:spacing w:before="0" w:line="240" w:lineRule="exact"/>
              <w:jc w:val="center"/>
              <w:textAlignment w:val="auto"/>
              <w:rPr>
                <w:rFonts w:hint="eastAsia" w:eastAsia="Times New Roman"/>
                <w:color w:val="auto"/>
                <w:spacing w:val="0"/>
                <w:sz w:val="20"/>
                <w:szCs w:val="20"/>
                <w:highlight w:val="none"/>
              </w:rPr>
            </w:pPr>
            <w:r>
              <w:rPr>
                <w:rFonts w:hint="eastAsia" w:ascii="Times New Roman" w:hAnsi="Times New Roman" w:eastAsia="Times New Roman" w:cs="Times New Roman"/>
                <w:i w:val="0"/>
                <w:iCs w:val="0"/>
                <w:color w:val="auto"/>
                <w:kern w:val="2"/>
                <w:sz w:val="20"/>
                <w:szCs w:val="20"/>
                <w:highlight w:val="none"/>
                <w:u w:val="none"/>
                <w:lang w:val="en-US" w:eastAsia="zh-CN" w:bidi="ar"/>
              </w:rPr>
              <w:t>废清洗剂包装</w:t>
            </w:r>
          </w:p>
        </w:tc>
        <w:tc>
          <w:tcPr>
            <w:tcW w:w="1973" w:type="dxa"/>
            <w:tcBorders>
              <w:bottom w:val="single" w:color="000000" w:sz="6" w:space="0"/>
            </w:tcBorders>
            <w:vAlign w:val="top"/>
          </w:tcPr>
          <w:p w14:paraId="60C67493">
            <w:pPr>
              <w:spacing w:before="0" w:line="240" w:lineRule="exact"/>
              <w:ind w:left="0"/>
              <w:jc w:val="center"/>
              <w:rPr>
                <w:rFonts w:hint="eastAsia" w:ascii="Times New Roman" w:hAnsi="Times New Roman" w:eastAsia="Times New Roman" w:cs="Times New Roman"/>
                <w:color w:val="auto"/>
                <w:spacing w:val="0"/>
                <w:sz w:val="20"/>
                <w:szCs w:val="20"/>
                <w:highlight w:val="none"/>
                <w:lang w:val="en-US" w:eastAsia="zh-CN"/>
              </w:rPr>
            </w:pPr>
            <w:r>
              <w:rPr>
                <w:rFonts w:hint="eastAsia" w:ascii="Times New Roman" w:hAnsi="Times New Roman" w:eastAsia="Times New Roman" w:cs="Times New Roman"/>
                <w:color w:val="auto"/>
                <w:spacing w:val="0"/>
                <w:sz w:val="20"/>
                <w:szCs w:val="20"/>
                <w:highlight w:val="none"/>
                <w:lang w:val="en-US" w:eastAsia="zh-CN"/>
              </w:rPr>
              <w:t>/</w:t>
            </w:r>
          </w:p>
        </w:tc>
        <w:tc>
          <w:tcPr>
            <w:tcW w:w="1154" w:type="dxa"/>
            <w:tcBorders>
              <w:bottom w:val="single" w:color="000000" w:sz="6" w:space="0"/>
            </w:tcBorders>
            <w:vAlign w:val="top"/>
          </w:tcPr>
          <w:p w14:paraId="0B6054C8">
            <w:pPr>
              <w:spacing w:before="0" w:line="240" w:lineRule="exact"/>
              <w:ind w:left="0"/>
              <w:jc w:val="center"/>
              <w:rPr>
                <w:rFonts w:hint="eastAsia" w:ascii="Times New Roman" w:hAnsi="Times New Roman" w:eastAsia="Times New Roman" w:cs="Times New Roman"/>
                <w:color w:val="auto"/>
                <w:spacing w:val="0"/>
                <w:sz w:val="20"/>
                <w:szCs w:val="20"/>
                <w:highlight w:val="none"/>
                <w:lang w:val="en-US" w:eastAsia="zh-CN"/>
              </w:rPr>
            </w:pPr>
            <w:r>
              <w:rPr>
                <w:rFonts w:hint="eastAsia" w:ascii="Times New Roman" w:hAnsi="Times New Roman" w:eastAsia="Times New Roman" w:cs="Times New Roman"/>
                <w:color w:val="auto"/>
                <w:spacing w:val="0"/>
                <w:sz w:val="20"/>
                <w:szCs w:val="20"/>
                <w:highlight w:val="none"/>
                <w:lang w:val="en-US" w:eastAsia="zh-CN"/>
              </w:rPr>
              <w:t>/</w:t>
            </w:r>
          </w:p>
        </w:tc>
        <w:tc>
          <w:tcPr>
            <w:tcW w:w="1846" w:type="dxa"/>
            <w:tcBorders>
              <w:bottom w:val="single" w:color="000000" w:sz="6" w:space="0"/>
            </w:tcBorders>
            <w:vAlign w:val="top"/>
          </w:tcPr>
          <w:p w14:paraId="63FABD33">
            <w:pPr>
              <w:spacing w:before="0" w:line="240" w:lineRule="exact"/>
              <w:ind w:left="0"/>
              <w:jc w:val="center"/>
              <w:rPr>
                <w:rFonts w:hint="eastAsia" w:ascii="Times New Roman" w:hAnsi="Times New Roman" w:eastAsia="Times New Roman" w:cs="Times New Roman"/>
                <w:color w:val="auto"/>
                <w:spacing w:val="0"/>
                <w:sz w:val="20"/>
                <w:szCs w:val="20"/>
                <w:highlight w:val="none"/>
                <w:lang w:val="en-US" w:eastAsia="zh-CN"/>
              </w:rPr>
            </w:pPr>
            <w:r>
              <w:rPr>
                <w:rFonts w:hint="eastAsia" w:ascii="Times New Roman" w:hAnsi="Times New Roman" w:eastAsia="Times New Roman" w:cs="Times New Roman"/>
                <w:color w:val="auto"/>
                <w:spacing w:val="0"/>
                <w:sz w:val="20"/>
                <w:szCs w:val="20"/>
                <w:highlight w:val="none"/>
                <w:lang w:val="en-US" w:eastAsia="zh-CN"/>
              </w:rPr>
              <w:t>/</w:t>
            </w:r>
          </w:p>
        </w:tc>
        <w:tc>
          <w:tcPr>
            <w:tcW w:w="1696" w:type="dxa"/>
            <w:tcBorders>
              <w:bottom w:val="single" w:color="000000" w:sz="6" w:space="0"/>
            </w:tcBorders>
            <w:vAlign w:val="center"/>
          </w:tcPr>
          <w:p w14:paraId="01BC9238">
            <w:pPr>
              <w:spacing w:before="0" w:line="240" w:lineRule="exact"/>
              <w:ind w:left="0" w:leftChars="0"/>
              <w:jc w:val="center"/>
              <w:rPr>
                <w:rFonts w:hint="eastAsia" w:ascii="Times New Roman" w:hAnsi="Times New Roman" w:eastAsia="Times New Roman" w:cs="Times New Roman"/>
                <w:color w:val="auto"/>
                <w:sz w:val="20"/>
                <w:szCs w:val="20"/>
                <w:highlight w:val="none"/>
                <w:lang w:val="en-US" w:eastAsia="zh-CN"/>
              </w:rPr>
            </w:pPr>
            <w:r>
              <w:rPr>
                <w:rFonts w:hint="eastAsia" w:ascii="Times New Roman" w:hAnsi="Times New Roman" w:eastAsia="Times New Roman" w:cs="Times New Roman"/>
                <w:color w:val="auto"/>
                <w:sz w:val="20"/>
                <w:szCs w:val="20"/>
                <w:highlight w:val="none"/>
                <w:lang w:val="en-US" w:eastAsia="zh-CN"/>
              </w:rPr>
              <w:t>0.01</w:t>
            </w:r>
          </w:p>
        </w:tc>
        <w:tc>
          <w:tcPr>
            <w:tcW w:w="1973" w:type="dxa"/>
            <w:tcBorders>
              <w:bottom w:val="single" w:color="000000" w:sz="6" w:space="0"/>
            </w:tcBorders>
            <w:vAlign w:val="top"/>
          </w:tcPr>
          <w:p w14:paraId="7BE37FD1">
            <w:pPr>
              <w:spacing w:before="0" w:line="240" w:lineRule="exact"/>
              <w:ind w:left="0"/>
              <w:jc w:val="center"/>
              <w:rPr>
                <w:rFonts w:hint="eastAsia" w:ascii="Times New Roman" w:hAnsi="Times New Roman" w:eastAsia="Times New Roman" w:cs="Times New Roman"/>
                <w:color w:val="auto"/>
                <w:spacing w:val="0"/>
                <w:sz w:val="20"/>
                <w:szCs w:val="20"/>
                <w:highlight w:val="none"/>
              </w:rPr>
            </w:pPr>
          </w:p>
        </w:tc>
        <w:tc>
          <w:tcPr>
            <w:tcW w:w="2444" w:type="dxa"/>
            <w:tcBorders>
              <w:bottom w:val="single" w:color="000000" w:sz="6" w:space="0"/>
            </w:tcBorders>
            <w:vAlign w:val="center"/>
          </w:tcPr>
          <w:p w14:paraId="74E08A4B">
            <w:pPr>
              <w:spacing w:before="0" w:line="240" w:lineRule="exact"/>
              <w:ind w:left="0" w:leftChars="0"/>
              <w:jc w:val="center"/>
              <w:rPr>
                <w:rFonts w:hint="eastAsia" w:ascii="Times New Roman" w:hAnsi="Times New Roman" w:eastAsia="Times New Roman" w:cs="Times New Roman"/>
                <w:color w:val="auto"/>
                <w:sz w:val="20"/>
                <w:szCs w:val="20"/>
                <w:highlight w:val="none"/>
                <w:lang w:val="en-US" w:eastAsia="zh-CN"/>
              </w:rPr>
            </w:pPr>
            <w:r>
              <w:rPr>
                <w:rFonts w:hint="eastAsia" w:ascii="Times New Roman" w:hAnsi="Times New Roman" w:eastAsia="Times New Roman" w:cs="Times New Roman"/>
                <w:color w:val="auto"/>
                <w:sz w:val="20"/>
                <w:szCs w:val="20"/>
                <w:highlight w:val="none"/>
                <w:lang w:val="en-US" w:eastAsia="zh-CN"/>
              </w:rPr>
              <w:t>0.01</w:t>
            </w:r>
          </w:p>
        </w:tc>
        <w:tc>
          <w:tcPr>
            <w:tcW w:w="1653" w:type="dxa"/>
            <w:tcBorders>
              <w:bottom w:val="single" w:color="000000" w:sz="6" w:space="0"/>
              <w:right w:val="single" w:color="000000" w:sz="6" w:space="0"/>
            </w:tcBorders>
            <w:vAlign w:val="center"/>
          </w:tcPr>
          <w:p w14:paraId="6C648319">
            <w:pPr>
              <w:spacing w:before="0" w:line="240" w:lineRule="exact"/>
              <w:ind w:left="0" w:leftChars="0"/>
              <w:jc w:val="center"/>
              <w:rPr>
                <w:rFonts w:hint="eastAsia" w:ascii="Times New Roman" w:hAnsi="Times New Roman" w:eastAsia="Times New Roman" w:cs="Times New Roman"/>
                <w:color w:val="auto"/>
                <w:sz w:val="20"/>
                <w:szCs w:val="20"/>
                <w:highlight w:val="none"/>
                <w:lang w:val="en-US" w:eastAsia="zh-CN"/>
              </w:rPr>
            </w:pPr>
            <w:r>
              <w:rPr>
                <w:rFonts w:hint="eastAsia" w:ascii="Times New Roman" w:hAnsi="Times New Roman" w:eastAsia="Times New Roman" w:cs="Times New Roman"/>
                <w:color w:val="auto"/>
                <w:sz w:val="20"/>
                <w:szCs w:val="20"/>
                <w:highlight w:val="none"/>
                <w:lang w:val="en-US" w:eastAsia="zh-CN"/>
              </w:rPr>
              <w:t>0.01</w:t>
            </w:r>
          </w:p>
        </w:tc>
      </w:tr>
    </w:tbl>
    <w:p w14:paraId="7477A909">
      <w:pPr>
        <w:spacing w:before="184" w:line="281" w:lineRule="exact"/>
        <w:ind w:left="0"/>
        <w:rPr>
          <w:rFonts w:ascii="宋体" w:hAnsi="宋体" w:eastAsia="宋体" w:cs="宋体"/>
          <w:color w:val="auto"/>
          <w:sz w:val="20"/>
          <w:szCs w:val="20"/>
          <w:highlight w:val="none"/>
        </w:rPr>
      </w:pPr>
      <w:r>
        <w:rPr>
          <w:rFonts w:ascii="宋体" w:hAnsi="宋体" w:eastAsia="宋体" w:cs="宋体"/>
          <w:color w:val="auto"/>
          <w:spacing w:val="1"/>
          <w:position w:val="1"/>
          <w:sz w:val="20"/>
          <w:szCs w:val="20"/>
          <w:highlight w:val="none"/>
        </w:rPr>
        <w:t>注：⑥</w:t>
      </w:r>
      <w:r>
        <w:rPr>
          <w:rFonts w:ascii="Times New Roman" w:hAnsi="Times New Roman" w:eastAsia="Times New Roman" w:cs="Times New Roman"/>
          <w:color w:val="auto"/>
          <w:spacing w:val="1"/>
          <w:position w:val="1"/>
          <w:sz w:val="20"/>
          <w:szCs w:val="20"/>
          <w:highlight w:val="none"/>
        </w:rPr>
        <w:t>=</w:t>
      </w:r>
      <w:r>
        <w:rPr>
          <w:rFonts w:ascii="宋体" w:hAnsi="宋体" w:eastAsia="宋体" w:cs="宋体"/>
          <w:color w:val="auto"/>
          <w:spacing w:val="1"/>
          <w:position w:val="1"/>
          <w:sz w:val="20"/>
          <w:szCs w:val="20"/>
          <w:highlight w:val="none"/>
        </w:rPr>
        <w:t>①</w:t>
      </w:r>
      <w:r>
        <w:rPr>
          <w:rFonts w:ascii="Times New Roman" w:hAnsi="Times New Roman" w:eastAsia="Times New Roman" w:cs="Times New Roman"/>
          <w:color w:val="auto"/>
          <w:spacing w:val="1"/>
          <w:position w:val="1"/>
          <w:sz w:val="20"/>
          <w:szCs w:val="20"/>
          <w:highlight w:val="none"/>
        </w:rPr>
        <w:t>+</w:t>
      </w:r>
      <w:r>
        <w:rPr>
          <w:rFonts w:ascii="宋体" w:hAnsi="宋体" w:eastAsia="宋体" w:cs="宋体"/>
          <w:color w:val="auto"/>
          <w:spacing w:val="1"/>
          <w:position w:val="1"/>
          <w:sz w:val="20"/>
          <w:szCs w:val="20"/>
          <w:highlight w:val="none"/>
        </w:rPr>
        <w:t>③</w:t>
      </w:r>
      <w:r>
        <w:rPr>
          <w:rFonts w:ascii="Times New Roman" w:hAnsi="Times New Roman" w:eastAsia="Times New Roman" w:cs="Times New Roman"/>
          <w:color w:val="auto"/>
          <w:spacing w:val="1"/>
          <w:position w:val="1"/>
          <w:sz w:val="20"/>
          <w:szCs w:val="20"/>
          <w:highlight w:val="none"/>
        </w:rPr>
        <w:t>+</w:t>
      </w:r>
      <w:r>
        <w:rPr>
          <w:rFonts w:ascii="宋体" w:hAnsi="宋体" w:eastAsia="宋体" w:cs="宋体"/>
          <w:color w:val="auto"/>
          <w:spacing w:val="1"/>
          <w:position w:val="1"/>
          <w:sz w:val="20"/>
          <w:szCs w:val="20"/>
          <w:highlight w:val="none"/>
        </w:rPr>
        <w:t>④</w:t>
      </w:r>
      <w:r>
        <w:rPr>
          <w:rFonts w:ascii="Times New Roman" w:hAnsi="Times New Roman" w:eastAsia="Times New Roman" w:cs="Times New Roman"/>
          <w:color w:val="auto"/>
          <w:spacing w:val="1"/>
          <w:position w:val="1"/>
          <w:sz w:val="20"/>
          <w:szCs w:val="20"/>
          <w:highlight w:val="none"/>
        </w:rPr>
        <w:t>-</w:t>
      </w:r>
      <w:r>
        <w:rPr>
          <w:rFonts w:ascii="宋体" w:hAnsi="宋体" w:eastAsia="宋体" w:cs="宋体"/>
          <w:color w:val="auto"/>
          <w:spacing w:val="1"/>
          <w:position w:val="1"/>
          <w:sz w:val="20"/>
          <w:szCs w:val="20"/>
          <w:highlight w:val="none"/>
        </w:rPr>
        <w:t>⑤;⑦</w:t>
      </w:r>
      <w:r>
        <w:rPr>
          <w:rFonts w:ascii="Times New Roman" w:hAnsi="Times New Roman" w:eastAsia="Times New Roman" w:cs="Times New Roman"/>
          <w:color w:val="auto"/>
          <w:spacing w:val="1"/>
          <w:position w:val="1"/>
          <w:sz w:val="20"/>
          <w:szCs w:val="20"/>
          <w:highlight w:val="none"/>
        </w:rPr>
        <w:t>=</w:t>
      </w:r>
      <w:r>
        <w:rPr>
          <w:rFonts w:ascii="宋体" w:hAnsi="宋体" w:eastAsia="宋体" w:cs="宋体"/>
          <w:color w:val="auto"/>
          <w:spacing w:val="1"/>
          <w:position w:val="1"/>
          <w:sz w:val="20"/>
          <w:szCs w:val="20"/>
          <w:highlight w:val="none"/>
        </w:rPr>
        <w:t>⑥</w:t>
      </w:r>
      <w:r>
        <w:rPr>
          <w:rFonts w:ascii="Times New Roman" w:hAnsi="Times New Roman" w:eastAsia="Times New Roman" w:cs="Times New Roman"/>
          <w:color w:val="auto"/>
          <w:spacing w:val="1"/>
          <w:position w:val="1"/>
          <w:sz w:val="20"/>
          <w:szCs w:val="20"/>
          <w:highlight w:val="none"/>
        </w:rPr>
        <w:t>-</w:t>
      </w:r>
      <w:r>
        <w:rPr>
          <w:rFonts w:ascii="宋体" w:hAnsi="宋体" w:eastAsia="宋体" w:cs="宋体"/>
          <w:color w:val="auto"/>
          <w:spacing w:val="1"/>
          <w:position w:val="1"/>
          <w:sz w:val="20"/>
          <w:szCs w:val="20"/>
          <w:highlight w:val="none"/>
        </w:rPr>
        <w:t>①；单位：</w:t>
      </w:r>
      <w:r>
        <w:rPr>
          <w:rFonts w:ascii="Times New Roman" w:hAnsi="Times New Roman" w:eastAsia="Times New Roman" w:cs="Times New Roman"/>
          <w:color w:val="auto"/>
          <w:spacing w:val="1"/>
          <w:position w:val="1"/>
          <w:sz w:val="20"/>
          <w:szCs w:val="20"/>
          <w:highlight w:val="none"/>
        </w:rPr>
        <w:t>t/a</w:t>
      </w:r>
      <w:r>
        <w:rPr>
          <w:rFonts w:ascii="宋体" w:hAnsi="宋体" w:eastAsia="宋体" w:cs="宋体"/>
          <w:color w:val="auto"/>
          <w:spacing w:val="1"/>
          <w:position w:val="1"/>
          <w:sz w:val="20"/>
          <w:szCs w:val="20"/>
          <w:highlight w:val="none"/>
        </w:rPr>
        <w:t>。</w:t>
      </w:r>
    </w:p>
    <w:p w14:paraId="08AE21D7">
      <w:pPr>
        <w:outlineLvl w:val="0"/>
        <w:rPr>
          <w:rFonts w:hint="default" w:ascii="Times New Roman" w:hAnsi="Times New Roman" w:cs="Times New Roman"/>
          <w:b/>
          <w:bCs/>
          <w:color w:val="auto"/>
          <w:sz w:val="30"/>
          <w:szCs w:val="30"/>
          <w:highlight w:val="none"/>
        </w:rPr>
        <w:sectPr>
          <w:headerReference r:id="rId10" w:type="default"/>
          <w:footerReference r:id="rId11" w:type="default"/>
          <w:pgSz w:w="16838" w:h="11906" w:orient="landscape"/>
          <w:pgMar w:top="1015" w:right="680" w:bottom="918" w:left="680" w:header="907" w:footer="850" w:gutter="0"/>
          <w:pgBorders>
            <w:top w:val="none" w:sz="0" w:space="0"/>
            <w:left w:val="none" w:sz="0" w:space="0"/>
            <w:bottom w:val="none" w:sz="0" w:space="0"/>
            <w:right w:val="none" w:sz="0" w:space="0"/>
          </w:pgBorders>
          <w:cols w:space="720" w:num="1"/>
          <w:docGrid w:linePitch="312" w:charSpace="0"/>
        </w:sectPr>
      </w:pPr>
    </w:p>
    <w:p w14:paraId="564A400A">
      <w:pPr>
        <w:outlineLvl w:val="0"/>
        <w:rPr>
          <w:rFonts w:hint="default" w:ascii="Times New Roman" w:hAnsi="Times New Roman" w:cs="Times New Roman"/>
          <w:b/>
          <w:bCs/>
          <w:color w:val="auto"/>
          <w:sz w:val="30"/>
          <w:szCs w:val="30"/>
          <w:highlight w:val="none"/>
        </w:rPr>
      </w:pPr>
      <w:r>
        <w:rPr>
          <w:rFonts w:hint="default" w:ascii="Times New Roman" w:hAnsi="Times New Roman" w:cs="Times New Roman"/>
          <w:b/>
          <w:bCs/>
          <w:color w:val="auto"/>
          <w:sz w:val="30"/>
          <w:szCs w:val="30"/>
          <w:highlight w:val="none"/>
        </w:rPr>
        <w:t>附件1委托书</w:t>
      </w:r>
      <w:bookmarkEnd w:id="4"/>
    </w:p>
    <w:p w14:paraId="05B6B9BA">
      <w:pP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drawing>
          <wp:inline distT="0" distB="0" distL="114300" distR="114300">
            <wp:extent cx="5388610" cy="7184390"/>
            <wp:effectExtent l="0" t="0" r="6350" b="8890"/>
            <wp:docPr id="4" name="图片 4" descr="委托书-民丰产业园果汁-环评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委托书-民丰产业园果汁-环评表_01"/>
                    <pic:cNvPicPr>
                      <a:picLocks noChangeAspect="1"/>
                    </pic:cNvPicPr>
                  </pic:nvPicPr>
                  <pic:blipFill>
                    <a:blip r:embed="rId31"/>
                    <a:stretch>
                      <a:fillRect/>
                    </a:stretch>
                  </pic:blipFill>
                  <pic:spPr>
                    <a:xfrm>
                      <a:off x="0" y="0"/>
                      <a:ext cx="5388610" cy="7184390"/>
                    </a:xfrm>
                    <a:prstGeom prst="rect">
                      <a:avLst/>
                    </a:prstGeom>
                  </pic:spPr>
                </pic:pic>
              </a:graphicData>
            </a:graphic>
          </wp:inline>
        </w:drawing>
      </w:r>
    </w:p>
    <w:p w14:paraId="2DC790C7">
      <w:pPr>
        <w:rPr>
          <w:rFonts w:hint="default" w:ascii="Times New Roman" w:hAnsi="Times New Roman" w:cs="Times New Roman"/>
          <w:color w:val="auto"/>
          <w:highlight w:val="none"/>
        </w:rPr>
      </w:pPr>
    </w:p>
    <w:p w14:paraId="3E7E527B">
      <w:pPr>
        <w:outlineLvl w:val="0"/>
        <w:rPr>
          <w:rFonts w:hint="default" w:ascii="Times New Roman" w:hAnsi="Times New Roman" w:cs="Times New Roman"/>
          <w:b/>
          <w:bCs/>
          <w:color w:val="auto"/>
          <w:sz w:val="30"/>
          <w:szCs w:val="30"/>
          <w:highlight w:val="none"/>
        </w:rPr>
        <w:sectPr>
          <w:pgSz w:w="11906" w:h="16838"/>
          <w:pgMar w:top="1531" w:right="1701" w:bottom="1531" w:left="1701" w:header="907" w:footer="850" w:gutter="0"/>
          <w:pgBorders>
            <w:top w:val="none" w:sz="0" w:space="0"/>
            <w:left w:val="none" w:sz="0" w:space="0"/>
            <w:bottom w:val="none" w:sz="0" w:space="0"/>
            <w:right w:val="none" w:sz="0" w:space="0"/>
          </w:pgBorders>
          <w:cols w:space="720" w:num="1"/>
          <w:docGrid w:linePitch="312" w:charSpace="0"/>
        </w:sectPr>
      </w:pPr>
      <w:bookmarkStart w:id="36" w:name="_Toc22812"/>
    </w:p>
    <w:p w14:paraId="78DA3A1C">
      <w:pPr>
        <w:outlineLvl w:val="0"/>
        <w:rPr>
          <w:rFonts w:hint="default" w:ascii="Times New Roman" w:hAnsi="Times New Roman" w:cs="Times New Roman"/>
          <w:b/>
          <w:bCs/>
          <w:color w:val="auto"/>
          <w:sz w:val="30"/>
          <w:szCs w:val="30"/>
          <w:highlight w:val="none"/>
        </w:rPr>
      </w:pPr>
      <w:r>
        <w:rPr>
          <w:rFonts w:hint="default" w:ascii="Times New Roman" w:hAnsi="Times New Roman" w:cs="Times New Roman"/>
          <w:b/>
          <w:bCs/>
          <w:color w:val="auto"/>
          <w:sz w:val="30"/>
          <w:szCs w:val="30"/>
          <w:highlight w:val="none"/>
        </w:rPr>
        <w:t>附件2</w:t>
      </w:r>
      <w:bookmarkEnd w:id="36"/>
      <w:r>
        <w:rPr>
          <w:rFonts w:hint="default" w:ascii="Times New Roman" w:hAnsi="Times New Roman" w:cs="Times New Roman"/>
          <w:b/>
          <w:bCs/>
          <w:color w:val="auto"/>
          <w:sz w:val="30"/>
          <w:szCs w:val="30"/>
          <w:highlight w:val="none"/>
        </w:rPr>
        <w:t>可行性研究报告的批复</w:t>
      </w:r>
    </w:p>
    <w:p w14:paraId="4AB97118">
      <w:pPr>
        <w:pStyle w:val="79"/>
        <w:ind w:firstLine="0" w:firstLineChars="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5367020" cy="7595870"/>
            <wp:effectExtent l="0" t="0" r="12700" b="8890"/>
            <wp:docPr id="10" name="图片 10" descr="民丰NFC初步设计批复-投资金额、工程内容以初设的批复为准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民丰NFC初步设计批复-投资金额、工程内容以初设的批复为准_01"/>
                    <pic:cNvPicPr>
                      <a:picLocks noChangeAspect="1"/>
                    </pic:cNvPicPr>
                  </pic:nvPicPr>
                  <pic:blipFill>
                    <a:blip r:embed="rId32"/>
                    <a:stretch>
                      <a:fillRect/>
                    </a:stretch>
                  </pic:blipFill>
                  <pic:spPr>
                    <a:xfrm>
                      <a:off x="0" y="0"/>
                      <a:ext cx="5367020" cy="7595870"/>
                    </a:xfrm>
                    <a:prstGeom prst="rect">
                      <a:avLst/>
                    </a:prstGeom>
                  </pic:spPr>
                </pic:pic>
              </a:graphicData>
            </a:graphic>
          </wp:inline>
        </w:drawing>
      </w:r>
    </w:p>
    <w:p w14:paraId="121D6DAC">
      <w:pP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br w:type="page"/>
      </w:r>
    </w:p>
    <w:p w14:paraId="2A20B06F">
      <w:pPr>
        <w:pStyle w:val="80"/>
        <w:ind w:left="0" w:leftChars="0" w:firstLine="0" w:firstLineChars="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drawing>
          <wp:inline distT="0" distB="0" distL="114300" distR="114300">
            <wp:extent cx="5367020" cy="7595870"/>
            <wp:effectExtent l="0" t="0" r="12700" b="8890"/>
            <wp:docPr id="11" name="图片 11" descr="民丰NFC初步设计批复-投资金额、工程内容以初设的批复为准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民丰NFC初步设计批复-投资金额、工程内容以初设的批复为准_02"/>
                    <pic:cNvPicPr>
                      <a:picLocks noChangeAspect="1"/>
                    </pic:cNvPicPr>
                  </pic:nvPicPr>
                  <pic:blipFill>
                    <a:blip r:embed="rId33"/>
                    <a:stretch>
                      <a:fillRect/>
                    </a:stretch>
                  </pic:blipFill>
                  <pic:spPr>
                    <a:xfrm>
                      <a:off x="0" y="0"/>
                      <a:ext cx="5367020" cy="7595870"/>
                    </a:xfrm>
                    <a:prstGeom prst="rect">
                      <a:avLst/>
                    </a:prstGeom>
                  </pic:spPr>
                </pic:pic>
              </a:graphicData>
            </a:graphic>
          </wp:inline>
        </w:drawing>
      </w:r>
    </w:p>
    <w:p w14:paraId="7C8D1F96">
      <w:pP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br w:type="page"/>
      </w:r>
    </w:p>
    <w:p w14:paraId="64C3BA75">
      <w:pP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drawing>
          <wp:inline distT="0" distB="0" distL="114300" distR="114300">
            <wp:extent cx="5367020" cy="7595870"/>
            <wp:effectExtent l="0" t="0" r="5080" b="5080"/>
            <wp:docPr id="12" name="图片 12" descr="民丰NFC初步设计批复-投资金额、工程内容以初设的批复为准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民丰NFC初步设计批复-投资金额、工程内容以初设的批复为准_03"/>
                    <pic:cNvPicPr>
                      <a:picLocks noChangeAspect="1"/>
                    </pic:cNvPicPr>
                  </pic:nvPicPr>
                  <pic:blipFill>
                    <a:blip r:embed="rId34"/>
                    <a:stretch>
                      <a:fillRect/>
                    </a:stretch>
                  </pic:blipFill>
                  <pic:spPr>
                    <a:xfrm rot="10800000">
                      <a:off x="0" y="0"/>
                      <a:ext cx="5367020" cy="7595870"/>
                    </a:xfrm>
                    <a:prstGeom prst="rect">
                      <a:avLst/>
                    </a:prstGeom>
                  </pic:spPr>
                </pic:pic>
              </a:graphicData>
            </a:graphic>
          </wp:inline>
        </w:drawing>
      </w:r>
    </w:p>
    <w:p w14:paraId="4A31CF14">
      <w:pP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br w:type="page"/>
      </w:r>
    </w:p>
    <w:p w14:paraId="44AE84B8">
      <w:pP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drawing>
          <wp:inline distT="0" distB="0" distL="114300" distR="114300">
            <wp:extent cx="5367020" cy="7595870"/>
            <wp:effectExtent l="0" t="0" r="5080" b="5080"/>
            <wp:docPr id="13" name="图片 13" descr="民丰NFC初步设计批复-投资金额、工程内容以初设的批复为准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民丰NFC初步设计批复-投资金额、工程内容以初设的批复为准_04"/>
                    <pic:cNvPicPr>
                      <a:picLocks noChangeAspect="1"/>
                    </pic:cNvPicPr>
                  </pic:nvPicPr>
                  <pic:blipFill>
                    <a:blip r:embed="rId35"/>
                    <a:stretch>
                      <a:fillRect/>
                    </a:stretch>
                  </pic:blipFill>
                  <pic:spPr>
                    <a:xfrm rot="10800000">
                      <a:off x="0" y="0"/>
                      <a:ext cx="5367020" cy="7595870"/>
                    </a:xfrm>
                    <a:prstGeom prst="rect">
                      <a:avLst/>
                    </a:prstGeom>
                  </pic:spPr>
                </pic:pic>
              </a:graphicData>
            </a:graphic>
          </wp:inline>
        </w:drawing>
      </w:r>
    </w:p>
    <w:p w14:paraId="639A15FF">
      <w:pP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br w:type="page"/>
      </w:r>
    </w:p>
    <w:p w14:paraId="6208CC2A">
      <w:pPr>
        <w:rPr>
          <w:rFonts w:hint="default" w:ascii="Times New Roman" w:hAnsi="Times New Roman" w:cs="Times New Roman"/>
          <w:color w:val="auto"/>
          <w:highlight w:val="none"/>
          <w:lang w:eastAsia="zh-CN"/>
        </w:rPr>
      </w:pPr>
    </w:p>
    <w:p w14:paraId="0E05180F">
      <w:pP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drawing>
          <wp:inline distT="0" distB="0" distL="114300" distR="114300">
            <wp:extent cx="5367020" cy="7595870"/>
            <wp:effectExtent l="0" t="0" r="5080" b="5080"/>
            <wp:docPr id="14" name="图片 14" descr="民丰NFC初步设计批复-投资金额、工程内容以初设的批复为准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民丰NFC初步设计批复-投资金额、工程内容以初设的批复为准_05"/>
                    <pic:cNvPicPr>
                      <a:picLocks noChangeAspect="1"/>
                    </pic:cNvPicPr>
                  </pic:nvPicPr>
                  <pic:blipFill>
                    <a:blip r:embed="rId36"/>
                    <a:stretch>
                      <a:fillRect/>
                    </a:stretch>
                  </pic:blipFill>
                  <pic:spPr>
                    <a:xfrm rot="10800000">
                      <a:off x="0" y="0"/>
                      <a:ext cx="5367020" cy="7595870"/>
                    </a:xfrm>
                    <a:prstGeom prst="rect">
                      <a:avLst/>
                    </a:prstGeom>
                  </pic:spPr>
                </pic:pic>
              </a:graphicData>
            </a:graphic>
          </wp:inline>
        </w:drawing>
      </w:r>
    </w:p>
    <w:p w14:paraId="3D960499">
      <w:pPr>
        <w:outlineLvl w:val="0"/>
        <w:rPr>
          <w:rFonts w:hint="default" w:ascii="Times New Roman" w:hAnsi="Times New Roman" w:cs="Times New Roman"/>
          <w:b/>
          <w:bCs/>
          <w:color w:val="auto"/>
          <w:sz w:val="30"/>
          <w:szCs w:val="30"/>
          <w:highlight w:val="none"/>
        </w:rPr>
        <w:sectPr>
          <w:pgSz w:w="11906" w:h="16838"/>
          <w:pgMar w:top="1531" w:right="1701" w:bottom="1531" w:left="1701" w:header="907" w:footer="850" w:gutter="0"/>
          <w:pgBorders>
            <w:top w:val="none" w:sz="0" w:space="0"/>
            <w:left w:val="none" w:sz="0" w:space="0"/>
            <w:bottom w:val="none" w:sz="0" w:space="0"/>
            <w:right w:val="none" w:sz="0" w:space="0"/>
          </w:pgBorders>
          <w:cols w:space="720" w:num="1"/>
          <w:docGrid w:linePitch="312" w:charSpace="0"/>
        </w:sectPr>
      </w:pPr>
    </w:p>
    <w:p w14:paraId="1431D78E">
      <w:pPr>
        <w:outlineLvl w:val="0"/>
        <w:rPr>
          <w:rFonts w:hint="eastAsia" w:ascii="Times New Roman" w:hAnsi="Times New Roman" w:eastAsia="宋体" w:cs="Times New Roman"/>
          <w:b/>
          <w:bCs/>
          <w:color w:val="auto"/>
          <w:sz w:val="30"/>
          <w:szCs w:val="30"/>
          <w:highlight w:val="none"/>
          <w:lang w:val="en-US" w:eastAsia="zh-CN"/>
        </w:rPr>
      </w:pPr>
      <w:r>
        <w:rPr>
          <w:rFonts w:hint="eastAsia" w:ascii="Times New Roman" w:hAnsi="Times New Roman" w:cs="Times New Roman"/>
          <w:b/>
          <w:bCs/>
          <w:color w:val="auto"/>
          <w:sz w:val="30"/>
          <w:szCs w:val="30"/>
          <w:highlight w:val="none"/>
        </w:rPr>
        <w:t>附件3项目</w:t>
      </w:r>
      <w:r>
        <w:rPr>
          <w:rFonts w:hint="eastAsia" w:cs="Times New Roman"/>
          <w:b/>
          <w:bCs/>
          <w:color w:val="auto"/>
          <w:sz w:val="30"/>
          <w:szCs w:val="30"/>
          <w:highlight w:val="none"/>
          <w:lang w:val="en-US" w:eastAsia="zh-CN"/>
        </w:rPr>
        <w:t>用地规划许可证</w:t>
      </w:r>
    </w:p>
    <w:p w14:paraId="550E2E96">
      <w:pPr>
        <w:rPr>
          <w:color w:val="auto"/>
          <w:highlight w:val="none"/>
        </w:rPr>
      </w:pPr>
      <w:r>
        <w:rPr>
          <w:color w:val="auto"/>
          <w:highlight w:val="none"/>
        </w:rPr>
        <w:drawing>
          <wp:inline distT="0" distB="0" distL="114300" distR="114300">
            <wp:extent cx="7616825" cy="5351145"/>
            <wp:effectExtent l="0" t="0" r="13335" b="3175"/>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37"/>
                    <a:stretch>
                      <a:fillRect/>
                    </a:stretch>
                  </pic:blipFill>
                  <pic:spPr>
                    <a:xfrm rot="5400000">
                      <a:off x="0" y="0"/>
                      <a:ext cx="7616825" cy="5351145"/>
                    </a:xfrm>
                    <a:prstGeom prst="rect">
                      <a:avLst/>
                    </a:prstGeom>
                    <a:noFill/>
                    <a:ln>
                      <a:noFill/>
                    </a:ln>
                  </pic:spPr>
                </pic:pic>
              </a:graphicData>
            </a:graphic>
          </wp:inline>
        </w:drawing>
      </w:r>
    </w:p>
    <w:p w14:paraId="3782BB36">
      <w:pPr>
        <w:rPr>
          <w:rFonts w:hint="default" w:ascii="Times New Roman" w:hAnsi="Times New Roman" w:cs="Times New Roman"/>
          <w:color w:val="auto"/>
          <w:highlight w:val="none"/>
        </w:rPr>
      </w:pPr>
      <w:r>
        <w:drawing>
          <wp:inline distT="0" distB="0" distL="114300" distR="114300">
            <wp:extent cx="5387975" cy="7726680"/>
            <wp:effectExtent l="0" t="0" r="6985"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38"/>
                    <a:stretch>
                      <a:fillRect/>
                    </a:stretch>
                  </pic:blipFill>
                  <pic:spPr>
                    <a:xfrm>
                      <a:off x="0" y="0"/>
                      <a:ext cx="5387975" cy="7726680"/>
                    </a:xfrm>
                    <a:prstGeom prst="rect">
                      <a:avLst/>
                    </a:prstGeom>
                    <a:noFill/>
                    <a:ln>
                      <a:noFill/>
                    </a:ln>
                  </pic:spPr>
                </pic:pic>
              </a:graphicData>
            </a:graphic>
          </wp:inline>
        </w:drawing>
      </w:r>
    </w:p>
    <w:p w14:paraId="40571CFA">
      <w:pPr>
        <w:rPr>
          <w:rFonts w:hint="default" w:ascii="Times New Roman" w:hAnsi="Times New Roman" w:cs="Times New Roman"/>
          <w:color w:val="auto"/>
          <w:highlight w:val="none"/>
        </w:rPr>
      </w:pPr>
    </w:p>
    <w:p w14:paraId="7A86971C">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55D95D88">
      <w:pPr>
        <w:outlineLvl w:val="0"/>
        <w:rPr>
          <w:rFonts w:hint="eastAsia" w:ascii="Times New Roman" w:hAnsi="Times New Roman" w:cs="Times New Roman"/>
          <w:b/>
          <w:bCs/>
          <w:color w:val="auto"/>
          <w:sz w:val="30"/>
          <w:szCs w:val="30"/>
          <w:highlight w:val="none"/>
          <w:lang w:val="en-US" w:eastAsia="zh-CN"/>
        </w:rPr>
      </w:pPr>
      <w:r>
        <w:rPr>
          <w:rFonts w:hint="eastAsia" w:ascii="Times New Roman" w:hAnsi="Times New Roman" w:cs="Times New Roman"/>
          <w:b/>
          <w:bCs/>
          <w:color w:val="auto"/>
          <w:sz w:val="30"/>
          <w:szCs w:val="30"/>
          <w:highlight w:val="none"/>
          <w:lang w:val="en-US" w:eastAsia="zh-CN"/>
        </w:rPr>
        <w:t>附件4和田北纬三十八度八农业发展有限公司日处理番茄750吨生产线、预制菜5000吨年（番茄丁块等）建设项目环评批复</w:t>
      </w:r>
    </w:p>
    <w:p w14:paraId="58DE196F">
      <w:r>
        <w:drawing>
          <wp:inline distT="0" distB="0" distL="114300" distR="114300">
            <wp:extent cx="5398770" cy="7635240"/>
            <wp:effectExtent l="0" t="0" r="11430" b="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39"/>
                    <a:stretch>
                      <a:fillRect/>
                    </a:stretch>
                  </pic:blipFill>
                  <pic:spPr>
                    <a:xfrm>
                      <a:off x="0" y="0"/>
                      <a:ext cx="5398770" cy="7635240"/>
                    </a:xfrm>
                    <a:prstGeom prst="rect">
                      <a:avLst/>
                    </a:prstGeom>
                    <a:noFill/>
                    <a:ln>
                      <a:noFill/>
                    </a:ln>
                  </pic:spPr>
                </pic:pic>
              </a:graphicData>
            </a:graphic>
          </wp:inline>
        </w:drawing>
      </w:r>
    </w:p>
    <w:p w14:paraId="76AC7B72">
      <w:r>
        <w:br w:type="page"/>
      </w:r>
    </w:p>
    <w:p w14:paraId="78051542">
      <w:r>
        <w:drawing>
          <wp:inline distT="0" distB="0" distL="114300" distR="114300">
            <wp:extent cx="5394960" cy="7623810"/>
            <wp:effectExtent l="0" t="0" r="0" b="11430"/>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40"/>
                    <a:stretch>
                      <a:fillRect/>
                    </a:stretch>
                  </pic:blipFill>
                  <pic:spPr>
                    <a:xfrm>
                      <a:off x="0" y="0"/>
                      <a:ext cx="5394960" cy="7623810"/>
                    </a:xfrm>
                    <a:prstGeom prst="rect">
                      <a:avLst/>
                    </a:prstGeom>
                    <a:noFill/>
                    <a:ln>
                      <a:noFill/>
                    </a:ln>
                  </pic:spPr>
                </pic:pic>
              </a:graphicData>
            </a:graphic>
          </wp:inline>
        </w:drawing>
      </w:r>
    </w:p>
    <w:p w14:paraId="55A67316">
      <w:r>
        <w:br w:type="page"/>
      </w:r>
    </w:p>
    <w:p w14:paraId="59A47B9C">
      <w:r>
        <w:drawing>
          <wp:inline distT="0" distB="0" distL="114300" distR="114300">
            <wp:extent cx="5394960" cy="7566660"/>
            <wp:effectExtent l="0" t="0" r="0" b="7620"/>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41"/>
                    <a:stretch>
                      <a:fillRect/>
                    </a:stretch>
                  </pic:blipFill>
                  <pic:spPr>
                    <a:xfrm>
                      <a:off x="0" y="0"/>
                      <a:ext cx="5394960" cy="7566660"/>
                    </a:xfrm>
                    <a:prstGeom prst="rect">
                      <a:avLst/>
                    </a:prstGeom>
                    <a:noFill/>
                    <a:ln>
                      <a:noFill/>
                    </a:ln>
                  </pic:spPr>
                </pic:pic>
              </a:graphicData>
            </a:graphic>
          </wp:inline>
        </w:drawing>
      </w:r>
    </w:p>
    <w:p w14:paraId="5C8AA035">
      <w:r>
        <w:br w:type="page"/>
      </w:r>
    </w:p>
    <w:p w14:paraId="4BBDA75E">
      <w:r>
        <w:drawing>
          <wp:inline distT="0" distB="0" distL="114300" distR="114300">
            <wp:extent cx="5391150" cy="7334250"/>
            <wp:effectExtent l="0" t="0" r="3810" b="11430"/>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42"/>
                    <a:stretch>
                      <a:fillRect/>
                    </a:stretch>
                  </pic:blipFill>
                  <pic:spPr>
                    <a:xfrm>
                      <a:off x="0" y="0"/>
                      <a:ext cx="5391150" cy="7334250"/>
                    </a:xfrm>
                    <a:prstGeom prst="rect">
                      <a:avLst/>
                    </a:prstGeom>
                    <a:noFill/>
                    <a:ln>
                      <a:noFill/>
                    </a:ln>
                  </pic:spPr>
                </pic:pic>
              </a:graphicData>
            </a:graphic>
          </wp:inline>
        </w:drawing>
      </w:r>
    </w:p>
    <w:p w14:paraId="383AFD84">
      <w:pPr>
        <w:rPr>
          <w:rFonts w:hint="default"/>
        </w:rPr>
      </w:pPr>
      <w:r>
        <w:rPr>
          <w:rFonts w:hint="default"/>
        </w:rPr>
        <w:br w:type="page"/>
      </w:r>
    </w:p>
    <w:p w14:paraId="60A95D37">
      <w:pPr>
        <w:rPr>
          <w:rFonts w:hint="default"/>
        </w:rPr>
        <w:sectPr>
          <w:pgSz w:w="11906" w:h="16838"/>
          <w:pgMar w:top="1531" w:right="1701" w:bottom="1531" w:left="1701" w:header="907" w:footer="850" w:gutter="0"/>
          <w:pgBorders>
            <w:top w:val="none" w:sz="0" w:space="0"/>
            <w:left w:val="none" w:sz="0" w:space="0"/>
            <w:bottom w:val="none" w:sz="0" w:space="0"/>
            <w:right w:val="none" w:sz="0" w:space="0"/>
          </w:pgBorders>
          <w:cols w:space="720" w:num="1"/>
          <w:docGrid w:linePitch="312" w:charSpace="0"/>
        </w:sectPr>
      </w:pPr>
      <w:r>
        <w:drawing>
          <wp:inline distT="0" distB="0" distL="114300" distR="114300">
            <wp:extent cx="7574280" cy="5262245"/>
            <wp:effectExtent l="0" t="0" r="10795" b="0"/>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r:embed="rId43"/>
                    <a:stretch>
                      <a:fillRect/>
                    </a:stretch>
                  </pic:blipFill>
                  <pic:spPr>
                    <a:xfrm rot="5400000">
                      <a:off x="0" y="0"/>
                      <a:ext cx="7574280" cy="5262245"/>
                    </a:xfrm>
                    <a:prstGeom prst="rect">
                      <a:avLst/>
                    </a:prstGeom>
                    <a:noFill/>
                    <a:ln>
                      <a:noFill/>
                    </a:ln>
                  </pic:spPr>
                </pic:pic>
              </a:graphicData>
            </a:graphic>
          </wp:inline>
        </w:drawing>
      </w:r>
    </w:p>
    <w:p w14:paraId="21A2EAC2">
      <w:pPr>
        <w:autoSpaceDE w:val="0"/>
        <w:autoSpaceDN w:val="0"/>
        <w:adjustRightInd w:val="0"/>
        <w:snapToGrid w:val="0"/>
        <w:spacing w:line="360" w:lineRule="auto"/>
        <w:jc w:val="center"/>
        <w:rPr>
          <w:rFonts w:ascii="宋体" w:hAnsi="宋体" w:eastAsia="宋体" w:cs="宋体"/>
          <w:sz w:val="24"/>
          <w:szCs w:val="24"/>
        </w:rPr>
      </w:pPr>
      <w:bookmarkStart w:id="37" w:name="_Hlk165487115"/>
      <w:bookmarkStart w:id="38" w:name="_Hlk165483946"/>
      <w:r>
        <w:rPr>
          <w:rFonts w:ascii="宋体" w:hAnsi="宋体" w:eastAsia="宋体" w:cs="宋体"/>
          <w:sz w:val="24"/>
          <w:szCs w:val="24"/>
        </w:rPr>
        <w:drawing>
          <wp:inline distT="0" distB="0" distL="114300" distR="114300">
            <wp:extent cx="5650230" cy="8049895"/>
            <wp:effectExtent l="0" t="0" r="3810" b="12065"/>
            <wp:docPr id="1"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IMG_256"/>
                    <pic:cNvPicPr>
                      <a:picLocks noChangeAspect="1"/>
                    </pic:cNvPicPr>
                  </pic:nvPicPr>
                  <pic:blipFill>
                    <a:blip r:embed="rId44"/>
                    <a:stretch>
                      <a:fillRect/>
                    </a:stretch>
                  </pic:blipFill>
                  <pic:spPr>
                    <a:xfrm>
                      <a:off x="0" y="0"/>
                      <a:ext cx="5650230" cy="8049895"/>
                    </a:xfrm>
                    <a:prstGeom prst="rect">
                      <a:avLst/>
                    </a:prstGeom>
                    <a:noFill/>
                    <a:ln w="9525">
                      <a:noFill/>
                    </a:ln>
                  </pic:spPr>
                </pic:pic>
              </a:graphicData>
            </a:graphic>
          </wp:inline>
        </w:drawing>
      </w:r>
    </w:p>
    <w:p w14:paraId="229F4262">
      <w:pPr>
        <w:ind w:firstLine="562"/>
        <w:jc w:val="center"/>
        <w:outlineLvl w:val="0"/>
        <w:rPr>
          <w:rFonts w:hint="eastAsia" w:cs="Times New Roman"/>
          <w:b/>
          <w:bCs/>
          <w:color w:val="auto"/>
          <w:sz w:val="28"/>
          <w:szCs w:val="36"/>
          <w:highlight w:val="none"/>
          <w:lang w:val="en-US" w:eastAsia="zh-CN"/>
        </w:rPr>
      </w:pPr>
      <w:r>
        <w:rPr>
          <w:rFonts w:hint="default" w:ascii="Times New Roman" w:hAnsi="Times New Roman" w:cs="Times New Roman"/>
          <w:b/>
          <w:bCs/>
          <w:color w:val="auto"/>
          <w:sz w:val="28"/>
          <w:szCs w:val="36"/>
          <w:highlight w:val="none"/>
        </w:rPr>
        <w:t>附图</w:t>
      </w:r>
      <w:r>
        <w:rPr>
          <w:rFonts w:hint="eastAsia" w:cs="Times New Roman"/>
          <w:b/>
          <w:bCs/>
          <w:color w:val="auto"/>
          <w:sz w:val="28"/>
          <w:szCs w:val="36"/>
          <w:highlight w:val="none"/>
          <w:lang w:val="en-US" w:eastAsia="zh-CN"/>
        </w:rPr>
        <w:t>1地理位置示意图</w:t>
      </w:r>
    </w:p>
    <w:p w14:paraId="56ADBC25">
      <w:pPr>
        <w:rPr>
          <w:rFonts w:hint="eastAsia" w:cs="Times New Roman"/>
          <w:b/>
          <w:bCs/>
          <w:color w:val="auto"/>
          <w:sz w:val="28"/>
          <w:szCs w:val="36"/>
          <w:highlight w:val="none"/>
          <w:lang w:val="en-US" w:eastAsia="zh-CN"/>
        </w:rPr>
      </w:pPr>
      <w:r>
        <w:rPr>
          <w:rFonts w:hint="eastAsia" w:cs="Times New Roman"/>
          <w:b/>
          <w:bCs/>
          <w:color w:val="auto"/>
          <w:sz w:val="28"/>
          <w:szCs w:val="36"/>
          <w:highlight w:val="none"/>
          <w:lang w:val="en-US" w:eastAsia="zh-CN"/>
        </w:rPr>
        <w:br w:type="page"/>
      </w:r>
    </w:p>
    <w:p w14:paraId="0FC00305">
      <w:pPr>
        <w:autoSpaceDE w:val="0"/>
        <w:autoSpaceDN w:val="0"/>
        <w:adjustRightInd w:val="0"/>
        <w:snapToGrid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875020" cy="7275830"/>
            <wp:effectExtent l="0" t="0" r="7620" b="8890"/>
            <wp:docPr id="8" name="图片 8" descr="生态红线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生态红线ai"/>
                    <pic:cNvPicPr>
                      <a:picLocks noChangeAspect="1"/>
                    </pic:cNvPicPr>
                  </pic:nvPicPr>
                  <pic:blipFill>
                    <a:blip r:embed="rId45"/>
                    <a:stretch>
                      <a:fillRect/>
                    </a:stretch>
                  </pic:blipFill>
                  <pic:spPr>
                    <a:xfrm>
                      <a:off x="0" y="0"/>
                      <a:ext cx="5875020" cy="7275830"/>
                    </a:xfrm>
                    <a:prstGeom prst="rect">
                      <a:avLst/>
                    </a:prstGeom>
                  </pic:spPr>
                </pic:pic>
              </a:graphicData>
            </a:graphic>
          </wp:inline>
        </w:drawing>
      </w:r>
    </w:p>
    <w:p w14:paraId="7A43F0AB">
      <w:pPr>
        <w:ind w:firstLine="562"/>
        <w:jc w:val="center"/>
        <w:outlineLvl w:val="0"/>
        <w:rPr>
          <w:rFonts w:hint="default" w:ascii="Times New Roman" w:hAnsi="Times New Roman" w:cs="Times New Roman"/>
          <w:b/>
          <w:bCs/>
          <w:color w:val="auto"/>
          <w:sz w:val="28"/>
          <w:szCs w:val="36"/>
          <w:highlight w:val="none"/>
        </w:rPr>
        <w:sectPr>
          <w:pgSz w:w="11906" w:h="16838"/>
          <w:pgMar w:top="969" w:right="1440" w:bottom="969" w:left="1213"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cs="Times New Roman"/>
          <w:b/>
          <w:bCs/>
          <w:color w:val="auto"/>
          <w:sz w:val="28"/>
          <w:szCs w:val="36"/>
          <w:highlight w:val="none"/>
        </w:rPr>
        <w:t>附图</w:t>
      </w:r>
      <w:r>
        <w:rPr>
          <w:rFonts w:hint="eastAsia" w:ascii="Times New Roman" w:hAnsi="Times New Roman" w:cs="Times New Roman"/>
          <w:b/>
          <w:bCs/>
          <w:color w:val="auto"/>
          <w:sz w:val="28"/>
          <w:szCs w:val="36"/>
          <w:highlight w:val="none"/>
          <w:lang w:val="en-US" w:eastAsia="zh-CN"/>
        </w:rPr>
        <w:t>2</w:t>
      </w:r>
      <w:r>
        <w:rPr>
          <w:rFonts w:hint="default" w:ascii="Times New Roman" w:hAnsi="Times New Roman" w:cs="Times New Roman"/>
          <w:b/>
          <w:bCs/>
          <w:color w:val="auto"/>
          <w:sz w:val="28"/>
          <w:szCs w:val="36"/>
          <w:highlight w:val="none"/>
        </w:rPr>
        <w:t>本项目与生态保护红线位置示意</w:t>
      </w:r>
      <w:r>
        <w:rPr>
          <w:rFonts w:hint="eastAsia" w:ascii="Times New Roman" w:hAnsi="Times New Roman" w:cs="Times New Roman"/>
          <w:b/>
          <w:bCs/>
          <w:color w:val="auto"/>
          <w:sz w:val="28"/>
          <w:szCs w:val="36"/>
          <w:highlight w:val="none"/>
          <w:lang w:val="en-US" w:eastAsia="zh-CN"/>
        </w:rPr>
        <w:t>图</w:t>
      </w:r>
    </w:p>
    <w:p w14:paraId="229BC939">
      <w:pPr>
        <w:autoSpaceDE w:val="0"/>
        <w:autoSpaceDN w:val="0"/>
        <w:adjustRightInd w:val="0"/>
        <w:snapToGrid w:val="0"/>
        <w:spacing w:line="360" w:lineRule="auto"/>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drawing>
          <wp:inline distT="0" distB="0" distL="114300" distR="114300">
            <wp:extent cx="5868035" cy="7455535"/>
            <wp:effectExtent l="0" t="0" r="14605" b="12065"/>
            <wp:docPr id="6" name="图片 6" descr="管控单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管控单元"/>
                    <pic:cNvPicPr>
                      <a:picLocks noChangeAspect="1"/>
                    </pic:cNvPicPr>
                  </pic:nvPicPr>
                  <pic:blipFill>
                    <a:blip r:embed="rId46"/>
                    <a:stretch>
                      <a:fillRect/>
                    </a:stretch>
                  </pic:blipFill>
                  <pic:spPr>
                    <a:xfrm>
                      <a:off x="0" y="0"/>
                      <a:ext cx="5868035" cy="7455535"/>
                    </a:xfrm>
                    <a:prstGeom prst="rect">
                      <a:avLst/>
                    </a:prstGeom>
                  </pic:spPr>
                </pic:pic>
              </a:graphicData>
            </a:graphic>
          </wp:inline>
        </w:drawing>
      </w:r>
    </w:p>
    <w:bookmarkEnd w:id="37"/>
    <w:p w14:paraId="65F270C0">
      <w:pPr>
        <w:ind w:firstLine="562"/>
        <w:jc w:val="center"/>
        <w:outlineLvl w:val="0"/>
        <w:rPr>
          <w:rFonts w:hint="default" w:ascii="Times New Roman" w:hAnsi="Times New Roman" w:cs="Times New Roman"/>
          <w:b/>
          <w:bCs/>
          <w:color w:val="auto"/>
          <w:sz w:val="28"/>
          <w:szCs w:val="36"/>
          <w:highlight w:val="none"/>
        </w:rPr>
        <w:sectPr>
          <w:pgSz w:w="11906" w:h="16838"/>
          <w:pgMar w:top="969" w:right="1440" w:bottom="969" w:left="1213" w:header="851" w:footer="992" w:gutter="0"/>
          <w:pgBorders>
            <w:top w:val="none" w:sz="0" w:space="0"/>
            <w:left w:val="none" w:sz="0" w:space="0"/>
            <w:bottom w:val="none" w:sz="0" w:space="0"/>
            <w:right w:val="none" w:sz="0" w:space="0"/>
          </w:pgBorders>
          <w:cols w:space="720" w:num="1"/>
          <w:docGrid w:type="lines" w:linePitch="312" w:charSpace="0"/>
        </w:sectPr>
      </w:pPr>
      <w:bookmarkStart w:id="39" w:name="_Toc10842"/>
      <w:bookmarkStart w:id="40" w:name="_Hlk198138478"/>
      <w:r>
        <w:rPr>
          <w:rFonts w:hint="default" w:ascii="Times New Roman" w:hAnsi="Times New Roman" w:cs="Times New Roman"/>
          <w:b/>
          <w:bCs/>
          <w:color w:val="auto"/>
          <w:sz w:val="28"/>
          <w:szCs w:val="36"/>
          <w:highlight w:val="none"/>
        </w:rPr>
        <w:t>附图</w:t>
      </w:r>
      <w:bookmarkEnd w:id="39"/>
      <w:r>
        <w:rPr>
          <w:rFonts w:hint="eastAsia" w:cs="Times New Roman"/>
          <w:b/>
          <w:bCs/>
          <w:color w:val="auto"/>
          <w:sz w:val="28"/>
          <w:szCs w:val="36"/>
          <w:highlight w:val="none"/>
          <w:lang w:val="en-US" w:eastAsia="zh-CN"/>
        </w:rPr>
        <w:t>3</w:t>
      </w:r>
      <w:r>
        <w:rPr>
          <w:rFonts w:hint="default" w:ascii="Times New Roman" w:hAnsi="Times New Roman" w:cs="Times New Roman"/>
          <w:b/>
          <w:bCs/>
          <w:color w:val="auto"/>
          <w:sz w:val="28"/>
          <w:szCs w:val="36"/>
          <w:highlight w:val="none"/>
        </w:rPr>
        <w:t>本项目与</w:t>
      </w:r>
      <w:r>
        <w:rPr>
          <w:rFonts w:hint="eastAsia" w:cs="Times New Roman"/>
          <w:b/>
          <w:bCs/>
          <w:color w:val="auto"/>
          <w:sz w:val="28"/>
          <w:szCs w:val="36"/>
          <w:highlight w:val="none"/>
          <w:lang w:val="en-US" w:eastAsia="zh-CN"/>
        </w:rPr>
        <w:t>生态环境分区管控单元</w:t>
      </w:r>
      <w:r>
        <w:rPr>
          <w:rFonts w:hint="default" w:ascii="Times New Roman" w:hAnsi="Times New Roman" w:cs="Times New Roman"/>
          <w:b/>
          <w:bCs/>
          <w:color w:val="auto"/>
          <w:sz w:val="28"/>
          <w:szCs w:val="36"/>
          <w:highlight w:val="none"/>
        </w:rPr>
        <w:t>位置示意</w:t>
      </w:r>
      <w:r>
        <w:rPr>
          <w:rFonts w:hint="eastAsia" w:cs="Times New Roman"/>
          <w:b/>
          <w:bCs/>
          <w:color w:val="auto"/>
          <w:sz w:val="28"/>
          <w:szCs w:val="36"/>
          <w:highlight w:val="none"/>
          <w:lang w:val="en-US" w:eastAsia="zh-CN"/>
        </w:rPr>
        <w:t>图</w:t>
      </w:r>
      <w:bookmarkEnd w:id="40"/>
    </w:p>
    <w:bookmarkEnd w:id="38"/>
    <w:p w14:paraId="16B92694">
      <w:pPr>
        <w:spacing w:line="360" w:lineRule="auto"/>
        <w:jc w:val="center"/>
        <w:rPr>
          <w:rFonts w:hint="default" w:ascii="Times New Roman" w:hAnsi="Times New Roman" w:cs="Times New Roman"/>
          <w:b/>
          <w:bCs/>
          <w:color w:val="auto"/>
          <w:szCs w:val="32"/>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3526790</wp:posOffset>
                </wp:positionH>
                <wp:positionV relativeFrom="paragraph">
                  <wp:posOffset>4539615</wp:posOffset>
                </wp:positionV>
                <wp:extent cx="624205" cy="294005"/>
                <wp:effectExtent l="0" t="0" r="0" b="0"/>
                <wp:wrapNone/>
                <wp:docPr id="36" name="矩形标注 36"/>
                <wp:cNvGraphicFramePr/>
                <a:graphic xmlns:a="http://schemas.openxmlformats.org/drawingml/2006/main">
                  <a:graphicData uri="http://schemas.microsoft.com/office/word/2010/wordprocessingShape">
                    <wps:wsp>
                      <wps:cNvSpPr/>
                      <wps:spPr>
                        <a:xfrm>
                          <a:off x="0" y="0"/>
                          <a:ext cx="624205" cy="294005"/>
                        </a:xfrm>
                        <a:prstGeom prst="wedgeRectCallout">
                          <a:avLst>
                            <a:gd name="adj1" fmla="val -84486"/>
                            <a:gd name="adj2" fmla="val -154537"/>
                          </a:avLst>
                        </a:prstGeom>
                        <a:solidFill>
                          <a:srgbClr val="FFFFFF"/>
                        </a:solidFill>
                        <a:ln w="9525" cap="flat" cmpd="sng">
                          <a:solidFill>
                            <a:srgbClr val="000000"/>
                          </a:solidFill>
                          <a:prstDash val="solid"/>
                          <a:miter/>
                          <a:headEnd type="none" w="med" len="med"/>
                          <a:tailEnd type="none" w="med" len="med"/>
                        </a:ln>
                      </wps:spPr>
                      <wps:txbx>
                        <w:txbxContent>
                          <w:p w14:paraId="60D5F1FF">
                            <w:pPr>
                              <w:rPr>
                                <w:sz w:val="22"/>
                                <w:szCs w:val="28"/>
                              </w:rPr>
                            </w:pPr>
                            <w:r>
                              <w:rPr>
                                <w:rFonts w:hint="eastAsia"/>
                                <w:sz w:val="22"/>
                                <w:szCs w:val="28"/>
                              </w:rPr>
                              <w:t>项目区</w:t>
                            </w:r>
                          </w:p>
                        </w:txbxContent>
                      </wps:txbx>
                      <wps:bodyPr upright="1"/>
                    </wps:wsp>
                  </a:graphicData>
                </a:graphic>
              </wp:anchor>
            </w:drawing>
          </mc:Choice>
          <mc:Fallback>
            <w:pict>
              <v:shape id="_x0000_s1026" o:spid="_x0000_s1026" o:spt="61" type="#_x0000_t61" style="position:absolute;left:0pt;margin-left:277.7pt;margin-top:357.45pt;height:23.15pt;width:49.15pt;z-index:251660288;mso-width-relative:page;mso-height-relative:page;" fillcolor="#FFFFFF" filled="t" stroked="t" coordsize="21600,21600" o:gfxdata="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wxaGPbAAAACwEAAA8AAAAAAAAAAQAgAAAAIgAAAGRy&#10;cy9kb3ducmV2LnhtbFBLAQIUABQAAAAIAIdO4kAcni3COwIAAJAEAAAOAAAAAAAAAAEAIAAAACoB&#10;AABkcnMvZTJvRG9jLnhtbFBLBQYAAAAABgAGAFkBAADXBQAAAAA=&#10;" adj="-7449,-22580">
                <v:fill on="t" focussize="0,0"/>
                <v:stroke color="#000000" joinstyle="miter"/>
                <v:imagedata o:title=""/>
                <o:lock v:ext="edit" aspectratio="f"/>
                <v:textbox>
                  <w:txbxContent>
                    <w:p w14:paraId="60D5F1FF">
                      <w:pPr>
                        <w:rPr>
                          <w:sz w:val="22"/>
                          <w:szCs w:val="28"/>
                        </w:rPr>
                      </w:pPr>
                      <w:r>
                        <w:rPr>
                          <w:rFonts w:hint="eastAsia"/>
                          <w:sz w:val="22"/>
                          <w:szCs w:val="28"/>
                        </w:rPr>
                        <w:t>项目区</w:t>
                      </w:r>
                    </w:p>
                  </w:txbxContent>
                </v:textbox>
              </v:shape>
            </w:pict>
          </mc:Fallback>
        </mc:AlternateContent>
      </w:r>
      <w:r>
        <w:rPr>
          <w:rFonts w:hint="default" w:ascii="Times New Roman" w:hAnsi="Times New Roman" w:cs="Times New Roman"/>
          <w:color w:val="auto"/>
          <w:highlight w:val="none"/>
        </w:rPr>
        <w:drawing>
          <wp:inline distT="0" distB="0" distL="114300" distR="114300">
            <wp:extent cx="7712710" cy="5067300"/>
            <wp:effectExtent l="19050" t="19050" r="2540" b="0"/>
            <wp:docPr id="72" name="图片 8" descr="新疆重点开发区域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8" descr="新疆重点开发区域分布图"/>
                    <pic:cNvPicPr>
                      <a:picLocks noChangeAspect="1"/>
                    </pic:cNvPicPr>
                  </pic:nvPicPr>
                  <pic:blipFill>
                    <a:blip r:embed="rId47" cstate="print"/>
                    <a:srcRect l="2827" t="8337" r="4733" b="5586"/>
                    <a:stretch>
                      <a:fillRect/>
                    </a:stretch>
                  </pic:blipFill>
                  <pic:spPr>
                    <a:xfrm>
                      <a:off x="0" y="0"/>
                      <a:ext cx="7725360" cy="5075254"/>
                    </a:xfrm>
                    <a:prstGeom prst="rect">
                      <a:avLst/>
                    </a:prstGeom>
                    <a:noFill/>
                    <a:ln w="12700" cap="flat" cmpd="sng">
                      <a:solidFill>
                        <a:srgbClr val="000000"/>
                      </a:solidFill>
                      <a:prstDash val="solid"/>
                      <a:miter/>
                      <a:headEnd type="none" w="med" len="med"/>
                      <a:tailEnd type="none" w="med" len="med"/>
                    </a:ln>
                  </pic:spPr>
                </pic:pic>
              </a:graphicData>
            </a:graphic>
          </wp:inline>
        </w:drawing>
      </w:r>
    </w:p>
    <w:p w14:paraId="5809ACD8">
      <w:pPr>
        <w:spacing w:line="360" w:lineRule="auto"/>
        <w:ind w:firstLine="562"/>
        <w:jc w:val="center"/>
        <w:outlineLvl w:val="0"/>
        <w:rPr>
          <w:rFonts w:hint="default" w:ascii="Times New Roman" w:hAnsi="Times New Roman" w:cs="Times New Roman"/>
          <w:b/>
          <w:bCs/>
          <w:color w:val="auto"/>
          <w:sz w:val="28"/>
          <w:szCs w:val="36"/>
          <w:highlight w:val="none"/>
        </w:rPr>
        <w:sectPr>
          <w:pgSz w:w="16838" w:h="11906" w:orient="landscape"/>
          <w:pgMar w:top="1213" w:right="969" w:bottom="1440" w:left="969"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cs="Times New Roman"/>
          <w:b/>
          <w:bCs/>
          <w:color w:val="auto"/>
          <w:sz w:val="28"/>
          <w:szCs w:val="36"/>
          <w:highlight w:val="none"/>
        </w:rPr>
        <w:t>附图</w:t>
      </w:r>
      <w:r>
        <w:rPr>
          <w:rFonts w:hint="eastAsia" w:cs="Times New Roman"/>
          <w:b/>
          <w:bCs/>
          <w:color w:val="auto"/>
          <w:sz w:val="28"/>
          <w:szCs w:val="36"/>
          <w:highlight w:val="none"/>
          <w:lang w:val="en-US" w:eastAsia="zh-CN"/>
        </w:rPr>
        <w:t>4</w:t>
      </w:r>
      <w:r>
        <w:rPr>
          <w:rFonts w:hint="default" w:ascii="Times New Roman" w:hAnsi="Times New Roman" w:cs="Times New Roman"/>
          <w:b/>
          <w:bCs/>
          <w:color w:val="auto"/>
          <w:sz w:val="28"/>
          <w:szCs w:val="36"/>
          <w:highlight w:val="none"/>
        </w:rPr>
        <w:t>新疆重点开发区分布图</w:t>
      </w:r>
    </w:p>
    <w:p w14:paraId="0638B356">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mc:AlternateContent>
          <mc:Choice Requires="wps">
            <w:drawing>
              <wp:anchor distT="0" distB="0" distL="114300" distR="114300" simplePos="0" relativeHeight="251659264" behindDoc="0" locked="0" layoutInCell="1" allowOverlap="1">
                <wp:simplePos x="0" y="0"/>
                <wp:positionH relativeFrom="column">
                  <wp:posOffset>3096895</wp:posOffset>
                </wp:positionH>
                <wp:positionV relativeFrom="paragraph">
                  <wp:posOffset>4243705</wp:posOffset>
                </wp:positionV>
                <wp:extent cx="666115" cy="298450"/>
                <wp:effectExtent l="0" t="0" r="0" b="0"/>
                <wp:wrapNone/>
                <wp:docPr id="35" name="矩形标注 38"/>
                <wp:cNvGraphicFramePr/>
                <a:graphic xmlns:a="http://schemas.openxmlformats.org/drawingml/2006/main">
                  <a:graphicData uri="http://schemas.microsoft.com/office/word/2010/wordprocessingShape">
                    <wps:wsp>
                      <wps:cNvSpPr/>
                      <wps:spPr>
                        <a:xfrm>
                          <a:off x="0" y="0"/>
                          <a:ext cx="666115" cy="298450"/>
                        </a:xfrm>
                        <a:prstGeom prst="wedgeRectCallout">
                          <a:avLst>
                            <a:gd name="adj1" fmla="val -79264"/>
                            <a:gd name="adj2" fmla="val -141491"/>
                          </a:avLst>
                        </a:prstGeom>
                        <a:solidFill>
                          <a:srgbClr val="FDEADA"/>
                        </a:solidFill>
                        <a:ln w="9525" cap="flat" cmpd="sng">
                          <a:solidFill>
                            <a:srgbClr val="000000"/>
                          </a:solidFill>
                          <a:prstDash val="solid"/>
                          <a:miter/>
                          <a:headEnd type="none" w="med" len="med"/>
                          <a:tailEnd type="none" w="med" len="med"/>
                        </a:ln>
                      </wps:spPr>
                      <wps:txbx>
                        <w:txbxContent>
                          <w:p w14:paraId="5DDE815E">
                            <w:r>
                              <w:rPr>
                                <w:rFonts w:hint="eastAsia"/>
                              </w:rPr>
                              <w:t>项目区</w:t>
                            </w:r>
                          </w:p>
                        </w:txbxContent>
                      </wps:txbx>
                      <wps:bodyPr upright="1"/>
                    </wps:wsp>
                  </a:graphicData>
                </a:graphic>
              </wp:anchor>
            </w:drawing>
          </mc:Choice>
          <mc:Fallback>
            <w:pict>
              <v:shape id="矩形标注 38" o:spid="_x0000_s1026" o:spt="61" type="#_x0000_t61" style="position:absolute;left:0pt;margin-left:243.85pt;margin-top:334.15pt;height:23.5pt;width:52.45pt;z-index:251659264;mso-width-relative:page;mso-height-relative:page;" fillcolor="#FDEADA" filled="t" stroked="t" coordsize="21600,21600" o:gfxdata="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xdvkdoAAAALAQAADwAAAAAAAAABACAAAAAiAAAA&#10;ZHJzL2Rvd25yZXYueG1sUEsBAhQAFAAAAAgAh07iQE9cvdA+AgAAkAQAAA4AAAAAAAAAAQAgAAAA&#10;KQEAAGRycy9lMm9Eb2MueG1sUEsFBgAAAAAGAAYAWQEAANkFAAAAAA==&#10;" adj="-6321,-19762">
                <v:fill on="t" focussize="0,0"/>
                <v:stroke color="#000000" joinstyle="miter"/>
                <v:imagedata o:title=""/>
                <o:lock v:ext="edit" aspectratio="f"/>
                <v:textbox>
                  <w:txbxContent>
                    <w:p w14:paraId="5DDE815E">
                      <w:r>
                        <w:rPr>
                          <w:rFonts w:hint="eastAsia"/>
                        </w:rPr>
                        <w:t>项目区</w:t>
                      </w:r>
                    </w:p>
                  </w:txbxContent>
                </v:textbox>
              </v:shape>
            </w:pict>
          </mc:Fallback>
        </mc:AlternateContent>
      </w:r>
      <w:r>
        <w:rPr>
          <w:rFonts w:hint="default" w:ascii="Times New Roman" w:hAnsi="Times New Roman" w:cs="Times New Roman"/>
          <w:color w:val="auto"/>
          <w:highlight w:val="none"/>
        </w:rPr>
        <w:drawing>
          <wp:inline distT="0" distB="0" distL="114300" distR="114300">
            <wp:extent cx="7660005" cy="4997450"/>
            <wp:effectExtent l="19050" t="19050" r="0" b="0"/>
            <wp:docPr id="7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9"/>
                    <pic:cNvPicPr>
                      <a:picLocks noChangeAspect="1"/>
                    </pic:cNvPicPr>
                  </pic:nvPicPr>
                  <pic:blipFill>
                    <a:blip r:embed="rId48" cstate="print"/>
                    <a:srcRect l="1511" t="1341" r="1215" b="1563"/>
                    <a:stretch>
                      <a:fillRect/>
                    </a:stretch>
                  </pic:blipFill>
                  <pic:spPr>
                    <a:xfrm>
                      <a:off x="0" y="0"/>
                      <a:ext cx="7672344" cy="5005468"/>
                    </a:xfrm>
                    <a:prstGeom prst="rect">
                      <a:avLst/>
                    </a:prstGeom>
                    <a:noFill/>
                    <a:ln w="12700" cap="flat" cmpd="sng">
                      <a:solidFill>
                        <a:srgbClr val="000000"/>
                      </a:solidFill>
                      <a:prstDash val="solid"/>
                      <a:miter/>
                      <a:headEnd type="none" w="med" len="med"/>
                      <a:tailEnd type="none" w="med" len="med"/>
                    </a:ln>
                  </pic:spPr>
                </pic:pic>
              </a:graphicData>
            </a:graphic>
          </wp:inline>
        </w:drawing>
      </w:r>
    </w:p>
    <w:p w14:paraId="4844AE0D">
      <w:pPr>
        <w:spacing w:line="360" w:lineRule="auto"/>
        <w:ind w:firstLine="562"/>
        <w:jc w:val="center"/>
        <w:outlineLvl w:val="0"/>
        <w:rPr>
          <w:rFonts w:hint="default" w:ascii="Times New Roman" w:hAnsi="Times New Roman" w:cs="Times New Roman"/>
          <w:b/>
          <w:bCs/>
          <w:color w:val="auto"/>
          <w:sz w:val="28"/>
          <w:szCs w:val="36"/>
          <w:highlight w:val="none"/>
        </w:rPr>
      </w:pPr>
      <w:r>
        <w:rPr>
          <w:rFonts w:hint="default" w:ascii="Times New Roman" w:hAnsi="Times New Roman" w:cs="Times New Roman"/>
          <w:b/>
          <w:bCs/>
          <w:color w:val="auto"/>
          <w:sz w:val="28"/>
          <w:szCs w:val="36"/>
          <w:highlight w:val="none"/>
        </w:rPr>
        <w:t>附图</w:t>
      </w:r>
      <w:r>
        <w:rPr>
          <w:rFonts w:hint="eastAsia" w:cs="Times New Roman"/>
          <w:b/>
          <w:bCs/>
          <w:color w:val="auto"/>
          <w:sz w:val="28"/>
          <w:szCs w:val="36"/>
          <w:highlight w:val="none"/>
          <w:lang w:val="en-US" w:eastAsia="zh-CN"/>
        </w:rPr>
        <w:t>5</w:t>
      </w:r>
      <w:r>
        <w:rPr>
          <w:rFonts w:hint="default" w:ascii="Times New Roman" w:hAnsi="Times New Roman" w:cs="Times New Roman"/>
          <w:b/>
          <w:bCs/>
          <w:color w:val="auto"/>
          <w:sz w:val="28"/>
          <w:szCs w:val="36"/>
          <w:highlight w:val="none"/>
        </w:rPr>
        <w:t>新疆禁止开发区分布图</w:t>
      </w:r>
    </w:p>
    <w:p w14:paraId="0DD61153">
      <w:pPr>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3058795</wp:posOffset>
                </wp:positionH>
                <wp:positionV relativeFrom="paragraph">
                  <wp:posOffset>4215765</wp:posOffset>
                </wp:positionV>
                <wp:extent cx="666115" cy="298450"/>
                <wp:effectExtent l="0" t="0" r="0" b="0"/>
                <wp:wrapNone/>
                <wp:docPr id="37" name="自选图形 128"/>
                <wp:cNvGraphicFramePr/>
                <a:graphic xmlns:a="http://schemas.openxmlformats.org/drawingml/2006/main">
                  <a:graphicData uri="http://schemas.microsoft.com/office/word/2010/wordprocessingShape">
                    <wps:wsp>
                      <wps:cNvSpPr/>
                      <wps:spPr>
                        <a:xfrm>
                          <a:off x="0" y="0"/>
                          <a:ext cx="666115" cy="298450"/>
                        </a:xfrm>
                        <a:prstGeom prst="wedgeRectCallout">
                          <a:avLst>
                            <a:gd name="adj1" fmla="val -76310"/>
                            <a:gd name="adj2" fmla="val -136597"/>
                          </a:avLst>
                        </a:prstGeom>
                        <a:solidFill>
                          <a:srgbClr val="FDEADA"/>
                        </a:solidFill>
                        <a:ln w="9525" cap="flat" cmpd="sng">
                          <a:solidFill>
                            <a:srgbClr val="000000"/>
                          </a:solidFill>
                          <a:prstDash val="solid"/>
                          <a:miter/>
                          <a:headEnd type="none" w="med" len="med"/>
                          <a:tailEnd type="none" w="med" len="med"/>
                        </a:ln>
                      </wps:spPr>
                      <wps:txbx>
                        <w:txbxContent>
                          <w:p w14:paraId="3110F2E4">
                            <w:r>
                              <w:rPr>
                                <w:rFonts w:hint="eastAsia"/>
                              </w:rPr>
                              <w:t>项目区</w:t>
                            </w:r>
                          </w:p>
                        </w:txbxContent>
                      </wps:txbx>
                      <wps:bodyPr upright="1"/>
                    </wps:wsp>
                  </a:graphicData>
                </a:graphic>
              </wp:anchor>
            </w:drawing>
          </mc:Choice>
          <mc:Fallback>
            <w:pict>
              <v:shape id="自选图形 128" o:spid="_x0000_s1026" o:spt="61" type="#_x0000_t61" style="position:absolute;left:0pt;margin-left:240.85pt;margin-top:331.95pt;height:23.5pt;width:52.45pt;z-index:251662336;mso-width-relative:page;mso-height-relative:page;" fillcolor="#FDEADA" filled="t" stroked="t" coordsize="21600,21600" o:gfxdata="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mQf1g2AAAAAsBAAAPAAAAAAAAAAEAIAAAACIA&#10;AABkcnMvZG93bnJldi54bWxQSwECFAAUAAAACACHTuJAs4zFdEICAACRBAAADgAAAAAAAAABACAA&#10;AAAnAQAAZHJzL2Uyb0RvYy54bWxQSwUGAAAAAAYABgBZAQAA2wUAAAAA&#10;" adj="-5683,-18705">
                <v:fill on="t" focussize="0,0"/>
                <v:stroke color="#000000" joinstyle="miter"/>
                <v:imagedata o:title=""/>
                <o:lock v:ext="edit" aspectratio="f"/>
                <v:textbox>
                  <w:txbxContent>
                    <w:p w14:paraId="3110F2E4">
                      <w:r>
                        <w:rPr>
                          <w:rFonts w:hint="eastAsia"/>
                        </w:rPr>
                        <w:t>项目区</w:t>
                      </w:r>
                    </w:p>
                  </w:txbxContent>
                </v:textbox>
              </v:shape>
            </w:pict>
          </mc:Fallback>
        </mc:AlternateContent>
      </w:r>
      <w:r>
        <w:rPr>
          <w:rFonts w:hint="default" w:ascii="Times New Roman" w:hAnsi="Times New Roman" w:cs="Times New Roman"/>
          <w:color w:val="auto"/>
          <w:highlight w:val="none"/>
        </w:rPr>
        <w:drawing>
          <wp:inline distT="0" distB="0" distL="114300" distR="114300">
            <wp:extent cx="7747000" cy="5029200"/>
            <wp:effectExtent l="19050" t="19050" r="6350" b="0"/>
            <wp:docPr id="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
                    <pic:cNvPicPr>
                      <a:picLocks noChangeAspect="1"/>
                    </pic:cNvPicPr>
                  </pic:nvPicPr>
                  <pic:blipFill>
                    <a:blip r:embed="rId49" cstate="print"/>
                    <a:srcRect l="1007" t="1566" r="1399" b="1555"/>
                    <a:stretch>
                      <a:fillRect/>
                    </a:stretch>
                  </pic:blipFill>
                  <pic:spPr>
                    <a:xfrm>
                      <a:off x="0" y="0"/>
                      <a:ext cx="7749341" cy="5030501"/>
                    </a:xfrm>
                    <a:prstGeom prst="rect">
                      <a:avLst/>
                    </a:prstGeom>
                    <a:noFill/>
                    <a:ln w="12700" cap="flat" cmpd="sng">
                      <a:solidFill>
                        <a:srgbClr val="000000"/>
                      </a:solidFill>
                      <a:prstDash val="solid"/>
                      <a:miter/>
                      <a:headEnd type="none" w="med" len="med"/>
                      <a:tailEnd type="none" w="med" len="med"/>
                    </a:ln>
                  </pic:spPr>
                </pic:pic>
              </a:graphicData>
            </a:graphic>
          </wp:inline>
        </w:drawing>
      </w:r>
    </w:p>
    <w:p w14:paraId="2373D10D">
      <w:pPr>
        <w:spacing w:line="360" w:lineRule="auto"/>
        <w:ind w:firstLine="562"/>
        <w:jc w:val="center"/>
        <w:outlineLvl w:val="0"/>
        <w:rPr>
          <w:rFonts w:hint="default" w:ascii="Times New Roman" w:hAnsi="Times New Roman" w:cs="Times New Roman"/>
          <w:b/>
          <w:bCs/>
          <w:color w:val="auto"/>
          <w:sz w:val="28"/>
          <w:szCs w:val="36"/>
          <w:highlight w:val="none"/>
        </w:rPr>
      </w:pPr>
      <w:r>
        <w:rPr>
          <w:rFonts w:hint="default" w:ascii="Times New Roman" w:hAnsi="Times New Roman" w:cs="Times New Roman"/>
          <w:b/>
          <w:bCs/>
          <w:color w:val="auto"/>
          <w:sz w:val="28"/>
          <w:szCs w:val="36"/>
          <w:highlight w:val="none"/>
        </w:rPr>
        <w:t>附图</w:t>
      </w:r>
      <w:bookmarkStart w:id="41" w:name="_Hlk165064552"/>
      <w:r>
        <w:rPr>
          <w:rFonts w:hint="eastAsia" w:cs="Times New Roman"/>
          <w:b/>
          <w:bCs/>
          <w:color w:val="auto"/>
          <w:sz w:val="28"/>
          <w:szCs w:val="36"/>
          <w:highlight w:val="none"/>
          <w:lang w:val="en-US" w:eastAsia="zh-CN"/>
        </w:rPr>
        <w:t>6</w:t>
      </w:r>
      <w:r>
        <w:rPr>
          <w:rFonts w:hint="default" w:ascii="Times New Roman" w:hAnsi="Times New Roman" w:cs="Times New Roman"/>
          <w:b/>
          <w:bCs/>
          <w:color w:val="auto"/>
          <w:sz w:val="28"/>
          <w:szCs w:val="36"/>
          <w:highlight w:val="none"/>
        </w:rPr>
        <w:t>新疆主体功能区划分总图</w:t>
      </w:r>
      <w:bookmarkEnd w:id="41"/>
    </w:p>
    <w:p w14:paraId="23381795">
      <w:pPr>
        <w:rPr>
          <w:rFonts w:hint="default" w:ascii="Times New Roman" w:hAnsi="Times New Roman" w:cs="Times New Roman"/>
          <w:b/>
          <w:bCs/>
          <w:color w:val="auto"/>
          <w:sz w:val="28"/>
          <w:szCs w:val="36"/>
          <w:highlight w:val="none"/>
        </w:rPr>
      </w:pPr>
      <w:r>
        <w:rPr>
          <w:rFonts w:hint="default" w:ascii="Times New Roman" w:hAnsi="Times New Roman" w:cs="Times New Roman"/>
          <w:b/>
          <w:bCs/>
          <w:color w:val="auto"/>
          <w:sz w:val="28"/>
          <w:szCs w:val="36"/>
          <w:highlight w:val="none"/>
        </w:rPr>
        <w:br w:type="page"/>
      </w:r>
    </w:p>
    <w:p w14:paraId="68F23CB9">
      <w:pPr>
        <w:spacing w:line="360" w:lineRule="auto"/>
        <w:jc w:val="center"/>
        <w:rPr>
          <w:rFonts w:hint="eastAsia" w:ascii="Times New Roman" w:hAnsi="Times New Roman" w:eastAsia="宋体" w:cs="Times New Roman"/>
          <w:b/>
          <w:bCs/>
          <w:color w:val="auto"/>
          <w:sz w:val="28"/>
          <w:szCs w:val="36"/>
          <w:highlight w:val="none"/>
          <w:lang w:eastAsia="zh-CN"/>
        </w:rPr>
      </w:pPr>
      <w:r>
        <w:drawing>
          <wp:inline distT="0" distB="0" distL="114300" distR="114300">
            <wp:extent cx="9371330" cy="5628005"/>
            <wp:effectExtent l="0" t="0" r="1270" b="10795"/>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50"/>
                    <a:stretch>
                      <a:fillRect/>
                    </a:stretch>
                  </pic:blipFill>
                  <pic:spPr>
                    <a:xfrm>
                      <a:off x="0" y="0"/>
                      <a:ext cx="9371330" cy="5628005"/>
                    </a:xfrm>
                    <a:prstGeom prst="rect">
                      <a:avLst/>
                    </a:prstGeom>
                    <a:noFill/>
                    <a:ln>
                      <a:noFill/>
                    </a:ln>
                  </pic:spPr>
                </pic:pic>
              </a:graphicData>
            </a:graphic>
          </wp:inline>
        </w:drawing>
      </w:r>
    </w:p>
    <w:p w14:paraId="10C1B049">
      <w:pPr>
        <w:spacing w:line="360" w:lineRule="auto"/>
        <w:jc w:val="center"/>
        <w:outlineLvl w:val="0"/>
      </w:pPr>
      <w:r>
        <w:rPr>
          <w:rFonts w:hint="default" w:ascii="Times New Roman" w:hAnsi="Times New Roman" w:cs="Times New Roman"/>
          <w:b/>
          <w:bCs/>
          <w:color w:val="auto"/>
          <w:sz w:val="28"/>
          <w:szCs w:val="36"/>
          <w:highlight w:val="none"/>
        </w:rPr>
        <w:t>附图</w:t>
      </w:r>
      <w:r>
        <w:rPr>
          <w:rFonts w:hint="eastAsia" w:cs="Times New Roman"/>
          <w:b/>
          <w:bCs/>
          <w:color w:val="auto"/>
          <w:sz w:val="28"/>
          <w:szCs w:val="36"/>
          <w:highlight w:val="none"/>
          <w:lang w:val="en-US" w:eastAsia="zh-CN"/>
        </w:rPr>
        <w:t>7</w:t>
      </w:r>
      <w:r>
        <w:rPr>
          <w:rFonts w:hint="default" w:ascii="Times New Roman" w:hAnsi="Times New Roman" w:cs="Times New Roman"/>
          <w:b/>
          <w:bCs/>
          <w:color w:val="auto"/>
          <w:sz w:val="28"/>
          <w:szCs w:val="36"/>
          <w:highlight w:val="none"/>
        </w:rPr>
        <w:t>项目区平面布置图</w:t>
      </w:r>
    </w:p>
    <w:p w14:paraId="6110A618">
      <w:r>
        <w:br w:type="page"/>
      </w:r>
    </w:p>
    <w:p w14:paraId="3312C35B">
      <w:pPr>
        <w:keepNext w:val="0"/>
        <w:keepLines w:val="0"/>
        <w:pageBreakBefore w:val="0"/>
        <w:kinsoku/>
        <w:wordWrap/>
        <w:overflowPunct/>
        <w:topLinePunct w:val="0"/>
        <w:autoSpaceDE w:val="0"/>
        <w:bidi w:val="0"/>
        <w:adjustRightInd w:val="0"/>
        <w:snapToGrid w:val="0"/>
        <w:spacing w:line="360" w:lineRule="auto"/>
        <w:jc w:val="center"/>
        <w:textAlignment w:val="baseline"/>
        <w:rPr>
          <w:rFonts w:hint="default" w:ascii="Times New Roman" w:hAnsi="Times New Roman" w:cs="Times New Roman"/>
          <w:b/>
          <w:bCs/>
          <w:color w:val="auto"/>
          <w:highlight w:val="none"/>
          <w:lang w:val="en-US" w:eastAsia="zh-CN"/>
        </w:rPr>
      </w:pPr>
      <w:r>
        <w:drawing>
          <wp:inline distT="0" distB="0" distL="114300" distR="114300">
            <wp:extent cx="9773285" cy="6948805"/>
            <wp:effectExtent l="0" t="0" r="10795" b="635"/>
            <wp:docPr id="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pic:cNvPicPr>
                      <a:picLocks noChangeAspect="1"/>
                    </pic:cNvPicPr>
                  </pic:nvPicPr>
                  <pic:blipFill>
                    <a:blip r:embed="rId17"/>
                    <a:stretch>
                      <a:fillRect/>
                    </a:stretch>
                  </pic:blipFill>
                  <pic:spPr>
                    <a:xfrm>
                      <a:off x="0" y="0"/>
                      <a:ext cx="9773285" cy="6948805"/>
                    </a:xfrm>
                    <a:prstGeom prst="rect">
                      <a:avLst/>
                    </a:prstGeom>
                    <a:noFill/>
                    <a:ln>
                      <a:noFill/>
                    </a:ln>
                  </pic:spPr>
                </pic:pic>
              </a:graphicData>
            </a:graphic>
          </wp:inline>
        </w:drawing>
      </w:r>
    </w:p>
    <w:p w14:paraId="516AE8BD">
      <w:pPr>
        <w:spacing w:line="360" w:lineRule="auto"/>
        <w:jc w:val="center"/>
        <w:outlineLvl w:val="0"/>
      </w:pPr>
      <w:r>
        <w:rPr>
          <w:rFonts w:hint="default" w:ascii="Times New Roman" w:hAnsi="Times New Roman" w:cs="Times New Roman"/>
          <w:b/>
          <w:bCs/>
          <w:color w:val="auto"/>
          <w:sz w:val="28"/>
          <w:szCs w:val="36"/>
          <w:highlight w:val="none"/>
        </w:rPr>
        <w:t>附图</w:t>
      </w:r>
      <w:r>
        <w:rPr>
          <w:rFonts w:hint="eastAsia" w:cs="Times New Roman"/>
          <w:b/>
          <w:bCs/>
          <w:color w:val="auto"/>
          <w:sz w:val="28"/>
          <w:szCs w:val="36"/>
          <w:highlight w:val="none"/>
          <w:lang w:val="en-US" w:eastAsia="zh-CN"/>
        </w:rPr>
        <w:t>8</w:t>
      </w:r>
      <w:r>
        <w:rPr>
          <w:rFonts w:hint="default" w:ascii="Times New Roman" w:hAnsi="Times New Roman" w:cs="Times New Roman"/>
          <w:b/>
          <w:bCs/>
          <w:color w:val="auto"/>
          <w:sz w:val="28"/>
          <w:szCs w:val="36"/>
          <w:highlight w:val="none"/>
        </w:rPr>
        <w:t>拟建项目水平衡图（单位：m³/d）</w:t>
      </w:r>
    </w:p>
    <w:p w14:paraId="4E61982C">
      <w:r>
        <w:br w:type="page"/>
      </w:r>
    </w:p>
    <w:p w14:paraId="7D1DB7FC">
      <w:pPr>
        <w:rPr>
          <w:rFonts w:hint="eastAsia" w:ascii="Times New Roman" w:hAnsi="Times New Roman" w:cs="Times New Roman"/>
          <w:color w:val="auto"/>
          <w:highlight w:val="none"/>
        </w:rPr>
      </w:pPr>
    </w:p>
    <w:p w14:paraId="16A99E3E">
      <w:pPr>
        <w:adjustRightInd w:val="0"/>
        <w:snapToGrid w:val="0"/>
        <w:spacing w:before="120" w:beforeLines="50" w:line="360" w:lineRule="auto"/>
        <w:rPr>
          <w:b/>
          <w:bCs/>
          <w:color w:val="auto"/>
          <w:sz w:val="24"/>
          <w:highlight w:val="none"/>
        </w:rPr>
      </w:pPr>
      <w:r>
        <w:rPr>
          <w:sz w:val="28"/>
          <w:szCs w:val="28"/>
        </w:rPr>
        <mc:AlternateContent>
          <mc:Choice Requires="wpg">
            <w:drawing>
              <wp:anchor distT="0" distB="0" distL="114300" distR="114300" simplePos="0" relativeHeight="251663360" behindDoc="0" locked="0" layoutInCell="1" allowOverlap="1">
                <wp:simplePos x="0" y="0"/>
                <wp:positionH relativeFrom="column">
                  <wp:posOffset>1470660</wp:posOffset>
                </wp:positionH>
                <wp:positionV relativeFrom="paragraph">
                  <wp:posOffset>9525</wp:posOffset>
                </wp:positionV>
                <wp:extent cx="6598920" cy="5036820"/>
                <wp:effectExtent l="4445" t="4445" r="10795" b="18415"/>
                <wp:wrapNone/>
                <wp:docPr id="9" name="组合 9"/>
                <wp:cNvGraphicFramePr/>
                <a:graphic xmlns:a="http://schemas.openxmlformats.org/drawingml/2006/main">
                  <a:graphicData uri="http://schemas.microsoft.com/office/word/2010/wordprocessingGroup">
                    <wpg:wgp>
                      <wpg:cNvGrpSpPr/>
                      <wpg:grpSpPr>
                        <a:xfrm>
                          <a:off x="0" y="0"/>
                          <a:ext cx="6598920" cy="5036820"/>
                          <a:chOff x="4852" y="1461695"/>
                          <a:chExt cx="10392" cy="7932"/>
                        </a:xfrm>
                      </wpg:grpSpPr>
                      <wpg:grpSp>
                        <wpg:cNvPr id="51" name="组合 51"/>
                        <wpg:cNvGrpSpPr/>
                        <wpg:grpSpPr>
                          <a:xfrm>
                            <a:off x="6084" y="1461995"/>
                            <a:ext cx="8138" cy="7452"/>
                            <a:chOff x="4333" y="347346"/>
                            <a:chExt cx="7632" cy="7093"/>
                          </a:xfrm>
                        </wpg:grpSpPr>
                        <wps:wsp>
                          <wps:cNvPr id="52" name="直接连接符 57"/>
                          <wps:cNvCnPr/>
                          <wps:spPr>
                            <a:xfrm>
                              <a:off x="5020" y="347361"/>
                              <a:ext cx="1" cy="4725"/>
                            </a:xfrm>
                            <a:prstGeom prst="line">
                              <a:avLst/>
                            </a:prstGeom>
                            <a:ln w="9525" cap="rnd" cmpd="sng">
                              <a:solidFill>
                                <a:srgbClr val="000000"/>
                              </a:solidFill>
                              <a:prstDash val="sysDot"/>
                              <a:headEnd type="none" w="med" len="med"/>
                              <a:tailEnd type="none" w="med" len="med"/>
                            </a:ln>
                          </wps:spPr>
                          <wps:bodyPr/>
                        </wps:wsp>
                        <wps:wsp>
                          <wps:cNvPr id="53" name="直接连接符 58"/>
                          <wps:cNvCnPr/>
                          <wps:spPr>
                            <a:xfrm>
                              <a:off x="4720" y="347346"/>
                              <a:ext cx="585" cy="1"/>
                            </a:xfrm>
                            <a:prstGeom prst="line">
                              <a:avLst/>
                            </a:prstGeom>
                            <a:ln w="9525" cap="flat" cmpd="sng">
                              <a:solidFill>
                                <a:srgbClr val="000000"/>
                              </a:solidFill>
                              <a:prstDash val="solid"/>
                              <a:headEnd type="none" w="med" len="med"/>
                              <a:tailEnd type="none" w="med" len="med"/>
                            </a:ln>
                          </wps:spPr>
                          <wps:bodyPr/>
                        </wps:wsp>
                        <wps:wsp>
                          <wps:cNvPr id="54" name="直接连接符 59"/>
                          <wps:cNvCnPr/>
                          <wps:spPr>
                            <a:xfrm flipH="1">
                              <a:off x="9865" y="347800"/>
                              <a:ext cx="1" cy="2075"/>
                            </a:xfrm>
                            <a:prstGeom prst="line">
                              <a:avLst/>
                            </a:prstGeom>
                            <a:ln w="9525" cap="rnd" cmpd="sng">
                              <a:solidFill>
                                <a:srgbClr val="000000"/>
                              </a:solidFill>
                              <a:prstDash val="sysDot"/>
                              <a:headEnd type="none" w="med" len="med"/>
                              <a:tailEnd type="none" w="med" len="med"/>
                            </a:ln>
                          </wps:spPr>
                          <wps:bodyPr/>
                        </wps:wsp>
                        <wps:wsp>
                          <wps:cNvPr id="55" name="直接连接符 60"/>
                          <wps:cNvCnPr/>
                          <wps:spPr>
                            <a:xfrm flipH="1">
                              <a:off x="6700" y="347775"/>
                              <a:ext cx="1" cy="4305"/>
                            </a:xfrm>
                            <a:prstGeom prst="line">
                              <a:avLst/>
                            </a:prstGeom>
                            <a:ln w="9525" cap="rnd" cmpd="sng">
                              <a:solidFill>
                                <a:srgbClr val="000000"/>
                              </a:solidFill>
                              <a:prstDash val="sysDot"/>
                              <a:headEnd type="none" w="med" len="med"/>
                              <a:tailEnd type="none" w="med" len="med"/>
                            </a:ln>
                          </wps:spPr>
                          <wps:bodyPr/>
                        </wps:wsp>
                        <wps:wsp>
                          <wps:cNvPr id="56" name="直接连接符 61"/>
                          <wps:cNvCnPr/>
                          <wps:spPr>
                            <a:xfrm flipH="1">
                              <a:off x="6671" y="347770"/>
                              <a:ext cx="660" cy="4"/>
                            </a:xfrm>
                            <a:prstGeom prst="line">
                              <a:avLst/>
                            </a:prstGeom>
                            <a:ln w="9525" cap="flat" cmpd="sng">
                              <a:solidFill>
                                <a:srgbClr val="000000"/>
                              </a:solidFill>
                              <a:prstDash val="sysDot"/>
                              <a:headEnd type="none" w="med" len="med"/>
                              <a:tailEnd type="triangle" w="med" len="med"/>
                            </a:ln>
                          </wps:spPr>
                          <wps:bodyPr/>
                        </wps:wsp>
                        <wps:wsp>
                          <wps:cNvPr id="57" name="直接连接符 62"/>
                          <wps:cNvCnPr/>
                          <wps:spPr>
                            <a:xfrm flipV="1">
                              <a:off x="9130" y="347775"/>
                              <a:ext cx="736" cy="14"/>
                            </a:xfrm>
                            <a:prstGeom prst="line">
                              <a:avLst/>
                            </a:prstGeom>
                            <a:ln w="9525" cap="flat" cmpd="sng">
                              <a:solidFill>
                                <a:srgbClr val="000000"/>
                              </a:solidFill>
                              <a:prstDash val="sysDot"/>
                              <a:headEnd type="none" w="med" len="med"/>
                              <a:tailEnd type="triangle" w="med" len="med"/>
                            </a:ln>
                          </wps:spPr>
                          <wps:bodyPr/>
                        </wps:wsp>
                        <wps:wsp>
                          <wps:cNvPr id="93" name="矩形 63"/>
                          <wps:cNvSpPr/>
                          <wps:spPr>
                            <a:xfrm>
                              <a:off x="7390" y="347470"/>
                              <a:ext cx="1680" cy="5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DCECB92">
                                <w:pPr>
                                  <w:rPr>
                                    <w:sz w:val="28"/>
                                    <w:szCs w:val="28"/>
                                  </w:rPr>
                                </w:pPr>
                                <w:r>
                                  <w:rPr>
                                    <w:rFonts w:hint="eastAsia"/>
                                    <w:sz w:val="28"/>
                                    <w:szCs w:val="28"/>
                                  </w:rPr>
                                  <w:t xml:space="preserve"> 基础工程</w:t>
                                </w:r>
                              </w:p>
                            </w:txbxContent>
                          </wps:txbx>
                          <wps:bodyPr upright="1"/>
                        </wps:wsp>
                        <wps:wsp>
                          <wps:cNvPr id="94" name="直接连接符 64"/>
                          <wps:cNvCnPr/>
                          <wps:spPr>
                            <a:xfrm>
                              <a:off x="8215" y="348040"/>
                              <a:ext cx="1" cy="467"/>
                            </a:xfrm>
                            <a:prstGeom prst="line">
                              <a:avLst/>
                            </a:prstGeom>
                            <a:ln w="9525" cap="flat" cmpd="sng">
                              <a:solidFill>
                                <a:srgbClr val="000000"/>
                              </a:solidFill>
                              <a:prstDash val="solid"/>
                              <a:headEnd type="none" w="med" len="med"/>
                              <a:tailEnd type="triangle" w="med" len="med"/>
                            </a:ln>
                          </wps:spPr>
                          <wps:bodyPr/>
                        </wps:wsp>
                        <wps:wsp>
                          <wps:cNvPr id="95" name="矩形 65"/>
                          <wps:cNvSpPr/>
                          <wps:spPr>
                            <a:xfrm>
                              <a:off x="10450" y="348619"/>
                              <a:ext cx="1485" cy="480"/>
                            </a:xfrm>
                            <a:prstGeom prst="rect">
                              <a:avLst/>
                            </a:prstGeom>
                            <a:solidFill>
                              <a:srgbClr val="FFFFFF"/>
                            </a:solidFill>
                            <a:ln>
                              <a:noFill/>
                            </a:ln>
                          </wps:spPr>
                          <wps:txbx>
                            <w:txbxContent>
                              <w:p w14:paraId="6BB86C2E">
                                <w:pPr>
                                  <w:rPr>
                                    <w:sz w:val="28"/>
                                    <w:szCs w:val="28"/>
                                  </w:rPr>
                                </w:pPr>
                                <w:r>
                                  <w:rPr>
                                    <w:rFonts w:hint="eastAsia"/>
                                    <w:sz w:val="28"/>
                                    <w:szCs w:val="28"/>
                                  </w:rPr>
                                  <w:t>G</w:t>
                                </w:r>
                                <w:r>
                                  <w:rPr>
                                    <w:rFonts w:hint="eastAsia"/>
                                    <w:sz w:val="28"/>
                                    <w:szCs w:val="28"/>
                                    <w:vertAlign w:val="subscript"/>
                                  </w:rPr>
                                  <w:t xml:space="preserve">  </w:t>
                                </w:r>
                                <w:r>
                                  <w:rPr>
                                    <w:sz w:val="28"/>
                                    <w:szCs w:val="28"/>
                                  </w:rPr>
                                  <w:t>W</w:t>
                                </w:r>
                                <w:r>
                                  <w:rPr>
                                    <w:rFonts w:hint="eastAsia"/>
                                    <w:sz w:val="28"/>
                                    <w:szCs w:val="28"/>
                                    <w:vertAlign w:val="subscript"/>
                                  </w:rPr>
                                  <w:t xml:space="preserve">  </w:t>
                                </w:r>
                                <w:r>
                                  <w:rPr>
                                    <w:sz w:val="28"/>
                                    <w:szCs w:val="28"/>
                                  </w:rPr>
                                  <w:t>N</w:t>
                                </w:r>
                              </w:p>
                            </w:txbxContent>
                          </wps:txbx>
                          <wps:bodyPr upright="1"/>
                        </wps:wsp>
                        <wps:wsp>
                          <wps:cNvPr id="96" name="直接连接符 66"/>
                          <wps:cNvCnPr/>
                          <wps:spPr>
                            <a:xfrm flipV="1">
                              <a:off x="9115" y="348839"/>
                              <a:ext cx="1246" cy="1"/>
                            </a:xfrm>
                            <a:prstGeom prst="line">
                              <a:avLst/>
                            </a:prstGeom>
                            <a:ln w="9525" cap="flat" cmpd="sng">
                              <a:solidFill>
                                <a:srgbClr val="000000"/>
                              </a:solidFill>
                              <a:prstDash val="sysDot"/>
                              <a:headEnd type="none" w="med" len="med"/>
                              <a:tailEnd type="triangle" w="med" len="med"/>
                            </a:ln>
                          </wps:spPr>
                          <wps:bodyPr/>
                        </wps:wsp>
                        <wps:wsp>
                          <wps:cNvPr id="97" name="直接连接符 67"/>
                          <wps:cNvCnPr/>
                          <wps:spPr>
                            <a:xfrm flipH="1" flipV="1">
                              <a:off x="6728" y="348842"/>
                              <a:ext cx="617" cy="12"/>
                            </a:xfrm>
                            <a:prstGeom prst="line">
                              <a:avLst/>
                            </a:prstGeom>
                            <a:ln w="9525" cap="flat" cmpd="sng">
                              <a:solidFill>
                                <a:srgbClr val="000000"/>
                              </a:solidFill>
                              <a:prstDash val="sysDot"/>
                              <a:headEnd type="none" w="med" len="med"/>
                              <a:tailEnd type="triangle" w="med" len="med"/>
                            </a:ln>
                          </wps:spPr>
                          <wps:bodyPr/>
                        </wps:wsp>
                        <wps:wsp>
                          <wps:cNvPr id="98" name="矩形 68"/>
                          <wps:cNvSpPr/>
                          <wps:spPr>
                            <a:xfrm>
                              <a:off x="7390" y="348538"/>
                              <a:ext cx="1680" cy="5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83FAEF">
                                <w:pPr>
                                  <w:rPr>
                                    <w:sz w:val="28"/>
                                    <w:szCs w:val="28"/>
                                  </w:rPr>
                                </w:pPr>
                                <w:r>
                                  <w:rPr>
                                    <w:rFonts w:hint="eastAsia"/>
                                    <w:sz w:val="28"/>
                                    <w:szCs w:val="28"/>
                                  </w:rPr>
                                  <w:t xml:space="preserve"> 主体工程</w:t>
                                </w:r>
                              </w:p>
                            </w:txbxContent>
                          </wps:txbx>
                          <wps:bodyPr upright="1"/>
                        </wps:wsp>
                        <wps:wsp>
                          <wps:cNvPr id="99" name="直接连接符 69"/>
                          <wps:cNvCnPr/>
                          <wps:spPr>
                            <a:xfrm>
                              <a:off x="8215" y="349108"/>
                              <a:ext cx="1" cy="467"/>
                            </a:xfrm>
                            <a:prstGeom prst="line">
                              <a:avLst/>
                            </a:prstGeom>
                            <a:ln w="9525" cap="flat" cmpd="sng">
                              <a:solidFill>
                                <a:srgbClr val="000000"/>
                              </a:solidFill>
                              <a:prstDash val="solid"/>
                              <a:headEnd type="none" w="med" len="med"/>
                              <a:tailEnd type="triangle" w="med" len="med"/>
                            </a:ln>
                          </wps:spPr>
                          <wps:bodyPr/>
                        </wps:wsp>
                        <wps:wsp>
                          <wps:cNvPr id="100" name="矩形 70"/>
                          <wps:cNvSpPr/>
                          <wps:spPr>
                            <a:xfrm>
                              <a:off x="5260" y="349670"/>
                              <a:ext cx="1110" cy="497"/>
                            </a:xfrm>
                            <a:prstGeom prst="rect">
                              <a:avLst/>
                            </a:prstGeom>
                            <a:solidFill>
                              <a:srgbClr val="FFFFFF"/>
                            </a:solidFill>
                            <a:ln>
                              <a:noFill/>
                            </a:ln>
                          </wps:spPr>
                          <wps:txbx>
                            <w:txbxContent>
                              <w:p w14:paraId="56EE6C3E">
                                <w:pPr>
                                  <w:jc w:val="center"/>
                                  <w:rPr>
                                    <w:sz w:val="28"/>
                                    <w:szCs w:val="28"/>
                                  </w:rPr>
                                </w:pPr>
                                <w:r>
                                  <w:rPr>
                                    <w:rFonts w:hint="eastAsia"/>
                                    <w:sz w:val="28"/>
                                    <w:szCs w:val="28"/>
                                  </w:rPr>
                                  <w:t>S</w:t>
                                </w:r>
                              </w:p>
                            </w:txbxContent>
                          </wps:txbx>
                          <wps:bodyPr upright="1"/>
                        </wps:wsp>
                        <wps:wsp>
                          <wps:cNvPr id="101" name="直接连接符 71"/>
                          <wps:cNvCnPr/>
                          <wps:spPr>
                            <a:xfrm flipH="1">
                              <a:off x="6430" y="349907"/>
                              <a:ext cx="899" cy="3"/>
                            </a:xfrm>
                            <a:prstGeom prst="line">
                              <a:avLst/>
                            </a:prstGeom>
                            <a:ln w="9525" cap="flat" cmpd="sng">
                              <a:solidFill>
                                <a:srgbClr val="000000"/>
                              </a:solidFill>
                              <a:prstDash val="sysDot"/>
                              <a:headEnd type="none" w="med" len="med"/>
                              <a:tailEnd type="triangle" w="med" len="med"/>
                            </a:ln>
                          </wps:spPr>
                          <wps:bodyPr/>
                        </wps:wsp>
                        <wps:wsp>
                          <wps:cNvPr id="102" name="直接连接符 72"/>
                          <wps:cNvCnPr/>
                          <wps:spPr>
                            <a:xfrm flipV="1">
                              <a:off x="9130" y="349911"/>
                              <a:ext cx="768" cy="8"/>
                            </a:xfrm>
                            <a:prstGeom prst="line">
                              <a:avLst/>
                            </a:prstGeom>
                            <a:ln w="9525" cap="flat" cmpd="sng">
                              <a:solidFill>
                                <a:srgbClr val="000000"/>
                              </a:solidFill>
                              <a:prstDash val="sysDot"/>
                              <a:headEnd type="none" w="med" len="med"/>
                              <a:tailEnd type="triangle" w="med" len="med"/>
                            </a:ln>
                          </wps:spPr>
                          <wps:bodyPr/>
                        </wps:wsp>
                        <wps:wsp>
                          <wps:cNvPr id="103" name="矩形 73"/>
                          <wps:cNvSpPr/>
                          <wps:spPr>
                            <a:xfrm>
                              <a:off x="4333" y="349710"/>
                              <a:ext cx="555" cy="1154"/>
                            </a:xfrm>
                            <a:prstGeom prst="rect">
                              <a:avLst/>
                            </a:prstGeom>
                            <a:noFill/>
                            <a:ln>
                              <a:noFill/>
                            </a:ln>
                          </wps:spPr>
                          <wps:txbx>
                            <w:txbxContent>
                              <w:p w14:paraId="3DF00209">
                                <w:pPr>
                                  <w:snapToGrid w:val="0"/>
                                  <w:rPr>
                                    <w:sz w:val="28"/>
                                    <w:szCs w:val="28"/>
                                  </w:rPr>
                                </w:pPr>
                                <w:r>
                                  <w:rPr>
                                    <w:rFonts w:hint="eastAsia"/>
                                    <w:sz w:val="28"/>
                                    <w:szCs w:val="28"/>
                                  </w:rPr>
                                  <w:t>施工期</w:t>
                                </w:r>
                              </w:p>
                            </w:txbxContent>
                          </wps:txbx>
                          <wps:bodyPr upright="1"/>
                        </wps:wsp>
                        <wps:wsp>
                          <wps:cNvPr id="104" name="矩形 74"/>
                          <wps:cNvSpPr/>
                          <wps:spPr>
                            <a:xfrm>
                              <a:off x="7390" y="349606"/>
                              <a:ext cx="1680" cy="5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C85945">
                                <w:pPr>
                                  <w:rPr>
                                    <w:sz w:val="28"/>
                                    <w:szCs w:val="28"/>
                                  </w:rPr>
                                </w:pPr>
                                <w:r>
                                  <w:rPr>
                                    <w:rFonts w:hint="eastAsia"/>
                                    <w:sz w:val="28"/>
                                    <w:szCs w:val="28"/>
                                  </w:rPr>
                                  <w:t xml:space="preserve"> 装饰工程</w:t>
                                </w:r>
                              </w:p>
                            </w:txbxContent>
                          </wps:txbx>
                          <wps:bodyPr upright="1"/>
                        </wps:wsp>
                        <wps:wsp>
                          <wps:cNvPr id="105" name="直接连接符 75"/>
                          <wps:cNvCnPr/>
                          <wps:spPr>
                            <a:xfrm>
                              <a:off x="8215" y="350176"/>
                              <a:ext cx="1" cy="467"/>
                            </a:xfrm>
                            <a:prstGeom prst="line">
                              <a:avLst/>
                            </a:prstGeom>
                            <a:ln w="9525" cap="flat" cmpd="sng">
                              <a:solidFill>
                                <a:srgbClr val="000000"/>
                              </a:solidFill>
                              <a:prstDash val="solid"/>
                              <a:headEnd type="none" w="med" len="med"/>
                              <a:tailEnd type="triangle" w="med" len="med"/>
                            </a:ln>
                          </wps:spPr>
                          <wps:bodyPr/>
                        </wps:wsp>
                        <wps:wsp>
                          <wps:cNvPr id="106" name="矩形 76"/>
                          <wps:cNvSpPr/>
                          <wps:spPr>
                            <a:xfrm>
                              <a:off x="9910" y="350723"/>
                              <a:ext cx="1110" cy="497"/>
                            </a:xfrm>
                            <a:prstGeom prst="rect">
                              <a:avLst/>
                            </a:prstGeom>
                            <a:solidFill>
                              <a:srgbClr val="FFFFFF"/>
                            </a:solidFill>
                            <a:ln>
                              <a:noFill/>
                            </a:ln>
                          </wps:spPr>
                          <wps:txbx>
                            <w:txbxContent>
                              <w:p w14:paraId="6EB4D54C">
                                <w:pPr>
                                  <w:rPr>
                                    <w:sz w:val="28"/>
                                    <w:szCs w:val="28"/>
                                  </w:rPr>
                                </w:pPr>
                                <w:r>
                                  <w:rPr>
                                    <w:rFonts w:hint="eastAsia"/>
                                    <w:sz w:val="28"/>
                                    <w:szCs w:val="28"/>
                                    <w:vertAlign w:val="subscript"/>
                                  </w:rPr>
                                  <w:t xml:space="preserve"> </w:t>
                                </w:r>
                                <w:r>
                                  <w:rPr>
                                    <w:sz w:val="28"/>
                                    <w:szCs w:val="28"/>
                                  </w:rPr>
                                  <w:t>N</w:t>
                                </w:r>
                                <w:r>
                                  <w:rPr>
                                    <w:rFonts w:hint="eastAsia"/>
                                    <w:sz w:val="28"/>
                                    <w:szCs w:val="28"/>
                                    <w:vertAlign w:val="subscript"/>
                                  </w:rPr>
                                  <w:t xml:space="preserve"> </w:t>
                                </w:r>
                              </w:p>
                            </w:txbxContent>
                          </wps:txbx>
                          <wps:bodyPr upright="1"/>
                        </wps:wsp>
                        <wps:wsp>
                          <wps:cNvPr id="107" name="直接连接符 77"/>
                          <wps:cNvCnPr/>
                          <wps:spPr>
                            <a:xfrm flipH="1">
                              <a:off x="6671" y="350974"/>
                              <a:ext cx="660" cy="4"/>
                            </a:xfrm>
                            <a:prstGeom prst="line">
                              <a:avLst/>
                            </a:prstGeom>
                            <a:ln w="9525" cap="flat" cmpd="sng">
                              <a:solidFill>
                                <a:srgbClr val="000000"/>
                              </a:solidFill>
                              <a:prstDash val="sysDot"/>
                              <a:headEnd type="none" w="med" len="med"/>
                              <a:tailEnd type="triangle" w="med" len="med"/>
                            </a:ln>
                          </wps:spPr>
                          <wps:bodyPr/>
                        </wps:wsp>
                        <wps:wsp>
                          <wps:cNvPr id="108" name="直接连接符 78"/>
                          <wps:cNvCnPr/>
                          <wps:spPr>
                            <a:xfrm>
                              <a:off x="9130" y="350974"/>
                              <a:ext cx="722" cy="5"/>
                            </a:xfrm>
                            <a:prstGeom prst="line">
                              <a:avLst/>
                            </a:prstGeom>
                            <a:ln w="9525" cap="flat" cmpd="sng">
                              <a:solidFill>
                                <a:srgbClr val="000000"/>
                              </a:solidFill>
                              <a:prstDash val="sysDot"/>
                              <a:headEnd type="none" w="med" len="med"/>
                              <a:tailEnd type="triangle" w="med" len="med"/>
                            </a:ln>
                          </wps:spPr>
                          <wps:bodyPr/>
                        </wps:wsp>
                        <wps:wsp>
                          <wps:cNvPr id="110" name="矩形 79"/>
                          <wps:cNvSpPr/>
                          <wps:spPr>
                            <a:xfrm>
                              <a:off x="7390" y="350674"/>
                              <a:ext cx="1680" cy="5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E398AB">
                                <w:pPr>
                                  <w:rPr>
                                    <w:sz w:val="28"/>
                                    <w:szCs w:val="28"/>
                                  </w:rPr>
                                </w:pPr>
                                <w:r>
                                  <w:rPr>
                                    <w:rFonts w:hint="eastAsia"/>
                                    <w:sz w:val="28"/>
                                    <w:szCs w:val="28"/>
                                  </w:rPr>
                                  <w:t xml:space="preserve"> 设备安装</w:t>
                                </w:r>
                              </w:p>
                            </w:txbxContent>
                          </wps:txbx>
                          <wps:bodyPr upright="1"/>
                        </wps:wsp>
                        <wps:wsp>
                          <wps:cNvPr id="112" name="直接连接符 80"/>
                          <wps:cNvCnPr/>
                          <wps:spPr>
                            <a:xfrm>
                              <a:off x="8215" y="351244"/>
                              <a:ext cx="1" cy="467"/>
                            </a:xfrm>
                            <a:prstGeom prst="line">
                              <a:avLst/>
                            </a:prstGeom>
                            <a:ln w="9525" cap="flat" cmpd="sng">
                              <a:solidFill>
                                <a:srgbClr val="000000"/>
                              </a:solidFill>
                              <a:prstDash val="solid"/>
                              <a:headEnd type="none" w="med" len="med"/>
                              <a:tailEnd type="triangle" w="med" len="med"/>
                            </a:ln>
                          </wps:spPr>
                          <wps:bodyPr/>
                        </wps:wsp>
                        <wps:wsp>
                          <wps:cNvPr id="113" name="直接连接符 81"/>
                          <wps:cNvCnPr/>
                          <wps:spPr>
                            <a:xfrm flipH="1">
                              <a:off x="6671" y="352042"/>
                              <a:ext cx="660" cy="4"/>
                            </a:xfrm>
                            <a:prstGeom prst="line">
                              <a:avLst/>
                            </a:prstGeom>
                            <a:ln w="9525" cap="flat" cmpd="sng">
                              <a:solidFill>
                                <a:srgbClr val="000000"/>
                              </a:solidFill>
                              <a:prstDash val="sysDot"/>
                              <a:headEnd type="none" w="med" len="med"/>
                              <a:tailEnd type="triangle" w="med" len="med"/>
                            </a:ln>
                          </wps:spPr>
                          <wps:bodyPr/>
                        </wps:wsp>
                        <wps:wsp>
                          <wps:cNvPr id="114" name="直接连接符 82"/>
                          <wps:cNvCnPr/>
                          <wps:spPr>
                            <a:xfrm>
                              <a:off x="5020" y="352184"/>
                              <a:ext cx="1" cy="1140"/>
                            </a:xfrm>
                            <a:prstGeom prst="line">
                              <a:avLst/>
                            </a:prstGeom>
                            <a:ln w="9525" cap="rnd" cmpd="sng">
                              <a:solidFill>
                                <a:srgbClr val="000000"/>
                              </a:solidFill>
                              <a:prstDash val="sysDot"/>
                              <a:headEnd type="none" w="med" len="med"/>
                              <a:tailEnd type="none" w="med" len="med"/>
                            </a:ln>
                          </wps:spPr>
                          <wps:bodyPr/>
                        </wps:wsp>
                        <wps:wsp>
                          <wps:cNvPr id="115" name="矩形 83"/>
                          <wps:cNvSpPr/>
                          <wps:spPr>
                            <a:xfrm>
                              <a:off x="7390" y="351742"/>
                              <a:ext cx="1680" cy="5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5CED04">
                                <w:pPr>
                                  <w:rPr>
                                    <w:sz w:val="28"/>
                                    <w:szCs w:val="28"/>
                                  </w:rPr>
                                </w:pPr>
                                <w:r>
                                  <w:rPr>
                                    <w:rFonts w:hint="eastAsia"/>
                                    <w:sz w:val="28"/>
                                    <w:szCs w:val="28"/>
                                  </w:rPr>
                                  <w:t xml:space="preserve"> 工程验收</w:t>
                                </w:r>
                              </w:p>
                            </w:txbxContent>
                          </wps:txbx>
                          <wps:bodyPr upright="1"/>
                        </wps:wsp>
                        <wps:wsp>
                          <wps:cNvPr id="116" name="直接连接符 84"/>
                          <wps:cNvCnPr/>
                          <wps:spPr>
                            <a:xfrm>
                              <a:off x="4751" y="352365"/>
                              <a:ext cx="585" cy="1"/>
                            </a:xfrm>
                            <a:prstGeom prst="line">
                              <a:avLst/>
                            </a:prstGeom>
                            <a:ln w="9525" cap="flat" cmpd="sng">
                              <a:solidFill>
                                <a:srgbClr val="000000"/>
                              </a:solidFill>
                              <a:prstDash val="solid"/>
                              <a:headEnd type="none" w="med" len="med"/>
                              <a:tailEnd type="none" w="med" len="med"/>
                            </a:ln>
                          </wps:spPr>
                          <wps:bodyPr/>
                        </wps:wsp>
                        <wps:wsp>
                          <wps:cNvPr id="117" name="矩形 85"/>
                          <wps:cNvSpPr/>
                          <wps:spPr>
                            <a:xfrm>
                              <a:off x="4363" y="352395"/>
                              <a:ext cx="555" cy="1154"/>
                            </a:xfrm>
                            <a:prstGeom prst="rect">
                              <a:avLst/>
                            </a:prstGeom>
                            <a:noFill/>
                            <a:ln>
                              <a:noFill/>
                            </a:ln>
                          </wps:spPr>
                          <wps:txbx>
                            <w:txbxContent>
                              <w:p w14:paraId="150402BA">
                                <w:pPr>
                                  <w:snapToGrid w:val="0"/>
                                  <w:rPr>
                                    <w:sz w:val="28"/>
                                    <w:szCs w:val="28"/>
                                  </w:rPr>
                                </w:pPr>
                                <w:r>
                                  <w:rPr>
                                    <w:rFonts w:hint="eastAsia"/>
                                    <w:sz w:val="28"/>
                                    <w:szCs w:val="28"/>
                                  </w:rPr>
                                  <w:t>运营期</w:t>
                                </w:r>
                              </w:p>
                            </w:txbxContent>
                          </wps:txbx>
                          <wps:bodyPr upright="1"/>
                        </wps:wsp>
                        <wps:wsp>
                          <wps:cNvPr id="118" name="直接连接符 86"/>
                          <wps:cNvCnPr/>
                          <wps:spPr>
                            <a:xfrm>
                              <a:off x="8215" y="352312"/>
                              <a:ext cx="1" cy="467"/>
                            </a:xfrm>
                            <a:prstGeom prst="line">
                              <a:avLst/>
                            </a:prstGeom>
                            <a:ln w="9525" cap="flat" cmpd="sng">
                              <a:solidFill>
                                <a:srgbClr val="000000"/>
                              </a:solidFill>
                              <a:prstDash val="solid"/>
                              <a:headEnd type="none" w="med" len="med"/>
                              <a:tailEnd type="triangle" w="med" len="med"/>
                            </a:ln>
                          </wps:spPr>
                          <wps:bodyPr/>
                        </wps:wsp>
                        <wps:wsp>
                          <wps:cNvPr id="119" name="矩形 87"/>
                          <wps:cNvSpPr/>
                          <wps:spPr>
                            <a:xfrm>
                              <a:off x="9881" y="352891"/>
                              <a:ext cx="2084" cy="480"/>
                            </a:xfrm>
                            <a:prstGeom prst="rect">
                              <a:avLst/>
                            </a:prstGeom>
                            <a:solidFill>
                              <a:srgbClr val="FFFFFF"/>
                            </a:solidFill>
                            <a:ln>
                              <a:noFill/>
                            </a:ln>
                          </wps:spPr>
                          <wps:txbx>
                            <w:txbxContent>
                              <w:p w14:paraId="02E560BE">
                                <w:pPr>
                                  <w:rPr>
                                    <w:sz w:val="28"/>
                                    <w:szCs w:val="28"/>
                                  </w:rPr>
                                </w:pPr>
                                <w:r>
                                  <w:rPr>
                                    <w:rFonts w:hint="eastAsia"/>
                                    <w:sz w:val="28"/>
                                    <w:szCs w:val="28"/>
                                  </w:rPr>
                                  <w:t>G</w:t>
                                </w:r>
                                <w:r>
                                  <w:rPr>
                                    <w:rFonts w:hint="eastAsia"/>
                                    <w:sz w:val="28"/>
                                    <w:szCs w:val="28"/>
                                    <w:vertAlign w:val="subscript"/>
                                  </w:rPr>
                                  <w:t xml:space="preserve">  </w:t>
                                </w:r>
                                <w:r>
                                  <w:rPr>
                                    <w:sz w:val="28"/>
                                    <w:szCs w:val="28"/>
                                  </w:rPr>
                                  <w:t>W</w:t>
                                </w:r>
                                <w:r>
                                  <w:rPr>
                                    <w:rFonts w:hint="eastAsia"/>
                                    <w:sz w:val="28"/>
                                    <w:szCs w:val="28"/>
                                    <w:vertAlign w:val="subscript"/>
                                  </w:rPr>
                                  <w:t xml:space="preserve">  </w:t>
                                </w:r>
                                <w:r>
                                  <w:rPr>
                                    <w:sz w:val="28"/>
                                    <w:szCs w:val="28"/>
                                  </w:rPr>
                                  <w:t>S</w:t>
                                </w:r>
                                <w:r>
                                  <w:rPr>
                                    <w:rFonts w:hint="eastAsia"/>
                                    <w:sz w:val="28"/>
                                    <w:szCs w:val="28"/>
                                    <w:vertAlign w:val="subscript"/>
                                  </w:rPr>
                                  <w:t xml:space="preserve">  </w:t>
                                </w:r>
                                <w:r>
                                  <w:rPr>
                                    <w:sz w:val="28"/>
                                    <w:szCs w:val="28"/>
                                  </w:rPr>
                                  <w:t>N</w:t>
                                </w:r>
                              </w:p>
                            </w:txbxContent>
                          </wps:txbx>
                          <wps:bodyPr upright="1"/>
                        </wps:wsp>
                        <wps:wsp>
                          <wps:cNvPr id="120" name="直接连接符 88"/>
                          <wps:cNvCnPr/>
                          <wps:spPr>
                            <a:xfrm>
                              <a:off x="9115" y="353110"/>
                              <a:ext cx="722" cy="5"/>
                            </a:xfrm>
                            <a:prstGeom prst="line">
                              <a:avLst/>
                            </a:prstGeom>
                            <a:ln w="9525" cap="flat" cmpd="sng">
                              <a:solidFill>
                                <a:srgbClr val="000000"/>
                              </a:solidFill>
                              <a:prstDash val="sysDot"/>
                              <a:headEnd type="none" w="med" len="med"/>
                              <a:tailEnd type="triangle" w="med" len="med"/>
                            </a:ln>
                          </wps:spPr>
                          <wps:bodyPr/>
                        </wps:wsp>
                        <wps:wsp>
                          <wps:cNvPr id="121" name="直接连接符 89"/>
                          <wps:cNvCnPr/>
                          <wps:spPr>
                            <a:xfrm>
                              <a:off x="4780" y="353334"/>
                              <a:ext cx="570" cy="1"/>
                            </a:xfrm>
                            <a:prstGeom prst="line">
                              <a:avLst/>
                            </a:prstGeom>
                            <a:ln w="9525" cap="flat" cmpd="sng">
                              <a:solidFill>
                                <a:srgbClr val="000000"/>
                              </a:solidFill>
                              <a:prstDash val="solid"/>
                              <a:headEnd type="none" w="med" len="med"/>
                              <a:tailEnd type="none" w="med" len="med"/>
                            </a:ln>
                          </wps:spPr>
                          <wps:bodyPr/>
                        </wps:wsp>
                        <wps:wsp>
                          <wps:cNvPr id="122" name="矩形 90"/>
                          <wps:cNvSpPr/>
                          <wps:spPr>
                            <a:xfrm>
                              <a:off x="7390" y="352810"/>
                              <a:ext cx="1680" cy="5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D5765B">
                                <w:pPr>
                                  <w:rPr>
                                    <w:sz w:val="28"/>
                                    <w:szCs w:val="28"/>
                                  </w:rPr>
                                </w:pPr>
                                <w:r>
                                  <w:rPr>
                                    <w:rFonts w:hint="eastAsia"/>
                                    <w:sz w:val="28"/>
                                    <w:szCs w:val="28"/>
                                  </w:rPr>
                                  <w:t xml:space="preserve"> 运营使用</w:t>
                                </w:r>
                              </w:p>
                            </w:txbxContent>
                          </wps:txbx>
                          <wps:bodyPr upright="1"/>
                        </wps:wsp>
                        <wps:wsp>
                          <wps:cNvPr id="123" name="矩形 91"/>
                          <wps:cNvSpPr/>
                          <wps:spPr>
                            <a:xfrm>
                              <a:off x="5320" y="353889"/>
                              <a:ext cx="6270" cy="551"/>
                            </a:xfrm>
                            <a:prstGeom prst="rect">
                              <a:avLst/>
                            </a:prstGeom>
                            <a:solidFill>
                              <a:srgbClr val="FFFFFF"/>
                            </a:solidFill>
                            <a:ln>
                              <a:noFill/>
                            </a:ln>
                          </wps:spPr>
                          <wps:txbx>
                            <w:txbxContent>
                              <w:p w14:paraId="5C0456BD">
                                <w:pPr>
                                  <w:rPr>
                                    <w:sz w:val="28"/>
                                    <w:szCs w:val="28"/>
                                  </w:rPr>
                                </w:pPr>
                                <w:r>
                                  <w:rPr>
                                    <w:rFonts w:hint="eastAsia"/>
                                    <w:sz w:val="28"/>
                                    <w:szCs w:val="28"/>
                                  </w:rPr>
                                  <w:t xml:space="preserve">G：废气    </w:t>
                                </w:r>
                                <w:r>
                                  <w:rPr>
                                    <w:sz w:val="28"/>
                                    <w:szCs w:val="28"/>
                                  </w:rPr>
                                  <w:t>W</w:t>
                                </w:r>
                                <w:r>
                                  <w:rPr>
                                    <w:rFonts w:hint="eastAsia"/>
                                    <w:sz w:val="28"/>
                                    <w:szCs w:val="28"/>
                                  </w:rPr>
                                  <w:t xml:space="preserve">：废水    </w:t>
                                </w:r>
                                <w:r>
                                  <w:rPr>
                                    <w:sz w:val="28"/>
                                    <w:szCs w:val="28"/>
                                  </w:rPr>
                                  <w:t>S</w:t>
                                </w:r>
                                <w:r>
                                  <w:rPr>
                                    <w:rFonts w:hint="eastAsia"/>
                                    <w:sz w:val="28"/>
                                    <w:szCs w:val="28"/>
                                  </w:rPr>
                                  <w:t xml:space="preserve">：固废    </w:t>
                                </w:r>
                                <w:r>
                                  <w:rPr>
                                    <w:sz w:val="28"/>
                                    <w:szCs w:val="28"/>
                                  </w:rPr>
                                  <w:t>N</w:t>
                                </w:r>
                                <w:r>
                                  <w:rPr>
                                    <w:rFonts w:hint="eastAsia"/>
                                    <w:sz w:val="28"/>
                                    <w:szCs w:val="28"/>
                                  </w:rPr>
                                  <w:t>：噪声</w:t>
                                </w:r>
                              </w:p>
                            </w:txbxContent>
                          </wps:txbx>
                          <wps:bodyPr upright="1"/>
                        </wps:wsp>
                      </wpg:grpSp>
                      <wps:wsp>
                        <wps:cNvPr id="50" name="矩形 50"/>
                        <wps:cNvSpPr/>
                        <wps:spPr>
                          <a:xfrm>
                            <a:off x="4852" y="1461695"/>
                            <a:ext cx="10393" cy="7932"/>
                          </a:xfrm>
                          <a:prstGeom prst="rect">
                            <a:avLst/>
                          </a:prstGeom>
                          <a:noFill/>
                          <a:ln w="9525" cap="flat" cmpd="sng">
                            <a:solidFill>
                              <a:srgbClr val="00000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115.8pt;margin-top:0.75pt;height:396.6pt;width:519.6pt;z-index:251663360;mso-width-relative:page;mso-height-relative:page;" coordorigin="4852,1461695" coordsize="10392,7932" o:gfxdata="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">
                <o:lock v:ext="edit" aspectratio="f"/>
                <v:group id="_x0000_s1026" o:spid="_x0000_s1026" o:spt="203" style="position:absolute;left:6084;top:1461995;height:7452;width:8138;" coordorigin="4333,347346" coordsize="7632,7093" o:gfxdata="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sojU6+AAAA2wAAAA8AAAAAAAAAAQAgAAAAIgAAAGRycy9kb3ducmV2Lnht&#10;bFBLAQIUABQAAAAIAIdO4kAzLwWeOwAAADkAAAAVAAAAAAAAAAEAIAAAAA0BAABkcnMvZ3JvdXBz&#10;aGFwZXhtbC54bWxQSwUGAAAAAAYABgBgAQAAygMAAAAA&#10;">
                  <o:lock v:ext="edit" aspectratio="f"/>
                  <v:line id="直接连接符 57" o:spid="_x0000_s1026" o:spt="20" style="position:absolute;left:5020;top:347361;height:4725;width:1;" filled="f" stroked="t" coordsize="21600,21600" o:gfxdata="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P2DQrsAAADb&#10;AAAADwAAAAAAAAABACAAAAAiAAAAZHJzL2Rvd25yZXYueG1sUEsBAhQAFAAAAAgAh07iQDMvBZ47&#10;AAAAOQAAABAAAAAAAAAAAQAgAAAACgEAAGRycy9zaGFwZXhtbC54bWxQSwUGAAAAAAYABgBbAQAA&#10;tAMAAAAA&#10;">
                    <v:fill on="f" focussize="0,0"/>
                    <v:stroke color="#000000" joinstyle="round" dashstyle="1 1" endcap="round"/>
                    <v:imagedata o:title=""/>
                    <o:lock v:ext="edit" aspectratio="f"/>
                  </v:line>
                  <v:line id="直接连接符 58" o:spid="_x0000_s1026" o:spt="20" style="position:absolute;left:4720;top:347346;height:1;width:585;" filled="f" stroked="t" coordsize="21600,21600" o:gfxdata="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T3H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接连接符 59" o:spid="_x0000_s1026" o:spt="20" style="position:absolute;left:9865;top:347800;flip:x;height:2075;width:1;" filled="f" stroked="t" coordsize="21600,21600" o:gfxdata="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1zqCvQAA&#10;ANsAAAAPAAAAAAAAAAEAIAAAACIAAABkcnMvZG93bnJldi54bWxQSwECFAAUAAAACACHTuJAMy8F&#10;njsAAAA5AAAAEAAAAAAAAAABACAAAAAMAQAAZHJzL3NoYXBleG1sLnhtbFBLBQYAAAAABgAGAFsB&#10;AAC2AwAAAAA=&#10;">
                    <v:fill on="f" focussize="0,0"/>
                    <v:stroke color="#000000" joinstyle="round" dashstyle="1 1" endcap="round"/>
                    <v:imagedata o:title=""/>
                    <o:lock v:ext="edit" aspectratio="f"/>
                  </v:line>
                  <v:line id="直接连接符 60" o:spid="_x0000_s1026" o:spt="20" style="position:absolute;left:6700;top:347775;flip:x;height:4305;width:1;" filled="f" stroked="t" coordsize="21600,21600" o:gfxdata="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m58ZvQAA&#10;ANsAAAAPAAAAAAAAAAEAIAAAACIAAABkcnMvZG93bnJldi54bWxQSwECFAAUAAAACACHTuJAMy8F&#10;njsAAAA5AAAAEAAAAAAAAAABACAAAAAMAQAAZHJzL3NoYXBleG1sLnhtbFBLBQYAAAAABgAGAFsB&#10;AAC2AwAAAAA=&#10;">
                    <v:fill on="f" focussize="0,0"/>
                    <v:stroke color="#000000" joinstyle="round" dashstyle="1 1" endcap="round"/>
                    <v:imagedata o:title=""/>
                    <o:lock v:ext="edit" aspectratio="f"/>
                  </v:line>
                  <v:line id="直接连接符 61" o:spid="_x0000_s1026" o:spt="20" style="position:absolute;left:6671;top:347770;flip:x;height:4;width:660;" filled="f" stroked="t" coordsize="21600,21600" o:gfxdata="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M8xG/&#10;AAAA2wAAAA8AAAAAAAAAAQAgAAAAIgAAAGRycy9kb3ducmV2LnhtbFBLAQIUABQAAAAIAIdO4kAz&#10;LwWeOwAAADkAAAAQAAAAAAAAAAEAIAAAAA4BAABkcnMvc2hhcGV4bWwueG1sUEsFBgAAAAAGAAYA&#10;WwEAALgDAAAAAA==&#10;">
                    <v:fill on="f" focussize="0,0"/>
                    <v:stroke color="#000000" joinstyle="round" dashstyle="1 1" endarrow="block"/>
                    <v:imagedata o:title=""/>
                    <o:lock v:ext="edit" aspectratio="f"/>
                  </v:line>
                  <v:line id="直接连接符 62" o:spid="_x0000_s1026" o:spt="20" style="position:absolute;left:9130;top:347775;flip:y;height:14;width:736;" filled="f" stroked="t" coordsize="21600,21600" o:gfxdata="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qAVoq/&#10;AAAA2wAAAA8AAAAAAAAAAQAgAAAAIgAAAGRycy9kb3ducmV2LnhtbFBLAQIUABQAAAAIAIdO4kAz&#10;LwWeOwAAADkAAAAQAAAAAAAAAAEAIAAAAA4BAABkcnMvc2hhcGV4bWwueG1sUEsFBgAAAAAGAAYA&#10;WwEAALgDAAAAAA==&#10;">
                    <v:fill on="f" focussize="0,0"/>
                    <v:stroke color="#000000" joinstyle="round" dashstyle="1 1" endarrow="block"/>
                    <v:imagedata o:title=""/>
                    <o:lock v:ext="edit" aspectratio="f"/>
                  </v:line>
                  <v:rect id="矩形 63" o:spid="_x0000_s1026" o:spt="1" style="position:absolute;left:7390;top:347470;height:554;width:1680;" fillcolor="#FFFFFF" filled="t" stroked="t" coordsize="21600,21600" o:gfxdata="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nYO8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DCECB92">
                          <w:pPr>
                            <w:rPr>
                              <w:sz w:val="28"/>
                              <w:szCs w:val="28"/>
                            </w:rPr>
                          </w:pPr>
                          <w:r>
                            <w:rPr>
                              <w:rFonts w:hint="eastAsia"/>
                              <w:sz w:val="28"/>
                              <w:szCs w:val="28"/>
                            </w:rPr>
                            <w:t xml:space="preserve"> 基础工程</w:t>
                          </w:r>
                        </w:p>
                      </w:txbxContent>
                    </v:textbox>
                  </v:rect>
                  <v:line id="直接连接符 64" o:spid="_x0000_s1026" o:spt="20" style="position:absolute;left:8215;top:348040;height:467;width:1;" filled="f" stroked="t" coordsize="21600,21600" o:gfxdata="UEsDBAoAAAAAAIdO4kAAAAAAAAAAAAAAAAAEAAAAZHJzL1BLAwQUAAAACACHTuJAe0H58r8AAADb&#10;AAAADwAAAGRycy9kb3ducmV2LnhtbEWPT2vCQBTE7wW/w/KE3uomU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tB+f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65" o:spid="_x0000_s1026" o:spt="1" style="position:absolute;left:10450;top:348619;height:480;width:1485;" fillcolor="#FFFFFF" filled="t" stroked="f" coordsize="21600,21600" o:gfxdata="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t/aOu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6BB86C2E">
                          <w:pPr>
                            <w:rPr>
                              <w:sz w:val="28"/>
                              <w:szCs w:val="28"/>
                            </w:rPr>
                          </w:pPr>
                          <w:r>
                            <w:rPr>
                              <w:rFonts w:hint="eastAsia"/>
                              <w:sz w:val="28"/>
                              <w:szCs w:val="28"/>
                            </w:rPr>
                            <w:t>G</w:t>
                          </w:r>
                          <w:r>
                            <w:rPr>
                              <w:rFonts w:hint="eastAsia"/>
                              <w:sz w:val="28"/>
                              <w:szCs w:val="28"/>
                              <w:vertAlign w:val="subscript"/>
                            </w:rPr>
                            <w:t xml:space="preserve">  </w:t>
                          </w:r>
                          <w:r>
                            <w:rPr>
                              <w:sz w:val="28"/>
                              <w:szCs w:val="28"/>
                            </w:rPr>
                            <w:t>W</w:t>
                          </w:r>
                          <w:r>
                            <w:rPr>
                              <w:rFonts w:hint="eastAsia"/>
                              <w:sz w:val="28"/>
                              <w:szCs w:val="28"/>
                              <w:vertAlign w:val="subscript"/>
                            </w:rPr>
                            <w:t xml:space="preserve">  </w:t>
                          </w:r>
                          <w:r>
                            <w:rPr>
                              <w:sz w:val="28"/>
                              <w:szCs w:val="28"/>
                            </w:rPr>
                            <w:t>N</w:t>
                          </w:r>
                        </w:p>
                      </w:txbxContent>
                    </v:textbox>
                  </v:rect>
                  <v:line id="直接连接符 66" o:spid="_x0000_s1026" o:spt="20" style="position:absolute;left:9115;top:348839;flip:y;height:1;width:1246;" filled="f" stroked="t" coordsize="21600,21600" o:gfxdata="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51SYu/&#10;AAAA2wAAAA8AAAAAAAAAAQAgAAAAIgAAAGRycy9kb3ducmV2LnhtbFBLAQIUABQAAAAIAIdO4kAz&#10;LwWeOwAAADkAAAAQAAAAAAAAAAEAIAAAAA4BAABkcnMvc2hhcGV4bWwueG1sUEsFBgAAAAAGAAYA&#10;WwEAALgDAAAAAA==&#10;">
                    <v:fill on="f" focussize="0,0"/>
                    <v:stroke color="#000000" joinstyle="round" dashstyle="1 1" endarrow="block"/>
                    <v:imagedata o:title=""/>
                    <o:lock v:ext="edit" aspectratio="f"/>
                  </v:line>
                  <v:line id="直接连接符 67" o:spid="_x0000_s1026" o:spt="20" style="position:absolute;left:6728;top:348842;flip:x y;height:12;width:617;" filled="f" stroked="t" coordsize="21600,21600" o:gfxdata="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2kc1vQAA&#10;ANsAAAAPAAAAAAAAAAEAIAAAACIAAABkcnMvZG93bnJldi54bWxQSwECFAAUAAAACACHTuJAMy8F&#10;njsAAAA5AAAAEAAAAAAAAAABACAAAAAMAQAAZHJzL3NoYXBleG1sLnhtbFBLBQYAAAAABgAGAFsB&#10;AAC2AwAAAAA=&#10;">
                    <v:fill on="f" focussize="0,0"/>
                    <v:stroke color="#000000" joinstyle="round" dashstyle="1 1" endarrow="block"/>
                    <v:imagedata o:title=""/>
                    <o:lock v:ext="edit" aspectratio="f"/>
                  </v:line>
                  <v:rect id="矩形 68" o:spid="_x0000_s1026" o:spt="1" style="position:absolute;left:7390;top:348538;height:554;width:1680;" fillcolor="#FFFFFF" filled="t" stroked="t" coordsize="21600,21600" o:gfxdata="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Y5Ec2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5383FAEF">
                          <w:pPr>
                            <w:rPr>
                              <w:sz w:val="28"/>
                              <w:szCs w:val="28"/>
                            </w:rPr>
                          </w:pPr>
                          <w:r>
                            <w:rPr>
                              <w:rFonts w:hint="eastAsia"/>
                              <w:sz w:val="28"/>
                              <w:szCs w:val="28"/>
                            </w:rPr>
                            <w:t xml:space="preserve"> 主体工程</w:t>
                          </w:r>
                        </w:p>
                      </w:txbxContent>
                    </v:textbox>
                  </v:rect>
                  <v:line id="直接连接符 69" o:spid="_x0000_s1026" o:spt="20" style="position:absolute;left:8215;top:349108;height:467;width:1;" filled="f" stroked="t" coordsize="21600,21600" o:gfxdata="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UBWb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70" o:spid="_x0000_s1026" o:spt="1" style="position:absolute;left:5260;top:349670;height:497;width:1110;" fillcolor="#FFFFFF" filled="t" stroked="f" coordsize="21600,21600" o:gfxdata="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anvb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56EE6C3E">
                          <w:pPr>
                            <w:jc w:val="center"/>
                            <w:rPr>
                              <w:sz w:val="28"/>
                              <w:szCs w:val="28"/>
                            </w:rPr>
                          </w:pPr>
                          <w:r>
                            <w:rPr>
                              <w:rFonts w:hint="eastAsia"/>
                              <w:sz w:val="28"/>
                              <w:szCs w:val="28"/>
                            </w:rPr>
                            <w:t>S</w:t>
                          </w:r>
                        </w:p>
                      </w:txbxContent>
                    </v:textbox>
                  </v:rect>
                  <v:line id="直接连接符 71" o:spid="_x0000_s1026" o:spt="20" style="position:absolute;left:6430;top:349907;flip:x;height:3;width:899;" filled="f" stroked="t" coordsize="21600,21600" o:gfxdata="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bN19r4A&#10;AADcAAAADwAAAAAAAAABACAAAAAiAAAAZHJzL2Rvd25yZXYueG1sUEsBAhQAFAAAAAgAh07iQDMv&#10;BZ47AAAAOQAAABAAAAAAAAAAAQAgAAAADQEAAGRycy9zaGFwZXhtbC54bWxQSwUGAAAAAAYABgBb&#10;AQAAtwMAAAAA&#10;">
                    <v:fill on="f" focussize="0,0"/>
                    <v:stroke color="#000000" joinstyle="round" dashstyle="1 1" endarrow="block"/>
                    <v:imagedata o:title=""/>
                    <o:lock v:ext="edit" aspectratio="f"/>
                  </v:line>
                  <v:line id="直接连接符 72" o:spid="_x0000_s1026" o:spt="20" style="position:absolute;left:9130;top:349911;flip:y;height:8;width:768;" filled="f" stroked="t" coordsize="21600,21600" o:gfxdata="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WHrgb4A&#10;AADcAAAADwAAAAAAAAABACAAAAAiAAAAZHJzL2Rvd25yZXYueG1sUEsBAhQAFAAAAAgAh07iQDMv&#10;BZ47AAAAOQAAABAAAAAAAAAAAQAgAAAADQEAAGRycy9zaGFwZXhtbC54bWxQSwUGAAAAAAYABgBb&#10;AQAAtwMAAAAA&#10;">
                    <v:fill on="f" focussize="0,0"/>
                    <v:stroke color="#000000" joinstyle="round" dashstyle="1 1" endarrow="block"/>
                    <v:imagedata o:title=""/>
                    <o:lock v:ext="edit" aspectratio="f"/>
                  </v:line>
                  <v:rect id="矩形 73" o:spid="_x0000_s1026" o:spt="1" style="position:absolute;left:4333;top:349710;height:1154;width:555;" filled="f" stroked="f" coordsize="21600,21600" o:gfxdata="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Aui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DF00209">
                          <w:pPr>
                            <w:snapToGrid w:val="0"/>
                            <w:rPr>
                              <w:sz w:val="28"/>
                              <w:szCs w:val="28"/>
                            </w:rPr>
                          </w:pPr>
                          <w:r>
                            <w:rPr>
                              <w:rFonts w:hint="eastAsia"/>
                              <w:sz w:val="28"/>
                              <w:szCs w:val="28"/>
                            </w:rPr>
                            <w:t>施工期</w:t>
                          </w:r>
                        </w:p>
                      </w:txbxContent>
                    </v:textbox>
                  </v:rect>
                  <v:rect id="矩形 74" o:spid="_x0000_s1026" o:spt="1" style="position:absolute;left:7390;top:349606;height:554;width:1680;" fillcolor="#FFFFFF" filled="t" stroked="t" coordsize="21600,21600" o:gfxdata="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n4c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AC85945">
                          <w:pPr>
                            <w:rPr>
                              <w:sz w:val="28"/>
                              <w:szCs w:val="28"/>
                            </w:rPr>
                          </w:pPr>
                          <w:r>
                            <w:rPr>
                              <w:rFonts w:hint="eastAsia"/>
                              <w:sz w:val="28"/>
                              <w:szCs w:val="28"/>
                            </w:rPr>
                            <w:t xml:space="preserve"> 装饰工程</w:t>
                          </w:r>
                        </w:p>
                      </w:txbxContent>
                    </v:textbox>
                  </v:rect>
                  <v:line id="直接连接符 75" o:spid="_x0000_s1026" o:spt="20" style="position:absolute;left:8215;top:350176;height:467;width:1;" filled="f" stroked="t" coordsize="21600,21600" o:gfxdata="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yl0u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76" o:spid="_x0000_s1026" o:spt="1" style="position:absolute;left:9910;top:350723;height:497;width:1110;" fillcolor="#FFFFFF" filled="t" stroked="f" coordsize="21600,21600" o:gfxdata="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85pSugAAANw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6EB4D54C">
                          <w:pPr>
                            <w:rPr>
                              <w:sz w:val="28"/>
                              <w:szCs w:val="28"/>
                            </w:rPr>
                          </w:pPr>
                          <w:r>
                            <w:rPr>
                              <w:rFonts w:hint="eastAsia"/>
                              <w:sz w:val="28"/>
                              <w:szCs w:val="28"/>
                              <w:vertAlign w:val="subscript"/>
                            </w:rPr>
                            <w:t xml:space="preserve"> </w:t>
                          </w:r>
                          <w:r>
                            <w:rPr>
                              <w:sz w:val="28"/>
                              <w:szCs w:val="28"/>
                            </w:rPr>
                            <w:t>N</w:t>
                          </w:r>
                          <w:r>
                            <w:rPr>
                              <w:rFonts w:hint="eastAsia"/>
                              <w:sz w:val="28"/>
                              <w:szCs w:val="28"/>
                              <w:vertAlign w:val="subscript"/>
                            </w:rPr>
                            <w:t xml:space="preserve"> </w:t>
                          </w:r>
                        </w:p>
                      </w:txbxContent>
                    </v:textbox>
                  </v:rect>
                  <v:line id="直接连接符 77" o:spid="_x0000_s1026" o:spt="20" style="position:absolute;left:6671;top:350974;flip:x;height:4;width:660;" filled="f" stroked="t" coordsize="21600,21600" o:gfxdata="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FkgZvQAA&#10;ANwAAAAPAAAAAAAAAAEAIAAAACIAAABkcnMvZG93bnJldi54bWxQSwECFAAUAAAACACHTuJAMy8F&#10;njsAAAA5AAAAEAAAAAAAAAABACAAAAAMAQAAZHJzL3NoYXBleG1sLnhtbFBLBQYAAAAABgAGAFsB&#10;AAC2AwAAAAA=&#10;">
                    <v:fill on="f" focussize="0,0"/>
                    <v:stroke color="#000000" joinstyle="round" dashstyle="1 1" endarrow="block"/>
                    <v:imagedata o:title=""/>
                    <o:lock v:ext="edit" aspectratio="f"/>
                  </v:line>
                  <v:line id="直接连接符 78" o:spid="_x0000_s1026" o:spt="20" style="position:absolute;left:9130;top:350974;height:5;width:722;" filled="f" stroked="t" coordsize="21600,21600" o:gfxdata="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BTufq/&#10;AAAA3AAAAA8AAAAAAAAAAQAgAAAAIgAAAGRycy9kb3ducmV2LnhtbFBLAQIUABQAAAAIAIdO4kAz&#10;LwWeOwAAADkAAAAQAAAAAAAAAAEAIAAAAA4BAABkcnMvc2hhcGV4bWwueG1sUEsFBgAAAAAGAAYA&#10;WwEAALgDAAAAAA==&#10;">
                    <v:fill on="f" focussize="0,0"/>
                    <v:stroke color="#000000" joinstyle="round" dashstyle="1 1" endarrow="block"/>
                    <v:imagedata o:title=""/>
                    <o:lock v:ext="edit" aspectratio="f"/>
                  </v:line>
                  <v:rect id="矩形 79" o:spid="_x0000_s1026" o:spt="1" style="position:absolute;left:7390;top:350674;height:554;width:1680;" fillcolor="#FFFFFF" filled="t" stroked="t" coordsize="21600,21600" o:gfxdata="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Sjuwr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BE398AB">
                          <w:pPr>
                            <w:rPr>
                              <w:sz w:val="28"/>
                              <w:szCs w:val="28"/>
                            </w:rPr>
                          </w:pPr>
                          <w:r>
                            <w:rPr>
                              <w:rFonts w:hint="eastAsia"/>
                              <w:sz w:val="28"/>
                              <w:szCs w:val="28"/>
                            </w:rPr>
                            <w:t xml:space="preserve"> 设备安装</w:t>
                          </w:r>
                        </w:p>
                      </w:txbxContent>
                    </v:textbox>
                  </v:rect>
                  <v:line id="直接连接符 80" o:spid="_x0000_s1026" o:spt="20" style="position:absolute;left:8215;top:351244;height:467;width:1;" filled="f" stroked="t" coordsize="21600,21600" o:gfxdata="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pTh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671;top:352042;flip:x;height:4;width:660;" filled="f" stroked="t" coordsize="21600,21600" o:gfxdata="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9NjHvQAA&#10;ANwAAAAPAAAAAAAAAAEAIAAAACIAAABkcnMvZG93bnJldi54bWxQSwECFAAUAAAACACHTuJAMy8F&#10;njsAAAA5AAAAEAAAAAAAAAABACAAAAAMAQAAZHJzL3NoYXBleG1sLnhtbFBLBQYAAAAABgAGAFsB&#10;AAC2AwAAAAA=&#10;">
                    <v:fill on="f" focussize="0,0"/>
                    <v:stroke color="#000000" joinstyle="round" dashstyle="1 1" endarrow="block"/>
                    <v:imagedata o:title=""/>
                    <o:lock v:ext="edit" aspectratio="f"/>
                  </v:line>
                  <v:line id="直接连接符 82" o:spid="_x0000_s1026" o:spt="20" style="position:absolute;left:5020;top:352184;height:1140;width:1;" filled="f" stroked="t" coordsize="21600,21600" o:gfxdata="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dWnpLsAAADc&#10;AAAADwAAAAAAAAABACAAAAAiAAAAZHJzL2Rvd25yZXYueG1sUEsBAhQAFAAAAAgAh07iQDMvBZ47&#10;AAAAOQAAABAAAAAAAAAAAQAgAAAACgEAAGRycy9zaGFwZXhtbC54bWxQSwUGAAAAAAYABgBbAQAA&#10;tAMAAAAA&#10;">
                    <v:fill on="f" focussize="0,0"/>
                    <v:stroke color="#000000" joinstyle="round" dashstyle="1 1" endcap="round"/>
                    <v:imagedata o:title=""/>
                    <o:lock v:ext="edit" aspectratio="f"/>
                  </v:line>
                  <v:rect id="矩形 83" o:spid="_x0000_s1026" o:spt="1" style="position:absolute;left:7390;top:351742;height:554;width:1680;" fillcolor="#FFFFFF" filled="t" stroked="t" coordsize="21600,21600" o:gfxdata="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9NW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D5CED04">
                          <w:pPr>
                            <w:rPr>
                              <w:sz w:val="28"/>
                              <w:szCs w:val="28"/>
                            </w:rPr>
                          </w:pPr>
                          <w:r>
                            <w:rPr>
                              <w:rFonts w:hint="eastAsia"/>
                              <w:sz w:val="28"/>
                              <w:szCs w:val="28"/>
                            </w:rPr>
                            <w:t xml:space="preserve"> 工程验收</w:t>
                          </w:r>
                        </w:p>
                      </w:txbxContent>
                    </v:textbox>
                  </v:rect>
                  <v:line id="直接连接符 84" o:spid="_x0000_s1026" o:spt="20" style="position:absolute;left:4751;top:352365;height:1;width:585;" filled="f" stroked="t" coordsize="21600,21600" o:gfxdata="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BMhW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rect id="矩形 85" o:spid="_x0000_s1026" o:spt="1" style="position:absolute;left:4363;top:352395;height:1154;width:555;" filled="f" stroked="f" coordsize="21600,21600" o:gfxdata="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hySN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50402BA">
                          <w:pPr>
                            <w:snapToGrid w:val="0"/>
                            <w:rPr>
                              <w:sz w:val="28"/>
                              <w:szCs w:val="28"/>
                            </w:rPr>
                          </w:pPr>
                          <w:r>
                            <w:rPr>
                              <w:rFonts w:hint="eastAsia"/>
                              <w:sz w:val="28"/>
                              <w:szCs w:val="28"/>
                            </w:rPr>
                            <w:t>运营期</w:t>
                          </w:r>
                        </w:p>
                      </w:txbxContent>
                    </v:textbox>
                  </v:rect>
                  <v:line id="直接连接符 86" o:spid="_x0000_s1026" o:spt="20" style="position:absolute;left:8215;top:352312;height:467;width:1;" filled="f" stroked="t" coordsize="21600,21600" o:gfxdata="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EmRt&#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rect id="矩形 87" o:spid="_x0000_s1026" o:spt="1" style="position:absolute;left:9881;top:352891;height:480;width:2084;" fillcolor="#FFFFFF" filled="t" stroked="f" coordsize="21600,21600" o:gfxdata="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1mP28AAAA&#10;3A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02E560BE">
                          <w:pPr>
                            <w:rPr>
                              <w:sz w:val="28"/>
                              <w:szCs w:val="28"/>
                            </w:rPr>
                          </w:pPr>
                          <w:r>
                            <w:rPr>
                              <w:rFonts w:hint="eastAsia"/>
                              <w:sz w:val="28"/>
                              <w:szCs w:val="28"/>
                            </w:rPr>
                            <w:t>G</w:t>
                          </w:r>
                          <w:r>
                            <w:rPr>
                              <w:rFonts w:hint="eastAsia"/>
                              <w:sz w:val="28"/>
                              <w:szCs w:val="28"/>
                              <w:vertAlign w:val="subscript"/>
                            </w:rPr>
                            <w:t xml:space="preserve">  </w:t>
                          </w:r>
                          <w:r>
                            <w:rPr>
                              <w:sz w:val="28"/>
                              <w:szCs w:val="28"/>
                            </w:rPr>
                            <w:t>W</w:t>
                          </w:r>
                          <w:r>
                            <w:rPr>
                              <w:rFonts w:hint="eastAsia"/>
                              <w:sz w:val="28"/>
                              <w:szCs w:val="28"/>
                              <w:vertAlign w:val="subscript"/>
                            </w:rPr>
                            <w:t xml:space="preserve">  </w:t>
                          </w:r>
                          <w:r>
                            <w:rPr>
                              <w:sz w:val="28"/>
                              <w:szCs w:val="28"/>
                            </w:rPr>
                            <w:t>S</w:t>
                          </w:r>
                          <w:r>
                            <w:rPr>
                              <w:rFonts w:hint="eastAsia"/>
                              <w:sz w:val="28"/>
                              <w:szCs w:val="28"/>
                              <w:vertAlign w:val="subscript"/>
                            </w:rPr>
                            <w:t xml:space="preserve">  </w:t>
                          </w:r>
                          <w:r>
                            <w:rPr>
                              <w:sz w:val="28"/>
                              <w:szCs w:val="28"/>
                            </w:rPr>
                            <w:t>N</w:t>
                          </w:r>
                        </w:p>
                      </w:txbxContent>
                    </v:textbox>
                  </v:rect>
                  <v:line id="直接连接符 88" o:spid="_x0000_s1026" o:spt="20" style="position:absolute;left:9115;top:353110;height:5;width:722;" filled="f" stroked="t" coordsize="21600,21600" o:gfxdata="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ZDpnL4A&#10;AADcAAAADwAAAAAAAAABACAAAAAiAAAAZHJzL2Rvd25yZXYueG1sUEsBAhQAFAAAAAgAh07iQDMv&#10;BZ47AAAAOQAAABAAAAAAAAAAAQAgAAAADQEAAGRycy9zaGFwZXhtbC54bWxQSwUGAAAAAAYABgBb&#10;AQAAtwMAAAAA&#10;">
                    <v:fill on="f" focussize="0,0"/>
                    <v:stroke color="#000000" joinstyle="round" dashstyle="1 1" endarrow="block"/>
                    <v:imagedata o:title=""/>
                    <o:lock v:ext="edit" aspectratio="f"/>
                  </v:line>
                  <v:line id="直接连接符 89" o:spid="_x0000_s1026" o:spt="20" style="position:absolute;left:4780;top:353334;height:1;width:570;" filled="f" stroked="t" coordsize="21600,21600" o:gfxdata="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ARg3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rect id="矩形 90" o:spid="_x0000_s1026" o:spt="1" style="position:absolute;left:7390;top:352810;height:554;width:1680;" fillcolor="#FFFFFF" filled="t" stroked="t" coordsize="21600,21600" o:gfxdata="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aH5O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9D5765B">
                          <w:pPr>
                            <w:rPr>
                              <w:sz w:val="28"/>
                              <w:szCs w:val="28"/>
                            </w:rPr>
                          </w:pPr>
                          <w:r>
                            <w:rPr>
                              <w:rFonts w:hint="eastAsia"/>
                              <w:sz w:val="28"/>
                              <w:szCs w:val="28"/>
                            </w:rPr>
                            <w:t xml:space="preserve"> 运营使用</w:t>
                          </w:r>
                        </w:p>
                      </w:txbxContent>
                    </v:textbox>
                  </v:rect>
                  <v:rect id="矩形 91" o:spid="_x0000_s1026" o:spt="1" style="position:absolute;left:5320;top:353889;height:551;width:6270;" fillcolor="#FFFFFF" filled="t" stroked="f" coordsize="21600,21600" o:gfxdata="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jFlqr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5C0456BD">
                          <w:pPr>
                            <w:rPr>
                              <w:sz w:val="28"/>
                              <w:szCs w:val="28"/>
                            </w:rPr>
                          </w:pPr>
                          <w:r>
                            <w:rPr>
                              <w:rFonts w:hint="eastAsia"/>
                              <w:sz w:val="28"/>
                              <w:szCs w:val="28"/>
                            </w:rPr>
                            <w:t xml:space="preserve">G：废气    </w:t>
                          </w:r>
                          <w:r>
                            <w:rPr>
                              <w:sz w:val="28"/>
                              <w:szCs w:val="28"/>
                            </w:rPr>
                            <w:t>W</w:t>
                          </w:r>
                          <w:r>
                            <w:rPr>
                              <w:rFonts w:hint="eastAsia"/>
                              <w:sz w:val="28"/>
                              <w:szCs w:val="28"/>
                            </w:rPr>
                            <w:t xml:space="preserve">：废水    </w:t>
                          </w:r>
                          <w:r>
                            <w:rPr>
                              <w:sz w:val="28"/>
                              <w:szCs w:val="28"/>
                            </w:rPr>
                            <w:t>S</w:t>
                          </w:r>
                          <w:r>
                            <w:rPr>
                              <w:rFonts w:hint="eastAsia"/>
                              <w:sz w:val="28"/>
                              <w:szCs w:val="28"/>
                            </w:rPr>
                            <w:t xml:space="preserve">：固废    </w:t>
                          </w:r>
                          <w:r>
                            <w:rPr>
                              <w:sz w:val="28"/>
                              <w:szCs w:val="28"/>
                            </w:rPr>
                            <w:t>N</w:t>
                          </w:r>
                          <w:r>
                            <w:rPr>
                              <w:rFonts w:hint="eastAsia"/>
                              <w:sz w:val="28"/>
                              <w:szCs w:val="28"/>
                            </w:rPr>
                            <w:t>：噪声</w:t>
                          </w:r>
                        </w:p>
                      </w:txbxContent>
                    </v:textbox>
                  </v:rect>
                </v:group>
                <v:rect id="_x0000_s1026" o:spid="_x0000_s1026" o:spt="1" style="position:absolute;left:4852;top:1461695;height:7932;width:10393;" filled="f" stroked="t" coordsize="21600,21600" o:gfxdata="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mEk5+5AAAA2wAA&#10;AA8AAAAAAAAAAQAgAAAAIgAAAGRycy9kb3ducmV2LnhtbFBLAQIUABQAAAAIAIdO4kAzLwWeOwAA&#10;ADkAAAAQAAAAAAAAAAEAIAAAAAgBAABkcnMvc2hhcGV4bWwueG1sUEsFBgAAAAAGAAYAWwEAALID&#10;AAAAAA==&#10;">
                  <v:fill on="f" focussize="0,0"/>
                  <v:stroke color="#000000" joinstyle="miter"/>
                  <v:imagedata o:title=""/>
                  <o:lock v:ext="edit" aspectratio="f"/>
                </v:rect>
              </v:group>
            </w:pict>
          </mc:Fallback>
        </mc:AlternateContent>
      </w:r>
    </w:p>
    <w:p w14:paraId="545FBDF6">
      <w:pPr>
        <w:adjustRightInd w:val="0"/>
        <w:snapToGrid w:val="0"/>
        <w:spacing w:before="120" w:beforeLines="50" w:line="360" w:lineRule="auto"/>
        <w:rPr>
          <w:b/>
          <w:bCs/>
          <w:color w:val="auto"/>
          <w:sz w:val="24"/>
          <w:highlight w:val="none"/>
        </w:rPr>
      </w:pPr>
    </w:p>
    <w:p w14:paraId="20EEC00A">
      <w:pPr>
        <w:adjustRightInd w:val="0"/>
        <w:snapToGrid w:val="0"/>
        <w:spacing w:before="120" w:beforeLines="50" w:line="360" w:lineRule="auto"/>
        <w:rPr>
          <w:b/>
          <w:bCs/>
          <w:color w:val="auto"/>
          <w:sz w:val="24"/>
          <w:highlight w:val="none"/>
        </w:rPr>
      </w:pPr>
    </w:p>
    <w:p w14:paraId="419F1124">
      <w:pPr>
        <w:adjustRightInd w:val="0"/>
        <w:snapToGrid w:val="0"/>
        <w:spacing w:before="120" w:beforeLines="50" w:line="360" w:lineRule="auto"/>
        <w:jc w:val="center"/>
        <w:rPr>
          <w:b/>
          <w:bCs/>
          <w:color w:val="auto"/>
          <w:sz w:val="24"/>
          <w:highlight w:val="none"/>
        </w:rPr>
      </w:pPr>
    </w:p>
    <w:p w14:paraId="6577CE14">
      <w:pPr>
        <w:adjustRightInd w:val="0"/>
        <w:snapToGrid w:val="0"/>
        <w:spacing w:before="120" w:beforeLines="50" w:line="360" w:lineRule="auto"/>
        <w:rPr>
          <w:b/>
          <w:bCs/>
          <w:color w:val="auto"/>
          <w:sz w:val="24"/>
          <w:highlight w:val="none"/>
        </w:rPr>
      </w:pPr>
    </w:p>
    <w:p w14:paraId="04F01D78">
      <w:pPr>
        <w:adjustRightInd w:val="0"/>
        <w:snapToGrid w:val="0"/>
        <w:spacing w:before="120" w:beforeLines="50" w:line="360" w:lineRule="auto"/>
        <w:rPr>
          <w:b/>
          <w:bCs/>
          <w:color w:val="auto"/>
          <w:sz w:val="24"/>
          <w:highlight w:val="none"/>
        </w:rPr>
      </w:pPr>
    </w:p>
    <w:p w14:paraId="05F87503">
      <w:pPr>
        <w:adjustRightInd w:val="0"/>
        <w:snapToGrid w:val="0"/>
        <w:spacing w:before="120" w:beforeLines="50" w:line="360" w:lineRule="auto"/>
        <w:rPr>
          <w:b/>
          <w:bCs/>
          <w:color w:val="auto"/>
          <w:sz w:val="24"/>
          <w:highlight w:val="none"/>
        </w:rPr>
      </w:pPr>
    </w:p>
    <w:p w14:paraId="1FA6B7C4">
      <w:pPr>
        <w:adjustRightInd w:val="0"/>
        <w:snapToGrid w:val="0"/>
        <w:spacing w:before="120" w:beforeLines="50" w:line="360" w:lineRule="auto"/>
        <w:rPr>
          <w:b/>
          <w:bCs/>
          <w:color w:val="auto"/>
          <w:sz w:val="24"/>
          <w:highlight w:val="none"/>
        </w:rPr>
      </w:pPr>
    </w:p>
    <w:p w14:paraId="27F1DB71">
      <w:pPr>
        <w:adjustRightInd w:val="0"/>
        <w:snapToGrid w:val="0"/>
        <w:spacing w:before="120" w:beforeLines="50" w:line="360" w:lineRule="auto"/>
        <w:rPr>
          <w:b/>
          <w:bCs/>
          <w:color w:val="auto"/>
          <w:sz w:val="24"/>
          <w:highlight w:val="none"/>
        </w:rPr>
      </w:pPr>
    </w:p>
    <w:p w14:paraId="42DEFFF2">
      <w:pPr>
        <w:adjustRightInd w:val="0"/>
        <w:snapToGrid w:val="0"/>
        <w:spacing w:before="120" w:beforeLines="50" w:line="360" w:lineRule="auto"/>
        <w:rPr>
          <w:b/>
          <w:bCs/>
          <w:color w:val="auto"/>
          <w:sz w:val="24"/>
          <w:highlight w:val="none"/>
        </w:rPr>
      </w:pPr>
    </w:p>
    <w:p w14:paraId="301BDC1A">
      <w:pPr>
        <w:adjustRightInd w:val="0"/>
        <w:snapToGrid w:val="0"/>
        <w:spacing w:before="120" w:beforeLines="50" w:line="360" w:lineRule="auto"/>
        <w:rPr>
          <w:b/>
          <w:bCs/>
          <w:color w:val="auto"/>
          <w:sz w:val="24"/>
          <w:highlight w:val="none"/>
        </w:rPr>
      </w:pPr>
    </w:p>
    <w:p w14:paraId="4B4DC526">
      <w:pPr>
        <w:adjustRightInd w:val="0"/>
        <w:snapToGrid w:val="0"/>
        <w:spacing w:before="120" w:beforeLines="50" w:line="360" w:lineRule="auto"/>
        <w:rPr>
          <w:b/>
          <w:bCs/>
          <w:color w:val="auto"/>
          <w:sz w:val="24"/>
          <w:highlight w:val="none"/>
        </w:rPr>
      </w:pPr>
    </w:p>
    <w:p w14:paraId="0FCED8C2">
      <w:pPr>
        <w:adjustRightInd w:val="0"/>
        <w:snapToGrid w:val="0"/>
        <w:spacing w:before="120" w:beforeLines="50" w:line="360" w:lineRule="auto"/>
        <w:rPr>
          <w:b/>
          <w:bCs/>
          <w:color w:val="auto"/>
          <w:sz w:val="24"/>
          <w:highlight w:val="none"/>
        </w:rPr>
      </w:pPr>
    </w:p>
    <w:p w14:paraId="337C7B72">
      <w:pPr>
        <w:adjustRightInd w:val="0"/>
        <w:snapToGrid w:val="0"/>
        <w:spacing w:before="120" w:beforeLines="50" w:line="360" w:lineRule="auto"/>
        <w:rPr>
          <w:b/>
          <w:bCs/>
          <w:color w:val="auto"/>
          <w:sz w:val="24"/>
          <w:highlight w:val="none"/>
        </w:rPr>
      </w:pPr>
    </w:p>
    <w:p w14:paraId="74DD7D6C">
      <w:pPr>
        <w:adjustRightInd w:val="0"/>
        <w:snapToGrid w:val="0"/>
        <w:spacing w:before="120" w:beforeLines="50" w:line="360" w:lineRule="auto"/>
        <w:rPr>
          <w:b/>
          <w:bCs/>
          <w:color w:val="auto"/>
          <w:sz w:val="24"/>
          <w:highlight w:val="none"/>
        </w:rPr>
      </w:pPr>
    </w:p>
    <w:p w14:paraId="65D3976D">
      <w:pPr>
        <w:spacing w:line="360" w:lineRule="auto"/>
        <w:jc w:val="center"/>
        <w:outlineLvl w:val="0"/>
        <w:rPr>
          <w:rFonts w:hint="default" w:ascii="Times New Roman" w:hAnsi="Times New Roman" w:cs="Times New Roman"/>
          <w:b/>
          <w:bCs/>
          <w:color w:val="auto"/>
          <w:sz w:val="28"/>
          <w:szCs w:val="36"/>
          <w:highlight w:val="none"/>
        </w:rPr>
        <w:sectPr>
          <w:pgSz w:w="16838" w:h="11906" w:orient="landscape"/>
          <w:pgMar w:top="720" w:right="720" w:bottom="720" w:left="720" w:header="907" w:footer="850" w:gutter="0"/>
          <w:pgBorders>
            <w:top w:val="none" w:sz="0" w:space="0"/>
            <w:left w:val="none" w:sz="0" w:space="0"/>
            <w:bottom w:val="none" w:sz="0" w:space="0"/>
            <w:right w:val="none" w:sz="0" w:space="0"/>
          </w:pgBorders>
          <w:cols w:space="720" w:num="1"/>
          <w:docGrid w:linePitch="326" w:charSpace="0"/>
        </w:sectPr>
      </w:pPr>
      <w:r>
        <w:rPr>
          <w:rFonts w:hint="eastAsia" w:cs="Times New Roman"/>
          <w:b/>
          <w:bCs/>
          <w:color w:val="auto"/>
          <w:sz w:val="28"/>
          <w:szCs w:val="36"/>
          <w:highlight w:val="none"/>
          <w:lang w:val="en-US" w:eastAsia="zh-CN"/>
        </w:rPr>
        <w:t>附</w:t>
      </w:r>
      <w:r>
        <w:rPr>
          <w:rFonts w:hint="eastAsia" w:ascii="Times New Roman" w:hAnsi="Times New Roman" w:cs="Times New Roman"/>
          <w:b/>
          <w:bCs/>
          <w:color w:val="auto"/>
          <w:sz w:val="28"/>
          <w:szCs w:val="36"/>
          <w:highlight w:val="none"/>
        </w:rPr>
        <w:t>图</w:t>
      </w:r>
      <w:r>
        <w:rPr>
          <w:rFonts w:hint="eastAsia" w:cs="Times New Roman"/>
          <w:b/>
          <w:bCs/>
          <w:color w:val="auto"/>
          <w:sz w:val="28"/>
          <w:szCs w:val="36"/>
          <w:highlight w:val="none"/>
          <w:lang w:val="en-US" w:eastAsia="zh-CN"/>
        </w:rPr>
        <w:t>9</w:t>
      </w:r>
      <w:r>
        <w:rPr>
          <w:rFonts w:hint="default" w:ascii="Times New Roman" w:hAnsi="Times New Roman" w:cs="Times New Roman"/>
          <w:b/>
          <w:bCs/>
          <w:color w:val="auto"/>
          <w:sz w:val="28"/>
          <w:szCs w:val="36"/>
          <w:highlight w:val="none"/>
        </w:rPr>
        <w:t>施工期工艺流程及产生节点图</w:t>
      </w:r>
    </w:p>
    <w:p w14:paraId="752354DD">
      <w:pPr>
        <w:spacing w:line="360" w:lineRule="auto"/>
        <w:jc w:val="center"/>
        <w:outlineLvl w:val="0"/>
        <w:rPr>
          <w:rFonts w:hint="default" w:ascii="Times New Roman" w:hAnsi="Times New Roman" w:cs="Times New Roman"/>
          <w:b/>
          <w:bCs/>
          <w:color w:val="auto"/>
          <w:sz w:val="28"/>
          <w:szCs w:val="36"/>
          <w:highlight w:val="none"/>
        </w:rPr>
      </w:pPr>
    </w:p>
    <w:sectPr>
      <w:pgSz w:w="11906" w:h="16838"/>
      <w:pgMar w:top="720" w:right="720" w:bottom="720" w:left="720" w:header="907" w:footer="850" w:gutter="0"/>
      <w:pgBorders>
        <w:top w:val="none" w:sz="0" w:space="0"/>
        <w:left w:val="none" w:sz="0" w:space="0"/>
        <w:bottom w:val="none" w:sz="0" w:space="0"/>
        <w:right w:val="none" w:sz="0" w:space="0"/>
      </w:pgBorders>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69180C-D1B9-46E2-AFAB-C60AAC02A0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A0F1621-B8F4-49C4-A82F-55112A4BBAF9}"/>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TimesNewRomanPSMT">
    <w:altName w:val="等线"/>
    <w:panose1 w:val="00000000000000000000"/>
    <w:charset w:val="00"/>
    <w:family w:val="roman"/>
    <w:pitch w:val="default"/>
    <w:sig w:usb0="00000000" w:usb1="00000000" w:usb2="00000010" w:usb3="00000000" w:csb0="000E0001"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JMGRVH + TimesNewRoman">
    <w:altName w:val="Times New Roman"/>
    <w:panose1 w:val="00000000000000000000"/>
    <w:charset w:val="00"/>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3" w:fontKey="{D6BAC7BE-DFBD-4559-B944-CB17BE9CABC6}"/>
  </w:font>
  <w:font w:name="微软雅黑">
    <w:panose1 w:val="020B0503020204020204"/>
    <w:charset w:val="86"/>
    <w:family w:val="auto"/>
    <w:pitch w:val="default"/>
    <w:sig w:usb0="80000287" w:usb1="2ACF3C50" w:usb2="00000016" w:usb3="00000000" w:csb0="0004001F" w:csb1="00000000"/>
    <w:embedRegular r:id="rId4" w:fontKey="{CF93503B-C46D-403D-A3C2-380BDACF9623}"/>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4FA83">
    <w:pPr>
      <w:pStyle w:val="18"/>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930352">
                          <w:pPr>
                            <w:pStyle w:val="1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Y/CIzAgAAZAQAAA4AAAAAAAAAAQAgAAAAHwEAAGRycy9lMm9Eb2MueG1sUEsF&#10;BgAAAAAGAAYAWQEAAMQFAAAAAA==&#10;">
              <v:fill on="f" focussize="0,0"/>
              <v:stroke on="f" weight="0.5pt"/>
              <v:imagedata o:title=""/>
              <o:lock v:ext="edit" aspectratio="f"/>
              <v:textbox inset="0mm,0mm,0mm,0mm" style="mso-fit-shape-to-text:t;">
                <w:txbxContent>
                  <w:p w14:paraId="5E930352">
                    <w:pPr>
                      <w:pStyle w:val="1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AC36A">
    <w:pPr>
      <w:pStyle w:val="18"/>
    </w:pPr>
    <w:r>
      <mc:AlternateContent>
        <mc:Choice Requires="wps">
          <w:drawing>
            <wp:anchor distT="0" distB="0" distL="114300" distR="114300" simplePos="0" relativeHeight="251665408" behindDoc="0" locked="0" layoutInCell="1" allowOverlap="1">
              <wp:simplePos x="0" y="0"/>
              <wp:positionH relativeFrom="margin">
                <wp:posOffset>2710815</wp:posOffset>
              </wp:positionH>
              <wp:positionV relativeFrom="paragraph">
                <wp:posOffset>15240</wp:posOffset>
              </wp:positionV>
              <wp:extent cx="254000" cy="228600"/>
              <wp:effectExtent l="0" t="0" r="0" b="0"/>
              <wp:wrapNone/>
              <wp:docPr id="43" name="文本框 7"/>
              <wp:cNvGraphicFramePr/>
              <a:graphic xmlns:a="http://schemas.openxmlformats.org/drawingml/2006/main">
                <a:graphicData uri="http://schemas.microsoft.com/office/word/2010/wordprocessingShape">
                  <wps:wsp>
                    <wps:cNvSpPr txBox="1"/>
                    <wps:spPr>
                      <a:xfrm>
                        <a:off x="0" y="0"/>
                        <a:ext cx="152400"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3B5495">
                          <w:pPr>
                            <w:pStyle w:val="1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13.45pt;margin-top:1.2pt;height:18pt;width:20pt;mso-position-horizontal-relative:margin;z-index:251665408;mso-width-relative:page;mso-height-relative:page;" filled="f" stroked="f" coordsize="21600,21600" o:gfxdata="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8Wiud1wAAAAgBAAAPAAAAAAAAAAEAIAAAACIAAABkcnMvZG93bnJl&#10;di54bWxQSwECFAAUAAAACACHTuJAg84qDzcCAABkBAAADgAAAAAAAAABACAAAAAmAQAAZHJzL2Uy&#10;b0RvYy54bWxQSwUGAAAAAAYABgBZAQAAzwUAAAAA&#10;">
              <v:fill on="f" focussize="0,0"/>
              <v:stroke on="f" weight="0.5pt"/>
              <v:imagedata o:title=""/>
              <o:lock v:ext="edit" aspectratio="f"/>
              <v:textbox inset="0mm,0mm,0mm,0mm">
                <w:txbxContent>
                  <w:p w14:paraId="783B5495">
                    <w:pPr>
                      <w:pStyle w:val="1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23D40">
    <w:pPr>
      <w:tabs>
        <w:tab w:val="center" w:pos="4153"/>
        <w:tab w:val="right" w:pos="8306"/>
      </w:tabs>
      <w:snapToGrid w:val="0"/>
      <w:ind w:right="360"/>
      <w:jc w:val="left"/>
      <w:rPr>
        <w:kern w:val="0"/>
        <w:sz w:val="18"/>
        <w:szCs w:val="20"/>
      </w:rPr>
    </w:pPr>
    <w:r>
      <w:rPr>
        <w:kern w:val="0"/>
        <w:sz w:val="18"/>
        <w:szCs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BE3759">
                          <w:pPr>
                            <w:tabs>
                              <w:tab w:val="center" w:pos="4153"/>
                              <w:tab w:val="right" w:pos="8306"/>
                            </w:tabs>
                            <w:snapToGrid w:val="0"/>
                            <w:jc w:val="left"/>
                            <w:rPr>
                              <w:kern w:val="0"/>
                              <w:sz w:val="40"/>
                              <w:szCs w:val="20"/>
                            </w:rPr>
                          </w:pPr>
                          <w:r>
                            <w:rPr>
                              <w:rFonts w:hint="eastAsia"/>
                              <w:kern w:val="0"/>
                              <w:szCs w:val="20"/>
                            </w:rPr>
                            <w:fldChar w:fldCharType="begin"/>
                          </w:r>
                          <w:r>
                            <w:rPr>
                              <w:rFonts w:hint="eastAsia"/>
                              <w:kern w:val="0"/>
                              <w:szCs w:val="20"/>
                            </w:rPr>
                            <w:instrText xml:space="preserve"> PAGE  \* MERGEFORMAT </w:instrText>
                          </w:r>
                          <w:r>
                            <w:rPr>
                              <w:rFonts w:hint="eastAsia"/>
                              <w:kern w:val="0"/>
                              <w:szCs w:val="20"/>
                            </w:rPr>
                            <w:fldChar w:fldCharType="separate"/>
                          </w:r>
                          <w:r>
                            <w:rPr>
                              <w:kern w:val="0"/>
                              <w:szCs w:val="20"/>
                            </w:rPr>
                            <w:t>69</w:t>
                          </w:r>
                          <w:r>
                            <w:rPr>
                              <w:rFonts w:hint="eastAsia"/>
                              <w:kern w:val="0"/>
                              <w:szCs w:val="20"/>
                            </w:rPr>
                            <w:fldChar w:fldCharType="end"/>
                          </w:r>
                        </w:p>
                      </w:txbxContent>
                    </wps:txbx>
                    <wps:bodyPr vert="horz" wrap="none" lIns="0" tIns="0" rIns="0" bIns="0" anchor="t" anchorCtr="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F7ZxdLgAQAAxAMAAA4AAAAA&#10;AAAAAQAgAAAAHgEAAGRycy9lMm9Eb2MueG1sUEsFBgAAAAAGAAYAWQEAAHAFAAAAAA==&#10;">
              <v:fill on="f" focussize="0,0"/>
              <v:stroke on="f"/>
              <v:imagedata o:title=""/>
              <o:lock v:ext="edit" aspectratio="f"/>
              <v:textbox inset="0mm,0mm,0mm,0mm" style="mso-fit-shape-to-text:t;">
                <w:txbxContent>
                  <w:p w14:paraId="74BE3759">
                    <w:pPr>
                      <w:tabs>
                        <w:tab w:val="center" w:pos="4153"/>
                        <w:tab w:val="right" w:pos="8306"/>
                      </w:tabs>
                      <w:snapToGrid w:val="0"/>
                      <w:jc w:val="left"/>
                      <w:rPr>
                        <w:kern w:val="0"/>
                        <w:sz w:val="40"/>
                        <w:szCs w:val="20"/>
                      </w:rPr>
                    </w:pPr>
                    <w:r>
                      <w:rPr>
                        <w:rFonts w:hint="eastAsia"/>
                        <w:kern w:val="0"/>
                        <w:szCs w:val="20"/>
                      </w:rPr>
                      <w:fldChar w:fldCharType="begin"/>
                    </w:r>
                    <w:r>
                      <w:rPr>
                        <w:rFonts w:hint="eastAsia"/>
                        <w:kern w:val="0"/>
                        <w:szCs w:val="20"/>
                      </w:rPr>
                      <w:instrText xml:space="preserve"> PAGE  \* MERGEFORMAT </w:instrText>
                    </w:r>
                    <w:r>
                      <w:rPr>
                        <w:rFonts w:hint="eastAsia"/>
                        <w:kern w:val="0"/>
                        <w:szCs w:val="20"/>
                      </w:rPr>
                      <w:fldChar w:fldCharType="separate"/>
                    </w:r>
                    <w:r>
                      <w:rPr>
                        <w:kern w:val="0"/>
                        <w:szCs w:val="20"/>
                      </w:rPr>
                      <w:t>69</w:t>
                    </w:r>
                    <w:r>
                      <w:rPr>
                        <w:rFonts w:hint="eastAsia"/>
                        <w:kern w:val="0"/>
                        <w:szCs w:val="2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68CE0">
    <w:pPr>
      <w:pStyle w:val="1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A5240">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65858">
    <w:pPr>
      <w:pStyle w:val="1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1D4FE">
    <w:pPr>
      <w:pStyle w:val="1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4BD44">
    <w:pPr>
      <w:pStyle w:val="19"/>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6FB72">
    <w:pPr>
      <w:snapToGrid w:val="0"/>
      <w:jc w:val="center"/>
      <w:rPr>
        <w:rFonts w:ascii="Calibri" w:hAnsi="Calibr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A2E794"/>
    <w:multiLevelType w:val="singleLevel"/>
    <w:tmpl w:val="F6A2E794"/>
    <w:lvl w:ilvl="0" w:tentative="0">
      <w:start w:val="2"/>
      <w:numFmt w:val="chineseCounting"/>
      <w:suff w:val="nothing"/>
      <w:lvlText w:val="%1、"/>
      <w:lvlJc w:val="left"/>
      <w:rPr>
        <w:rFonts w:hint="eastAsia"/>
      </w:rPr>
    </w:lvl>
  </w:abstractNum>
  <w:abstractNum w:abstractNumId="1">
    <w:nsid w:val="1C7ADCEA"/>
    <w:multiLevelType w:val="singleLevel"/>
    <w:tmpl w:val="1C7ADCEA"/>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2">
    <w:nsid w:val="5B367483"/>
    <w:multiLevelType w:val="multilevel"/>
    <w:tmpl w:val="5B367483"/>
    <w:lvl w:ilvl="0" w:tentative="0">
      <w:start w:val="1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pStyle w:val="4"/>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6F2B617E"/>
    <w:multiLevelType w:val="singleLevel"/>
    <w:tmpl w:val="6F2B617E"/>
    <w:lvl w:ilvl="0" w:tentative="0">
      <w:start w:val="1"/>
      <w:numFmt w:val="chineseCounting"/>
      <w:suff w:val="nothing"/>
      <w:lvlText w:val="%1、"/>
      <w:lvlJc w:val="left"/>
      <w:rPr>
        <w:rFonts w:hint="eastAsia"/>
      </w:rPr>
    </w:lvl>
  </w:abstractNum>
  <w:abstractNum w:abstractNumId="4">
    <w:nsid w:val="7F2A0187"/>
    <w:multiLevelType w:val="singleLevel"/>
    <w:tmpl w:val="7F2A0187"/>
    <w:lvl w:ilvl="0" w:tentative="0">
      <w:start w:val="1"/>
      <w:numFmt w:val="decimal"/>
      <w:pStyle w:val="86"/>
      <w:suff w:val="space"/>
      <w:lvlText w:val="表%1"/>
      <w:lvlJc w:val="left"/>
      <w:pPr>
        <w:tabs>
          <w:tab w:val="left" w:pos="0"/>
        </w:tabs>
        <w:ind w:left="0" w:firstLine="0"/>
      </w:pPr>
      <w:rPr>
        <w:rFonts w:hint="default" w:ascii="Times New Roman" w:hAnsi="Times New Roman" w:eastAsia="黑体" w:cs="宋体"/>
        <w:sz w:val="21"/>
        <w:highlight w:val="green"/>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0M2FkMWU0ZjVhYjgzOTE4M2U1NTc1MTg3ZWVmNzMifQ=="/>
  </w:docVars>
  <w:rsids>
    <w:rsidRoot w:val="00172A27"/>
    <w:rsid w:val="000045CA"/>
    <w:rsid w:val="00005F5C"/>
    <w:rsid w:val="000060B3"/>
    <w:rsid w:val="00006157"/>
    <w:rsid w:val="00016B61"/>
    <w:rsid w:val="00017480"/>
    <w:rsid w:val="00020B49"/>
    <w:rsid w:val="00022B83"/>
    <w:rsid w:val="0002316E"/>
    <w:rsid w:val="0002371D"/>
    <w:rsid w:val="00025FD2"/>
    <w:rsid w:val="00027C81"/>
    <w:rsid w:val="0003098F"/>
    <w:rsid w:val="00033809"/>
    <w:rsid w:val="00033851"/>
    <w:rsid w:val="00034052"/>
    <w:rsid w:val="0003645C"/>
    <w:rsid w:val="000405CA"/>
    <w:rsid w:val="00042C0A"/>
    <w:rsid w:val="0004302B"/>
    <w:rsid w:val="0004364B"/>
    <w:rsid w:val="000438CA"/>
    <w:rsid w:val="00043FE0"/>
    <w:rsid w:val="00044D97"/>
    <w:rsid w:val="0004655B"/>
    <w:rsid w:val="00051823"/>
    <w:rsid w:val="00052D47"/>
    <w:rsid w:val="0005515C"/>
    <w:rsid w:val="00055B17"/>
    <w:rsid w:val="00055EDF"/>
    <w:rsid w:val="0005705E"/>
    <w:rsid w:val="00057BF5"/>
    <w:rsid w:val="00060483"/>
    <w:rsid w:val="00061B1F"/>
    <w:rsid w:val="00061DB7"/>
    <w:rsid w:val="0006296D"/>
    <w:rsid w:val="00063273"/>
    <w:rsid w:val="00063E31"/>
    <w:rsid w:val="00064BED"/>
    <w:rsid w:val="00065CBF"/>
    <w:rsid w:val="00067330"/>
    <w:rsid w:val="00067A3A"/>
    <w:rsid w:val="00070964"/>
    <w:rsid w:val="000733C4"/>
    <w:rsid w:val="0007378A"/>
    <w:rsid w:val="00073CE6"/>
    <w:rsid w:val="00074783"/>
    <w:rsid w:val="00074F67"/>
    <w:rsid w:val="00075715"/>
    <w:rsid w:val="000800D4"/>
    <w:rsid w:val="0008070B"/>
    <w:rsid w:val="000810AC"/>
    <w:rsid w:val="00081A02"/>
    <w:rsid w:val="00082231"/>
    <w:rsid w:val="00082C15"/>
    <w:rsid w:val="000835A4"/>
    <w:rsid w:val="00084848"/>
    <w:rsid w:val="000851A9"/>
    <w:rsid w:val="00086876"/>
    <w:rsid w:val="00086FCA"/>
    <w:rsid w:val="000875E1"/>
    <w:rsid w:val="00090228"/>
    <w:rsid w:val="00090FCA"/>
    <w:rsid w:val="00091112"/>
    <w:rsid w:val="000924AD"/>
    <w:rsid w:val="000928CF"/>
    <w:rsid w:val="00092A09"/>
    <w:rsid w:val="00092CCC"/>
    <w:rsid w:val="00092D38"/>
    <w:rsid w:val="0009377B"/>
    <w:rsid w:val="000961D3"/>
    <w:rsid w:val="00096AAF"/>
    <w:rsid w:val="0009700D"/>
    <w:rsid w:val="000A0149"/>
    <w:rsid w:val="000A01F3"/>
    <w:rsid w:val="000A1AD1"/>
    <w:rsid w:val="000A20C9"/>
    <w:rsid w:val="000A33A6"/>
    <w:rsid w:val="000A35CB"/>
    <w:rsid w:val="000A4972"/>
    <w:rsid w:val="000A502E"/>
    <w:rsid w:val="000A6975"/>
    <w:rsid w:val="000B0269"/>
    <w:rsid w:val="000B058F"/>
    <w:rsid w:val="000B272D"/>
    <w:rsid w:val="000B2F7C"/>
    <w:rsid w:val="000B30C9"/>
    <w:rsid w:val="000B4467"/>
    <w:rsid w:val="000B4DB9"/>
    <w:rsid w:val="000C09AC"/>
    <w:rsid w:val="000C1164"/>
    <w:rsid w:val="000C494F"/>
    <w:rsid w:val="000C49FD"/>
    <w:rsid w:val="000C5925"/>
    <w:rsid w:val="000C67F6"/>
    <w:rsid w:val="000C7119"/>
    <w:rsid w:val="000C767F"/>
    <w:rsid w:val="000D0FA1"/>
    <w:rsid w:val="000D2DCB"/>
    <w:rsid w:val="000D4951"/>
    <w:rsid w:val="000D4BAD"/>
    <w:rsid w:val="000D5A44"/>
    <w:rsid w:val="000D71A3"/>
    <w:rsid w:val="000D74B7"/>
    <w:rsid w:val="000D778A"/>
    <w:rsid w:val="000D7E02"/>
    <w:rsid w:val="000E3C6B"/>
    <w:rsid w:val="000E3ED2"/>
    <w:rsid w:val="000E52DF"/>
    <w:rsid w:val="000F3151"/>
    <w:rsid w:val="000F3F8E"/>
    <w:rsid w:val="000F3FE6"/>
    <w:rsid w:val="000F6102"/>
    <w:rsid w:val="00100B50"/>
    <w:rsid w:val="00100DDA"/>
    <w:rsid w:val="001050AF"/>
    <w:rsid w:val="00105771"/>
    <w:rsid w:val="00105B8E"/>
    <w:rsid w:val="00105CF8"/>
    <w:rsid w:val="00105D92"/>
    <w:rsid w:val="00106EEB"/>
    <w:rsid w:val="00106F70"/>
    <w:rsid w:val="001106D9"/>
    <w:rsid w:val="001108C9"/>
    <w:rsid w:val="0011315A"/>
    <w:rsid w:val="001138A3"/>
    <w:rsid w:val="00114161"/>
    <w:rsid w:val="00114BA6"/>
    <w:rsid w:val="001169A5"/>
    <w:rsid w:val="00116C06"/>
    <w:rsid w:val="00120CF5"/>
    <w:rsid w:val="00130262"/>
    <w:rsid w:val="00131F42"/>
    <w:rsid w:val="00133EF8"/>
    <w:rsid w:val="00134AD0"/>
    <w:rsid w:val="00134ADF"/>
    <w:rsid w:val="001353B6"/>
    <w:rsid w:val="001353F2"/>
    <w:rsid w:val="001357F1"/>
    <w:rsid w:val="001373A2"/>
    <w:rsid w:val="001401CA"/>
    <w:rsid w:val="00140FA8"/>
    <w:rsid w:val="00142F90"/>
    <w:rsid w:val="00142FEB"/>
    <w:rsid w:val="00143A2D"/>
    <w:rsid w:val="00143B23"/>
    <w:rsid w:val="00145A41"/>
    <w:rsid w:val="00145E8E"/>
    <w:rsid w:val="001471C4"/>
    <w:rsid w:val="00147710"/>
    <w:rsid w:val="00147B12"/>
    <w:rsid w:val="00147EA8"/>
    <w:rsid w:val="001510E5"/>
    <w:rsid w:val="00151671"/>
    <w:rsid w:val="00151675"/>
    <w:rsid w:val="00152DAA"/>
    <w:rsid w:val="001540E7"/>
    <w:rsid w:val="00155347"/>
    <w:rsid w:val="0015556F"/>
    <w:rsid w:val="00155B8B"/>
    <w:rsid w:val="00155F98"/>
    <w:rsid w:val="00156AEF"/>
    <w:rsid w:val="00157435"/>
    <w:rsid w:val="0016298D"/>
    <w:rsid w:val="00163A75"/>
    <w:rsid w:val="00164BA9"/>
    <w:rsid w:val="0016507C"/>
    <w:rsid w:val="00166E85"/>
    <w:rsid w:val="001673F5"/>
    <w:rsid w:val="00167439"/>
    <w:rsid w:val="00171239"/>
    <w:rsid w:val="00171DC1"/>
    <w:rsid w:val="0017224D"/>
    <w:rsid w:val="00172A27"/>
    <w:rsid w:val="00173532"/>
    <w:rsid w:val="00174C96"/>
    <w:rsid w:val="0017504D"/>
    <w:rsid w:val="0017671A"/>
    <w:rsid w:val="00177422"/>
    <w:rsid w:val="00180AF0"/>
    <w:rsid w:val="00180C09"/>
    <w:rsid w:val="00181D4D"/>
    <w:rsid w:val="001835D0"/>
    <w:rsid w:val="001842BF"/>
    <w:rsid w:val="00184590"/>
    <w:rsid w:val="001845DF"/>
    <w:rsid w:val="00185713"/>
    <w:rsid w:val="0018646B"/>
    <w:rsid w:val="001870D1"/>
    <w:rsid w:val="0018781E"/>
    <w:rsid w:val="00187ECC"/>
    <w:rsid w:val="00190B8E"/>
    <w:rsid w:val="00192365"/>
    <w:rsid w:val="0019262D"/>
    <w:rsid w:val="00192D97"/>
    <w:rsid w:val="001944BE"/>
    <w:rsid w:val="001967C7"/>
    <w:rsid w:val="00196847"/>
    <w:rsid w:val="00197AF3"/>
    <w:rsid w:val="001A1B35"/>
    <w:rsid w:val="001A1C08"/>
    <w:rsid w:val="001A3E95"/>
    <w:rsid w:val="001A46D0"/>
    <w:rsid w:val="001A48A2"/>
    <w:rsid w:val="001A4F03"/>
    <w:rsid w:val="001A5504"/>
    <w:rsid w:val="001A6F61"/>
    <w:rsid w:val="001A786E"/>
    <w:rsid w:val="001B5956"/>
    <w:rsid w:val="001B61B5"/>
    <w:rsid w:val="001B72B8"/>
    <w:rsid w:val="001B76E3"/>
    <w:rsid w:val="001B7F88"/>
    <w:rsid w:val="001C01B9"/>
    <w:rsid w:val="001C11F0"/>
    <w:rsid w:val="001C1877"/>
    <w:rsid w:val="001C1E0B"/>
    <w:rsid w:val="001C25C5"/>
    <w:rsid w:val="001C3DE1"/>
    <w:rsid w:val="001C3F2D"/>
    <w:rsid w:val="001C4231"/>
    <w:rsid w:val="001C670B"/>
    <w:rsid w:val="001C69B3"/>
    <w:rsid w:val="001D4CF7"/>
    <w:rsid w:val="001D4E28"/>
    <w:rsid w:val="001D543D"/>
    <w:rsid w:val="001D5595"/>
    <w:rsid w:val="001D57F0"/>
    <w:rsid w:val="001D7874"/>
    <w:rsid w:val="001D7F22"/>
    <w:rsid w:val="001E30E5"/>
    <w:rsid w:val="001E3981"/>
    <w:rsid w:val="001E4489"/>
    <w:rsid w:val="001E5666"/>
    <w:rsid w:val="001E5707"/>
    <w:rsid w:val="001E6490"/>
    <w:rsid w:val="001E64ED"/>
    <w:rsid w:val="001E6769"/>
    <w:rsid w:val="001E76CA"/>
    <w:rsid w:val="001F0F17"/>
    <w:rsid w:val="001F3347"/>
    <w:rsid w:val="001F4141"/>
    <w:rsid w:val="001F5784"/>
    <w:rsid w:val="001F69E4"/>
    <w:rsid w:val="002019D0"/>
    <w:rsid w:val="00203743"/>
    <w:rsid w:val="00204549"/>
    <w:rsid w:val="002068AA"/>
    <w:rsid w:val="00206CE1"/>
    <w:rsid w:val="00207EDF"/>
    <w:rsid w:val="002106C8"/>
    <w:rsid w:val="002109E5"/>
    <w:rsid w:val="00211DD1"/>
    <w:rsid w:val="002125B4"/>
    <w:rsid w:val="00213B46"/>
    <w:rsid w:val="002151EF"/>
    <w:rsid w:val="002155B8"/>
    <w:rsid w:val="00217DEF"/>
    <w:rsid w:val="002209E3"/>
    <w:rsid w:val="002214BA"/>
    <w:rsid w:val="00221F56"/>
    <w:rsid w:val="002233D2"/>
    <w:rsid w:val="00223D99"/>
    <w:rsid w:val="00224839"/>
    <w:rsid w:val="002249B2"/>
    <w:rsid w:val="00226574"/>
    <w:rsid w:val="002278EC"/>
    <w:rsid w:val="00227949"/>
    <w:rsid w:val="00231BE8"/>
    <w:rsid w:val="0023280E"/>
    <w:rsid w:val="00234FF7"/>
    <w:rsid w:val="00236755"/>
    <w:rsid w:val="00237239"/>
    <w:rsid w:val="002372AE"/>
    <w:rsid w:val="002377D1"/>
    <w:rsid w:val="00242FAF"/>
    <w:rsid w:val="00243755"/>
    <w:rsid w:val="0024582E"/>
    <w:rsid w:val="00245E64"/>
    <w:rsid w:val="00246F58"/>
    <w:rsid w:val="00247CE4"/>
    <w:rsid w:val="002506BC"/>
    <w:rsid w:val="002509AA"/>
    <w:rsid w:val="00251F6E"/>
    <w:rsid w:val="00254345"/>
    <w:rsid w:val="00254D95"/>
    <w:rsid w:val="002551AD"/>
    <w:rsid w:val="002558DF"/>
    <w:rsid w:val="00255A47"/>
    <w:rsid w:val="00255DC2"/>
    <w:rsid w:val="0025613B"/>
    <w:rsid w:val="0025617A"/>
    <w:rsid w:val="00256812"/>
    <w:rsid w:val="00262194"/>
    <w:rsid w:val="00264557"/>
    <w:rsid w:val="00265648"/>
    <w:rsid w:val="00267774"/>
    <w:rsid w:val="002678DE"/>
    <w:rsid w:val="00270770"/>
    <w:rsid w:val="00273CF7"/>
    <w:rsid w:val="00273DC0"/>
    <w:rsid w:val="002755E7"/>
    <w:rsid w:val="00275DDE"/>
    <w:rsid w:val="00276330"/>
    <w:rsid w:val="00276E86"/>
    <w:rsid w:val="002805AB"/>
    <w:rsid w:val="002829D4"/>
    <w:rsid w:val="0028343E"/>
    <w:rsid w:val="00284204"/>
    <w:rsid w:val="00284C12"/>
    <w:rsid w:val="00285FF5"/>
    <w:rsid w:val="00287ECD"/>
    <w:rsid w:val="00287F09"/>
    <w:rsid w:val="00291773"/>
    <w:rsid w:val="00292246"/>
    <w:rsid w:val="0029347C"/>
    <w:rsid w:val="00295C34"/>
    <w:rsid w:val="00296828"/>
    <w:rsid w:val="00296C18"/>
    <w:rsid w:val="00297410"/>
    <w:rsid w:val="002A054C"/>
    <w:rsid w:val="002A168C"/>
    <w:rsid w:val="002A1F85"/>
    <w:rsid w:val="002A2F2A"/>
    <w:rsid w:val="002A3689"/>
    <w:rsid w:val="002A3DC7"/>
    <w:rsid w:val="002A4040"/>
    <w:rsid w:val="002A6E5C"/>
    <w:rsid w:val="002B14EC"/>
    <w:rsid w:val="002B17AF"/>
    <w:rsid w:val="002B3D5C"/>
    <w:rsid w:val="002B43CC"/>
    <w:rsid w:val="002B4629"/>
    <w:rsid w:val="002B49E2"/>
    <w:rsid w:val="002B68A4"/>
    <w:rsid w:val="002B6923"/>
    <w:rsid w:val="002B7B00"/>
    <w:rsid w:val="002B7C44"/>
    <w:rsid w:val="002C0400"/>
    <w:rsid w:val="002C2B17"/>
    <w:rsid w:val="002C2D5D"/>
    <w:rsid w:val="002C4668"/>
    <w:rsid w:val="002C57B4"/>
    <w:rsid w:val="002C6D20"/>
    <w:rsid w:val="002C7D63"/>
    <w:rsid w:val="002D06B4"/>
    <w:rsid w:val="002D2825"/>
    <w:rsid w:val="002D2C0E"/>
    <w:rsid w:val="002D3DD0"/>
    <w:rsid w:val="002E0F9E"/>
    <w:rsid w:val="002E1007"/>
    <w:rsid w:val="002E1F3A"/>
    <w:rsid w:val="002E298A"/>
    <w:rsid w:val="002E2B4B"/>
    <w:rsid w:val="002E2E24"/>
    <w:rsid w:val="002E2FEC"/>
    <w:rsid w:val="002E4829"/>
    <w:rsid w:val="002E4E2F"/>
    <w:rsid w:val="002F0DF5"/>
    <w:rsid w:val="002F6F3E"/>
    <w:rsid w:val="003007D1"/>
    <w:rsid w:val="003008D3"/>
    <w:rsid w:val="00301978"/>
    <w:rsid w:val="00302446"/>
    <w:rsid w:val="0030332C"/>
    <w:rsid w:val="0030345E"/>
    <w:rsid w:val="00303F39"/>
    <w:rsid w:val="00304068"/>
    <w:rsid w:val="003051C2"/>
    <w:rsid w:val="0030560A"/>
    <w:rsid w:val="00305B25"/>
    <w:rsid w:val="00305C8F"/>
    <w:rsid w:val="003068BF"/>
    <w:rsid w:val="00312237"/>
    <w:rsid w:val="00312296"/>
    <w:rsid w:val="00312E8C"/>
    <w:rsid w:val="0031489E"/>
    <w:rsid w:val="00314F0E"/>
    <w:rsid w:val="00315A6D"/>
    <w:rsid w:val="003168B8"/>
    <w:rsid w:val="00316BAF"/>
    <w:rsid w:val="00316BB8"/>
    <w:rsid w:val="00316D90"/>
    <w:rsid w:val="00316FE0"/>
    <w:rsid w:val="0031756B"/>
    <w:rsid w:val="00321D8E"/>
    <w:rsid w:val="00322A94"/>
    <w:rsid w:val="0032393D"/>
    <w:rsid w:val="003243FA"/>
    <w:rsid w:val="00325928"/>
    <w:rsid w:val="00325993"/>
    <w:rsid w:val="00325B6B"/>
    <w:rsid w:val="003267FB"/>
    <w:rsid w:val="00326FA8"/>
    <w:rsid w:val="003306CA"/>
    <w:rsid w:val="00330A0D"/>
    <w:rsid w:val="00330F26"/>
    <w:rsid w:val="00331D7A"/>
    <w:rsid w:val="00332863"/>
    <w:rsid w:val="00332A0C"/>
    <w:rsid w:val="00332CB2"/>
    <w:rsid w:val="00332DA4"/>
    <w:rsid w:val="003333B7"/>
    <w:rsid w:val="00333CDA"/>
    <w:rsid w:val="0033480D"/>
    <w:rsid w:val="003366A7"/>
    <w:rsid w:val="0033684D"/>
    <w:rsid w:val="00337B42"/>
    <w:rsid w:val="0034032D"/>
    <w:rsid w:val="0034067A"/>
    <w:rsid w:val="00340CC7"/>
    <w:rsid w:val="0034197D"/>
    <w:rsid w:val="00341B42"/>
    <w:rsid w:val="00342FF5"/>
    <w:rsid w:val="0034348F"/>
    <w:rsid w:val="00343BD3"/>
    <w:rsid w:val="00343D4A"/>
    <w:rsid w:val="00345355"/>
    <w:rsid w:val="00345FCA"/>
    <w:rsid w:val="0034697C"/>
    <w:rsid w:val="00347355"/>
    <w:rsid w:val="00347C3E"/>
    <w:rsid w:val="0035114E"/>
    <w:rsid w:val="00351871"/>
    <w:rsid w:val="003519EF"/>
    <w:rsid w:val="00351C7B"/>
    <w:rsid w:val="00352A16"/>
    <w:rsid w:val="00352F71"/>
    <w:rsid w:val="00353167"/>
    <w:rsid w:val="00354069"/>
    <w:rsid w:val="00356653"/>
    <w:rsid w:val="0035743F"/>
    <w:rsid w:val="00357BE2"/>
    <w:rsid w:val="0036170C"/>
    <w:rsid w:val="003622B1"/>
    <w:rsid w:val="00362D11"/>
    <w:rsid w:val="00363729"/>
    <w:rsid w:val="003637C7"/>
    <w:rsid w:val="00364088"/>
    <w:rsid w:val="003644B5"/>
    <w:rsid w:val="00366E0F"/>
    <w:rsid w:val="00367868"/>
    <w:rsid w:val="00367A8F"/>
    <w:rsid w:val="0037072C"/>
    <w:rsid w:val="0037399E"/>
    <w:rsid w:val="00374979"/>
    <w:rsid w:val="00376D01"/>
    <w:rsid w:val="00377EC7"/>
    <w:rsid w:val="00381A72"/>
    <w:rsid w:val="00384676"/>
    <w:rsid w:val="00386FAA"/>
    <w:rsid w:val="00387A07"/>
    <w:rsid w:val="00387A53"/>
    <w:rsid w:val="00387FB8"/>
    <w:rsid w:val="00390857"/>
    <w:rsid w:val="00392210"/>
    <w:rsid w:val="00393BA8"/>
    <w:rsid w:val="003942FC"/>
    <w:rsid w:val="0039481C"/>
    <w:rsid w:val="0039510D"/>
    <w:rsid w:val="0039541E"/>
    <w:rsid w:val="00395DE1"/>
    <w:rsid w:val="00395F34"/>
    <w:rsid w:val="00396394"/>
    <w:rsid w:val="003A0AE6"/>
    <w:rsid w:val="003A0FEC"/>
    <w:rsid w:val="003A21D0"/>
    <w:rsid w:val="003A296C"/>
    <w:rsid w:val="003A35FD"/>
    <w:rsid w:val="003A4BF3"/>
    <w:rsid w:val="003A6A0A"/>
    <w:rsid w:val="003A7879"/>
    <w:rsid w:val="003B1D17"/>
    <w:rsid w:val="003B20C1"/>
    <w:rsid w:val="003B2EF8"/>
    <w:rsid w:val="003B3E3C"/>
    <w:rsid w:val="003B420D"/>
    <w:rsid w:val="003B45EC"/>
    <w:rsid w:val="003B692C"/>
    <w:rsid w:val="003B7D36"/>
    <w:rsid w:val="003C0933"/>
    <w:rsid w:val="003C1D24"/>
    <w:rsid w:val="003C203E"/>
    <w:rsid w:val="003C2A72"/>
    <w:rsid w:val="003C3483"/>
    <w:rsid w:val="003C4915"/>
    <w:rsid w:val="003C5737"/>
    <w:rsid w:val="003C663D"/>
    <w:rsid w:val="003C6C16"/>
    <w:rsid w:val="003C7E2F"/>
    <w:rsid w:val="003D0BE6"/>
    <w:rsid w:val="003D101D"/>
    <w:rsid w:val="003D1A46"/>
    <w:rsid w:val="003D1B99"/>
    <w:rsid w:val="003D2ADA"/>
    <w:rsid w:val="003D32A3"/>
    <w:rsid w:val="003D4755"/>
    <w:rsid w:val="003D794D"/>
    <w:rsid w:val="003D7C16"/>
    <w:rsid w:val="003E13F0"/>
    <w:rsid w:val="003E3058"/>
    <w:rsid w:val="003E76A9"/>
    <w:rsid w:val="003F0809"/>
    <w:rsid w:val="003F2A02"/>
    <w:rsid w:val="003F3786"/>
    <w:rsid w:val="003F50B2"/>
    <w:rsid w:val="003F6A8C"/>
    <w:rsid w:val="003F71BB"/>
    <w:rsid w:val="003F755C"/>
    <w:rsid w:val="003F7599"/>
    <w:rsid w:val="004023D2"/>
    <w:rsid w:val="00402430"/>
    <w:rsid w:val="0040266E"/>
    <w:rsid w:val="00402A00"/>
    <w:rsid w:val="00402FD1"/>
    <w:rsid w:val="00403F28"/>
    <w:rsid w:val="0040470C"/>
    <w:rsid w:val="004062AF"/>
    <w:rsid w:val="00406F01"/>
    <w:rsid w:val="00407F52"/>
    <w:rsid w:val="00410921"/>
    <w:rsid w:val="00412E5B"/>
    <w:rsid w:val="004136A3"/>
    <w:rsid w:val="0041373E"/>
    <w:rsid w:val="00413D0C"/>
    <w:rsid w:val="0041429C"/>
    <w:rsid w:val="004149AE"/>
    <w:rsid w:val="0041548B"/>
    <w:rsid w:val="004157C7"/>
    <w:rsid w:val="00416439"/>
    <w:rsid w:val="00416D50"/>
    <w:rsid w:val="00416DB9"/>
    <w:rsid w:val="00416FD5"/>
    <w:rsid w:val="00417772"/>
    <w:rsid w:val="00420447"/>
    <w:rsid w:val="00420E6A"/>
    <w:rsid w:val="004230A8"/>
    <w:rsid w:val="004236AC"/>
    <w:rsid w:val="00425030"/>
    <w:rsid w:val="00425471"/>
    <w:rsid w:val="00425A9E"/>
    <w:rsid w:val="00426B81"/>
    <w:rsid w:val="00426D6B"/>
    <w:rsid w:val="00427005"/>
    <w:rsid w:val="00427596"/>
    <w:rsid w:val="00431E6C"/>
    <w:rsid w:val="00432990"/>
    <w:rsid w:val="0043327C"/>
    <w:rsid w:val="0043378D"/>
    <w:rsid w:val="00433CE7"/>
    <w:rsid w:val="00433E7F"/>
    <w:rsid w:val="00434680"/>
    <w:rsid w:val="00441BEB"/>
    <w:rsid w:val="00443B15"/>
    <w:rsid w:val="00444ED6"/>
    <w:rsid w:val="004506FD"/>
    <w:rsid w:val="0045127F"/>
    <w:rsid w:val="0045157E"/>
    <w:rsid w:val="00452738"/>
    <w:rsid w:val="00452D16"/>
    <w:rsid w:val="00453143"/>
    <w:rsid w:val="00453A02"/>
    <w:rsid w:val="0045532D"/>
    <w:rsid w:val="00456091"/>
    <w:rsid w:val="00456468"/>
    <w:rsid w:val="00457BB6"/>
    <w:rsid w:val="00464578"/>
    <w:rsid w:val="00464F32"/>
    <w:rsid w:val="00465F21"/>
    <w:rsid w:val="00466321"/>
    <w:rsid w:val="00467F62"/>
    <w:rsid w:val="00470675"/>
    <w:rsid w:val="00470E38"/>
    <w:rsid w:val="004714A4"/>
    <w:rsid w:val="00471B5B"/>
    <w:rsid w:val="0047418A"/>
    <w:rsid w:val="00475212"/>
    <w:rsid w:val="00475507"/>
    <w:rsid w:val="00475874"/>
    <w:rsid w:val="00477A5D"/>
    <w:rsid w:val="00480F9A"/>
    <w:rsid w:val="00481A93"/>
    <w:rsid w:val="00483A52"/>
    <w:rsid w:val="00484B9B"/>
    <w:rsid w:val="004855F6"/>
    <w:rsid w:val="00485E5C"/>
    <w:rsid w:val="0048661E"/>
    <w:rsid w:val="00494670"/>
    <w:rsid w:val="0049542D"/>
    <w:rsid w:val="004960B5"/>
    <w:rsid w:val="004967F7"/>
    <w:rsid w:val="00496CAB"/>
    <w:rsid w:val="0049752B"/>
    <w:rsid w:val="004A0A3B"/>
    <w:rsid w:val="004A1EAE"/>
    <w:rsid w:val="004A3823"/>
    <w:rsid w:val="004A3F6B"/>
    <w:rsid w:val="004A4174"/>
    <w:rsid w:val="004A43A5"/>
    <w:rsid w:val="004A5067"/>
    <w:rsid w:val="004A56B4"/>
    <w:rsid w:val="004A644F"/>
    <w:rsid w:val="004A6DB3"/>
    <w:rsid w:val="004A77E5"/>
    <w:rsid w:val="004A7EEC"/>
    <w:rsid w:val="004B1A4F"/>
    <w:rsid w:val="004B28EB"/>
    <w:rsid w:val="004B360F"/>
    <w:rsid w:val="004B3C80"/>
    <w:rsid w:val="004B3CD8"/>
    <w:rsid w:val="004B465B"/>
    <w:rsid w:val="004B490F"/>
    <w:rsid w:val="004B55DA"/>
    <w:rsid w:val="004B583B"/>
    <w:rsid w:val="004B779B"/>
    <w:rsid w:val="004C06BD"/>
    <w:rsid w:val="004C0B98"/>
    <w:rsid w:val="004C1163"/>
    <w:rsid w:val="004C1A95"/>
    <w:rsid w:val="004C52BB"/>
    <w:rsid w:val="004C558E"/>
    <w:rsid w:val="004D184B"/>
    <w:rsid w:val="004D1F38"/>
    <w:rsid w:val="004D3E91"/>
    <w:rsid w:val="004D6059"/>
    <w:rsid w:val="004D68D2"/>
    <w:rsid w:val="004D693C"/>
    <w:rsid w:val="004D69F4"/>
    <w:rsid w:val="004D6C78"/>
    <w:rsid w:val="004E1146"/>
    <w:rsid w:val="004E3CE0"/>
    <w:rsid w:val="004E67AE"/>
    <w:rsid w:val="004E6946"/>
    <w:rsid w:val="004E6AAB"/>
    <w:rsid w:val="004E70BA"/>
    <w:rsid w:val="004F0042"/>
    <w:rsid w:val="004F0AA2"/>
    <w:rsid w:val="004F156D"/>
    <w:rsid w:val="004F1A7B"/>
    <w:rsid w:val="004F1AD8"/>
    <w:rsid w:val="004F411B"/>
    <w:rsid w:val="005026DD"/>
    <w:rsid w:val="005031E5"/>
    <w:rsid w:val="005039CB"/>
    <w:rsid w:val="00504122"/>
    <w:rsid w:val="0050558F"/>
    <w:rsid w:val="0050586A"/>
    <w:rsid w:val="00506286"/>
    <w:rsid w:val="00507DA6"/>
    <w:rsid w:val="00510813"/>
    <w:rsid w:val="00510C5C"/>
    <w:rsid w:val="00511990"/>
    <w:rsid w:val="00511DE0"/>
    <w:rsid w:val="00513334"/>
    <w:rsid w:val="00513B55"/>
    <w:rsid w:val="00514870"/>
    <w:rsid w:val="00514B9B"/>
    <w:rsid w:val="00514D26"/>
    <w:rsid w:val="00516BB5"/>
    <w:rsid w:val="00517724"/>
    <w:rsid w:val="00517F02"/>
    <w:rsid w:val="00524303"/>
    <w:rsid w:val="005258A2"/>
    <w:rsid w:val="00525E22"/>
    <w:rsid w:val="00530B89"/>
    <w:rsid w:val="00533507"/>
    <w:rsid w:val="00533F68"/>
    <w:rsid w:val="005345AD"/>
    <w:rsid w:val="00536F85"/>
    <w:rsid w:val="005400EC"/>
    <w:rsid w:val="005401AE"/>
    <w:rsid w:val="00540611"/>
    <w:rsid w:val="00541334"/>
    <w:rsid w:val="00541A3B"/>
    <w:rsid w:val="00541B70"/>
    <w:rsid w:val="00541F66"/>
    <w:rsid w:val="00542099"/>
    <w:rsid w:val="00542E07"/>
    <w:rsid w:val="00544BA5"/>
    <w:rsid w:val="00545424"/>
    <w:rsid w:val="005456C0"/>
    <w:rsid w:val="00545C6C"/>
    <w:rsid w:val="00546104"/>
    <w:rsid w:val="0055129D"/>
    <w:rsid w:val="00551682"/>
    <w:rsid w:val="0055457B"/>
    <w:rsid w:val="00554A7B"/>
    <w:rsid w:val="0055572A"/>
    <w:rsid w:val="0055572C"/>
    <w:rsid w:val="0055573B"/>
    <w:rsid w:val="00556347"/>
    <w:rsid w:val="005573FF"/>
    <w:rsid w:val="0055768D"/>
    <w:rsid w:val="0056106A"/>
    <w:rsid w:val="00562CED"/>
    <w:rsid w:val="00564138"/>
    <w:rsid w:val="005659EE"/>
    <w:rsid w:val="00565E06"/>
    <w:rsid w:val="0056695D"/>
    <w:rsid w:val="0056699D"/>
    <w:rsid w:val="00566D6F"/>
    <w:rsid w:val="00571134"/>
    <w:rsid w:val="005720AE"/>
    <w:rsid w:val="005720FB"/>
    <w:rsid w:val="00574AEA"/>
    <w:rsid w:val="0057780D"/>
    <w:rsid w:val="00577EA8"/>
    <w:rsid w:val="00580AC1"/>
    <w:rsid w:val="00583192"/>
    <w:rsid w:val="00584ED4"/>
    <w:rsid w:val="005852AA"/>
    <w:rsid w:val="0058577D"/>
    <w:rsid w:val="00586890"/>
    <w:rsid w:val="00587C43"/>
    <w:rsid w:val="005917D3"/>
    <w:rsid w:val="00593490"/>
    <w:rsid w:val="005936BC"/>
    <w:rsid w:val="00593ADE"/>
    <w:rsid w:val="00593B9F"/>
    <w:rsid w:val="00594848"/>
    <w:rsid w:val="00594D77"/>
    <w:rsid w:val="00595C40"/>
    <w:rsid w:val="00596975"/>
    <w:rsid w:val="005969E4"/>
    <w:rsid w:val="00597640"/>
    <w:rsid w:val="0059795F"/>
    <w:rsid w:val="005A06B7"/>
    <w:rsid w:val="005A1759"/>
    <w:rsid w:val="005A58B1"/>
    <w:rsid w:val="005A68A7"/>
    <w:rsid w:val="005A7E91"/>
    <w:rsid w:val="005B0E04"/>
    <w:rsid w:val="005B1AA5"/>
    <w:rsid w:val="005B21A8"/>
    <w:rsid w:val="005B38FC"/>
    <w:rsid w:val="005B4475"/>
    <w:rsid w:val="005B4BC4"/>
    <w:rsid w:val="005C0342"/>
    <w:rsid w:val="005C1E74"/>
    <w:rsid w:val="005C1F8B"/>
    <w:rsid w:val="005C4882"/>
    <w:rsid w:val="005C4888"/>
    <w:rsid w:val="005C58C9"/>
    <w:rsid w:val="005C630D"/>
    <w:rsid w:val="005C750D"/>
    <w:rsid w:val="005D0081"/>
    <w:rsid w:val="005D1C92"/>
    <w:rsid w:val="005D201D"/>
    <w:rsid w:val="005D36AB"/>
    <w:rsid w:val="005D4543"/>
    <w:rsid w:val="005D5DFE"/>
    <w:rsid w:val="005E0169"/>
    <w:rsid w:val="005E06D1"/>
    <w:rsid w:val="005E07A7"/>
    <w:rsid w:val="005E0F7D"/>
    <w:rsid w:val="005E12E3"/>
    <w:rsid w:val="005E4043"/>
    <w:rsid w:val="005E5B6D"/>
    <w:rsid w:val="005E6312"/>
    <w:rsid w:val="005E64FC"/>
    <w:rsid w:val="005E6BAD"/>
    <w:rsid w:val="005F0289"/>
    <w:rsid w:val="005F4D60"/>
    <w:rsid w:val="005F4D6B"/>
    <w:rsid w:val="005F61B6"/>
    <w:rsid w:val="005F6DD3"/>
    <w:rsid w:val="00601715"/>
    <w:rsid w:val="00603FFB"/>
    <w:rsid w:val="00604B9F"/>
    <w:rsid w:val="00605314"/>
    <w:rsid w:val="006057D6"/>
    <w:rsid w:val="00605A13"/>
    <w:rsid w:val="00607193"/>
    <w:rsid w:val="00607842"/>
    <w:rsid w:val="00610DA9"/>
    <w:rsid w:val="00611A56"/>
    <w:rsid w:val="00613137"/>
    <w:rsid w:val="00614FA5"/>
    <w:rsid w:val="00616034"/>
    <w:rsid w:val="00617350"/>
    <w:rsid w:val="00617CC3"/>
    <w:rsid w:val="006208CA"/>
    <w:rsid w:val="0062209A"/>
    <w:rsid w:val="0062256A"/>
    <w:rsid w:val="00623128"/>
    <w:rsid w:val="006231E9"/>
    <w:rsid w:val="00625624"/>
    <w:rsid w:val="00626986"/>
    <w:rsid w:val="006300FA"/>
    <w:rsid w:val="0063049F"/>
    <w:rsid w:val="00631B14"/>
    <w:rsid w:val="0063352E"/>
    <w:rsid w:val="0063398C"/>
    <w:rsid w:val="006347CF"/>
    <w:rsid w:val="00634B7F"/>
    <w:rsid w:val="006377A6"/>
    <w:rsid w:val="00637A3D"/>
    <w:rsid w:val="006402BD"/>
    <w:rsid w:val="00640655"/>
    <w:rsid w:val="006411EF"/>
    <w:rsid w:val="006412A7"/>
    <w:rsid w:val="0064165B"/>
    <w:rsid w:val="00641780"/>
    <w:rsid w:val="00643BE3"/>
    <w:rsid w:val="006460A4"/>
    <w:rsid w:val="00646991"/>
    <w:rsid w:val="00647D1F"/>
    <w:rsid w:val="00650FFF"/>
    <w:rsid w:val="0065229F"/>
    <w:rsid w:val="00654029"/>
    <w:rsid w:val="00655322"/>
    <w:rsid w:val="006555D7"/>
    <w:rsid w:val="0066093F"/>
    <w:rsid w:val="006625CC"/>
    <w:rsid w:val="00662F2D"/>
    <w:rsid w:val="006644A8"/>
    <w:rsid w:val="00666B85"/>
    <w:rsid w:val="00666E07"/>
    <w:rsid w:val="00667028"/>
    <w:rsid w:val="006676D3"/>
    <w:rsid w:val="00672A01"/>
    <w:rsid w:val="006733CA"/>
    <w:rsid w:val="006748B8"/>
    <w:rsid w:val="006754C4"/>
    <w:rsid w:val="0067555F"/>
    <w:rsid w:val="00675C10"/>
    <w:rsid w:val="006775C3"/>
    <w:rsid w:val="006809F2"/>
    <w:rsid w:val="00682F23"/>
    <w:rsid w:val="00684A90"/>
    <w:rsid w:val="00685560"/>
    <w:rsid w:val="00686EB8"/>
    <w:rsid w:val="00687488"/>
    <w:rsid w:val="006874B1"/>
    <w:rsid w:val="006921F7"/>
    <w:rsid w:val="0069290A"/>
    <w:rsid w:val="00692951"/>
    <w:rsid w:val="00693E29"/>
    <w:rsid w:val="0069610D"/>
    <w:rsid w:val="0069691E"/>
    <w:rsid w:val="00696D4F"/>
    <w:rsid w:val="0069775A"/>
    <w:rsid w:val="00697813"/>
    <w:rsid w:val="006A0438"/>
    <w:rsid w:val="006A3EE8"/>
    <w:rsid w:val="006A4B34"/>
    <w:rsid w:val="006A72BF"/>
    <w:rsid w:val="006B03F2"/>
    <w:rsid w:val="006B07DC"/>
    <w:rsid w:val="006B0A07"/>
    <w:rsid w:val="006B2578"/>
    <w:rsid w:val="006B3353"/>
    <w:rsid w:val="006B36B1"/>
    <w:rsid w:val="006B37DC"/>
    <w:rsid w:val="006B3C20"/>
    <w:rsid w:val="006B4F68"/>
    <w:rsid w:val="006B571B"/>
    <w:rsid w:val="006B7138"/>
    <w:rsid w:val="006B7178"/>
    <w:rsid w:val="006C0592"/>
    <w:rsid w:val="006C163E"/>
    <w:rsid w:val="006C1CA7"/>
    <w:rsid w:val="006C1CF1"/>
    <w:rsid w:val="006C22A2"/>
    <w:rsid w:val="006C272E"/>
    <w:rsid w:val="006C41EF"/>
    <w:rsid w:val="006C459E"/>
    <w:rsid w:val="006C4626"/>
    <w:rsid w:val="006C4BAA"/>
    <w:rsid w:val="006C5386"/>
    <w:rsid w:val="006C5479"/>
    <w:rsid w:val="006C632A"/>
    <w:rsid w:val="006D0401"/>
    <w:rsid w:val="006D13B5"/>
    <w:rsid w:val="006D4092"/>
    <w:rsid w:val="006D492F"/>
    <w:rsid w:val="006D6A96"/>
    <w:rsid w:val="006E12FF"/>
    <w:rsid w:val="006E2DFD"/>
    <w:rsid w:val="006E3A4F"/>
    <w:rsid w:val="006E4043"/>
    <w:rsid w:val="006E5C9B"/>
    <w:rsid w:val="006E5F1C"/>
    <w:rsid w:val="006E607E"/>
    <w:rsid w:val="006E737D"/>
    <w:rsid w:val="006E7F7E"/>
    <w:rsid w:val="006F06FA"/>
    <w:rsid w:val="006F0BCA"/>
    <w:rsid w:val="006F455E"/>
    <w:rsid w:val="006F4FA3"/>
    <w:rsid w:val="006F5A89"/>
    <w:rsid w:val="006F645D"/>
    <w:rsid w:val="006F68C7"/>
    <w:rsid w:val="0070038E"/>
    <w:rsid w:val="00700F6D"/>
    <w:rsid w:val="00701BBF"/>
    <w:rsid w:val="00701FA6"/>
    <w:rsid w:val="00703A12"/>
    <w:rsid w:val="00704B09"/>
    <w:rsid w:val="007063A5"/>
    <w:rsid w:val="00706C5D"/>
    <w:rsid w:val="007074B5"/>
    <w:rsid w:val="0070778E"/>
    <w:rsid w:val="0070781B"/>
    <w:rsid w:val="00712734"/>
    <w:rsid w:val="0071380E"/>
    <w:rsid w:val="00714812"/>
    <w:rsid w:val="00715C7C"/>
    <w:rsid w:val="00716A80"/>
    <w:rsid w:val="0072042F"/>
    <w:rsid w:val="00720B7D"/>
    <w:rsid w:val="0072476F"/>
    <w:rsid w:val="00726CD2"/>
    <w:rsid w:val="0072798E"/>
    <w:rsid w:val="0073086D"/>
    <w:rsid w:val="00732922"/>
    <w:rsid w:val="00732C53"/>
    <w:rsid w:val="00733736"/>
    <w:rsid w:val="0073544E"/>
    <w:rsid w:val="00735B39"/>
    <w:rsid w:val="00735FD3"/>
    <w:rsid w:val="0073684F"/>
    <w:rsid w:val="0073793E"/>
    <w:rsid w:val="00740A3A"/>
    <w:rsid w:val="00740BF9"/>
    <w:rsid w:val="00741122"/>
    <w:rsid w:val="007417AE"/>
    <w:rsid w:val="00747C76"/>
    <w:rsid w:val="007502F8"/>
    <w:rsid w:val="0075162E"/>
    <w:rsid w:val="007528CD"/>
    <w:rsid w:val="00752D33"/>
    <w:rsid w:val="00753898"/>
    <w:rsid w:val="00753CF3"/>
    <w:rsid w:val="00754034"/>
    <w:rsid w:val="0075495B"/>
    <w:rsid w:val="00756556"/>
    <w:rsid w:val="00756CC5"/>
    <w:rsid w:val="00757D28"/>
    <w:rsid w:val="00760F68"/>
    <w:rsid w:val="007614B8"/>
    <w:rsid w:val="007618C4"/>
    <w:rsid w:val="007629F5"/>
    <w:rsid w:val="00763BAE"/>
    <w:rsid w:val="00764616"/>
    <w:rsid w:val="00764DAA"/>
    <w:rsid w:val="00766175"/>
    <w:rsid w:val="00766F12"/>
    <w:rsid w:val="00767980"/>
    <w:rsid w:val="00767E3B"/>
    <w:rsid w:val="007709E0"/>
    <w:rsid w:val="00770B19"/>
    <w:rsid w:val="00770C45"/>
    <w:rsid w:val="00770E72"/>
    <w:rsid w:val="0077302A"/>
    <w:rsid w:val="00773E6A"/>
    <w:rsid w:val="007741FE"/>
    <w:rsid w:val="0077425D"/>
    <w:rsid w:val="0077463F"/>
    <w:rsid w:val="0077591A"/>
    <w:rsid w:val="007770F7"/>
    <w:rsid w:val="007804FE"/>
    <w:rsid w:val="007822BD"/>
    <w:rsid w:val="007829B4"/>
    <w:rsid w:val="00782FF8"/>
    <w:rsid w:val="007836EA"/>
    <w:rsid w:val="00784CDA"/>
    <w:rsid w:val="00787236"/>
    <w:rsid w:val="007874B7"/>
    <w:rsid w:val="007906C4"/>
    <w:rsid w:val="00791DED"/>
    <w:rsid w:val="00792507"/>
    <w:rsid w:val="0079250A"/>
    <w:rsid w:val="00792EE6"/>
    <w:rsid w:val="007940EA"/>
    <w:rsid w:val="007943EA"/>
    <w:rsid w:val="00794663"/>
    <w:rsid w:val="00796696"/>
    <w:rsid w:val="007967E8"/>
    <w:rsid w:val="007A0A03"/>
    <w:rsid w:val="007A2170"/>
    <w:rsid w:val="007A22BF"/>
    <w:rsid w:val="007A2E35"/>
    <w:rsid w:val="007A2E38"/>
    <w:rsid w:val="007A31D4"/>
    <w:rsid w:val="007A3323"/>
    <w:rsid w:val="007A42AE"/>
    <w:rsid w:val="007A695A"/>
    <w:rsid w:val="007A6B34"/>
    <w:rsid w:val="007A7B82"/>
    <w:rsid w:val="007B0867"/>
    <w:rsid w:val="007B2092"/>
    <w:rsid w:val="007B24F3"/>
    <w:rsid w:val="007B3B7E"/>
    <w:rsid w:val="007B4568"/>
    <w:rsid w:val="007B5DB0"/>
    <w:rsid w:val="007B6D41"/>
    <w:rsid w:val="007B72B8"/>
    <w:rsid w:val="007B7A58"/>
    <w:rsid w:val="007C0E3B"/>
    <w:rsid w:val="007C21B5"/>
    <w:rsid w:val="007C224F"/>
    <w:rsid w:val="007C381F"/>
    <w:rsid w:val="007C3E42"/>
    <w:rsid w:val="007C3F05"/>
    <w:rsid w:val="007C5952"/>
    <w:rsid w:val="007C6082"/>
    <w:rsid w:val="007C6FD7"/>
    <w:rsid w:val="007C7267"/>
    <w:rsid w:val="007C73B2"/>
    <w:rsid w:val="007C796D"/>
    <w:rsid w:val="007C7B33"/>
    <w:rsid w:val="007D01BE"/>
    <w:rsid w:val="007D2727"/>
    <w:rsid w:val="007D2BF1"/>
    <w:rsid w:val="007D40E2"/>
    <w:rsid w:val="007D4511"/>
    <w:rsid w:val="007D55E3"/>
    <w:rsid w:val="007D6AD7"/>
    <w:rsid w:val="007D6E62"/>
    <w:rsid w:val="007D7A3A"/>
    <w:rsid w:val="007E0345"/>
    <w:rsid w:val="007E06C4"/>
    <w:rsid w:val="007E1184"/>
    <w:rsid w:val="007E25F0"/>
    <w:rsid w:val="007E368D"/>
    <w:rsid w:val="007E36FC"/>
    <w:rsid w:val="007E4BD2"/>
    <w:rsid w:val="007E5BA5"/>
    <w:rsid w:val="007F0617"/>
    <w:rsid w:val="007F070A"/>
    <w:rsid w:val="007F4FBC"/>
    <w:rsid w:val="007F78DC"/>
    <w:rsid w:val="00801393"/>
    <w:rsid w:val="00801D85"/>
    <w:rsid w:val="00802F88"/>
    <w:rsid w:val="00803A88"/>
    <w:rsid w:val="0080525A"/>
    <w:rsid w:val="00806CBB"/>
    <w:rsid w:val="00807C1E"/>
    <w:rsid w:val="0081098A"/>
    <w:rsid w:val="008113E4"/>
    <w:rsid w:val="0081293E"/>
    <w:rsid w:val="00814B4B"/>
    <w:rsid w:val="008152EA"/>
    <w:rsid w:val="00815465"/>
    <w:rsid w:val="00815818"/>
    <w:rsid w:val="0081603A"/>
    <w:rsid w:val="0081665B"/>
    <w:rsid w:val="00817017"/>
    <w:rsid w:val="008177BD"/>
    <w:rsid w:val="00817D6B"/>
    <w:rsid w:val="00817E9A"/>
    <w:rsid w:val="008207F6"/>
    <w:rsid w:val="00820E47"/>
    <w:rsid w:val="00822DC6"/>
    <w:rsid w:val="008252DD"/>
    <w:rsid w:val="00825EA3"/>
    <w:rsid w:val="0082643E"/>
    <w:rsid w:val="0082654C"/>
    <w:rsid w:val="00826F25"/>
    <w:rsid w:val="008306BD"/>
    <w:rsid w:val="00830BE2"/>
    <w:rsid w:val="00830F4C"/>
    <w:rsid w:val="00831A80"/>
    <w:rsid w:val="00833743"/>
    <w:rsid w:val="00833FCE"/>
    <w:rsid w:val="0083402C"/>
    <w:rsid w:val="008340A4"/>
    <w:rsid w:val="00836E4F"/>
    <w:rsid w:val="008374F1"/>
    <w:rsid w:val="00837D53"/>
    <w:rsid w:val="00837DD1"/>
    <w:rsid w:val="0084033D"/>
    <w:rsid w:val="00840382"/>
    <w:rsid w:val="00840759"/>
    <w:rsid w:val="00840A41"/>
    <w:rsid w:val="00840E98"/>
    <w:rsid w:val="008439E6"/>
    <w:rsid w:val="0084546C"/>
    <w:rsid w:val="00846A18"/>
    <w:rsid w:val="0084728B"/>
    <w:rsid w:val="008478FD"/>
    <w:rsid w:val="00850F6F"/>
    <w:rsid w:val="00852B7B"/>
    <w:rsid w:val="00852DC6"/>
    <w:rsid w:val="008540FB"/>
    <w:rsid w:val="00855F37"/>
    <w:rsid w:val="0085600D"/>
    <w:rsid w:val="008622B1"/>
    <w:rsid w:val="00862C1E"/>
    <w:rsid w:val="008648CB"/>
    <w:rsid w:val="0086525A"/>
    <w:rsid w:val="00867F92"/>
    <w:rsid w:val="0087135F"/>
    <w:rsid w:val="00872A27"/>
    <w:rsid w:val="00872D94"/>
    <w:rsid w:val="00872F1D"/>
    <w:rsid w:val="008733AD"/>
    <w:rsid w:val="00873C77"/>
    <w:rsid w:val="00873CC2"/>
    <w:rsid w:val="0087414C"/>
    <w:rsid w:val="00874DE5"/>
    <w:rsid w:val="00875DE2"/>
    <w:rsid w:val="00875F1C"/>
    <w:rsid w:val="008770C7"/>
    <w:rsid w:val="008802D1"/>
    <w:rsid w:val="00880364"/>
    <w:rsid w:val="00880C80"/>
    <w:rsid w:val="008837F7"/>
    <w:rsid w:val="00883A32"/>
    <w:rsid w:val="008860D7"/>
    <w:rsid w:val="008877EB"/>
    <w:rsid w:val="008910F0"/>
    <w:rsid w:val="00891432"/>
    <w:rsid w:val="00891592"/>
    <w:rsid w:val="0089167F"/>
    <w:rsid w:val="00891E9E"/>
    <w:rsid w:val="0089329D"/>
    <w:rsid w:val="008939EA"/>
    <w:rsid w:val="0089506C"/>
    <w:rsid w:val="00896F77"/>
    <w:rsid w:val="0089792F"/>
    <w:rsid w:val="008A1359"/>
    <w:rsid w:val="008A1C06"/>
    <w:rsid w:val="008A1D70"/>
    <w:rsid w:val="008A20B0"/>
    <w:rsid w:val="008A2F68"/>
    <w:rsid w:val="008A5BDF"/>
    <w:rsid w:val="008A5E58"/>
    <w:rsid w:val="008A662A"/>
    <w:rsid w:val="008A68A7"/>
    <w:rsid w:val="008A6FC3"/>
    <w:rsid w:val="008B05D6"/>
    <w:rsid w:val="008B128F"/>
    <w:rsid w:val="008B3253"/>
    <w:rsid w:val="008B4514"/>
    <w:rsid w:val="008B4FA6"/>
    <w:rsid w:val="008B5282"/>
    <w:rsid w:val="008B57D5"/>
    <w:rsid w:val="008B5AB6"/>
    <w:rsid w:val="008B7C17"/>
    <w:rsid w:val="008B7DFD"/>
    <w:rsid w:val="008C04AC"/>
    <w:rsid w:val="008C1FD9"/>
    <w:rsid w:val="008C2D01"/>
    <w:rsid w:val="008C40E6"/>
    <w:rsid w:val="008C5344"/>
    <w:rsid w:val="008C58A5"/>
    <w:rsid w:val="008C6C96"/>
    <w:rsid w:val="008D01C5"/>
    <w:rsid w:val="008D0F7A"/>
    <w:rsid w:val="008D0F93"/>
    <w:rsid w:val="008D313A"/>
    <w:rsid w:val="008D68E4"/>
    <w:rsid w:val="008D6FE8"/>
    <w:rsid w:val="008D7F80"/>
    <w:rsid w:val="008E0120"/>
    <w:rsid w:val="008E01A2"/>
    <w:rsid w:val="008E0506"/>
    <w:rsid w:val="008E0CFF"/>
    <w:rsid w:val="008E0F53"/>
    <w:rsid w:val="008E15AA"/>
    <w:rsid w:val="008E26DD"/>
    <w:rsid w:val="008E399E"/>
    <w:rsid w:val="008E3D3F"/>
    <w:rsid w:val="008E3F74"/>
    <w:rsid w:val="008E4644"/>
    <w:rsid w:val="008E5D6B"/>
    <w:rsid w:val="008E6C6A"/>
    <w:rsid w:val="008E6EBB"/>
    <w:rsid w:val="008E76F0"/>
    <w:rsid w:val="008F15FE"/>
    <w:rsid w:val="008F2D29"/>
    <w:rsid w:val="008F3A52"/>
    <w:rsid w:val="008F3B3B"/>
    <w:rsid w:val="008F5187"/>
    <w:rsid w:val="008F559E"/>
    <w:rsid w:val="008F60D8"/>
    <w:rsid w:val="008F7DFF"/>
    <w:rsid w:val="00901D04"/>
    <w:rsid w:val="00901DCB"/>
    <w:rsid w:val="00902727"/>
    <w:rsid w:val="0090312B"/>
    <w:rsid w:val="009035A3"/>
    <w:rsid w:val="00904CC2"/>
    <w:rsid w:val="009050BF"/>
    <w:rsid w:val="0090647C"/>
    <w:rsid w:val="00907F93"/>
    <w:rsid w:val="009111C5"/>
    <w:rsid w:val="009115B6"/>
    <w:rsid w:val="00913BC7"/>
    <w:rsid w:val="00915546"/>
    <w:rsid w:val="00915E3F"/>
    <w:rsid w:val="0091736D"/>
    <w:rsid w:val="00922A55"/>
    <w:rsid w:val="00925CD0"/>
    <w:rsid w:val="00925D7A"/>
    <w:rsid w:val="00926159"/>
    <w:rsid w:val="0092698F"/>
    <w:rsid w:val="0092753A"/>
    <w:rsid w:val="00930139"/>
    <w:rsid w:val="0093037A"/>
    <w:rsid w:val="0093064F"/>
    <w:rsid w:val="00931333"/>
    <w:rsid w:val="009316E9"/>
    <w:rsid w:val="0093295C"/>
    <w:rsid w:val="009337B8"/>
    <w:rsid w:val="00933B37"/>
    <w:rsid w:val="00935909"/>
    <w:rsid w:val="009359B7"/>
    <w:rsid w:val="00935B84"/>
    <w:rsid w:val="009365CB"/>
    <w:rsid w:val="00936637"/>
    <w:rsid w:val="00936CF4"/>
    <w:rsid w:val="0094154D"/>
    <w:rsid w:val="00942E46"/>
    <w:rsid w:val="009440F7"/>
    <w:rsid w:val="00944A4B"/>
    <w:rsid w:val="0094600D"/>
    <w:rsid w:val="00947D8D"/>
    <w:rsid w:val="00950EEB"/>
    <w:rsid w:val="0095155F"/>
    <w:rsid w:val="00952C96"/>
    <w:rsid w:val="00953D90"/>
    <w:rsid w:val="00953EDB"/>
    <w:rsid w:val="00954429"/>
    <w:rsid w:val="009551B4"/>
    <w:rsid w:val="00955CA5"/>
    <w:rsid w:val="009563CE"/>
    <w:rsid w:val="0095763C"/>
    <w:rsid w:val="00957AB1"/>
    <w:rsid w:val="00960CC7"/>
    <w:rsid w:val="0096438A"/>
    <w:rsid w:val="0096541B"/>
    <w:rsid w:val="00967897"/>
    <w:rsid w:val="00967C1F"/>
    <w:rsid w:val="009709DF"/>
    <w:rsid w:val="00973090"/>
    <w:rsid w:val="00974E58"/>
    <w:rsid w:val="00976328"/>
    <w:rsid w:val="0097680D"/>
    <w:rsid w:val="009801DB"/>
    <w:rsid w:val="00982438"/>
    <w:rsid w:val="00983217"/>
    <w:rsid w:val="0098404C"/>
    <w:rsid w:val="00985283"/>
    <w:rsid w:val="00986254"/>
    <w:rsid w:val="009879A6"/>
    <w:rsid w:val="00990BF8"/>
    <w:rsid w:val="00990E8D"/>
    <w:rsid w:val="00991133"/>
    <w:rsid w:val="00991538"/>
    <w:rsid w:val="00993A14"/>
    <w:rsid w:val="00994603"/>
    <w:rsid w:val="00995992"/>
    <w:rsid w:val="00996983"/>
    <w:rsid w:val="00996DCC"/>
    <w:rsid w:val="009A03E5"/>
    <w:rsid w:val="009A0F3B"/>
    <w:rsid w:val="009A1445"/>
    <w:rsid w:val="009A1BB4"/>
    <w:rsid w:val="009A2628"/>
    <w:rsid w:val="009A30F3"/>
    <w:rsid w:val="009A3200"/>
    <w:rsid w:val="009A3723"/>
    <w:rsid w:val="009A654A"/>
    <w:rsid w:val="009A7D38"/>
    <w:rsid w:val="009B0897"/>
    <w:rsid w:val="009B27BE"/>
    <w:rsid w:val="009B2E7D"/>
    <w:rsid w:val="009B4E5E"/>
    <w:rsid w:val="009B52CF"/>
    <w:rsid w:val="009B5FA1"/>
    <w:rsid w:val="009B6748"/>
    <w:rsid w:val="009B6C85"/>
    <w:rsid w:val="009B7BD1"/>
    <w:rsid w:val="009B7BD9"/>
    <w:rsid w:val="009C0B23"/>
    <w:rsid w:val="009C40FC"/>
    <w:rsid w:val="009C52C9"/>
    <w:rsid w:val="009C6298"/>
    <w:rsid w:val="009C6A92"/>
    <w:rsid w:val="009C7264"/>
    <w:rsid w:val="009C7D20"/>
    <w:rsid w:val="009C7DD5"/>
    <w:rsid w:val="009D0B87"/>
    <w:rsid w:val="009D18F9"/>
    <w:rsid w:val="009D21B7"/>
    <w:rsid w:val="009D253C"/>
    <w:rsid w:val="009D3EA5"/>
    <w:rsid w:val="009D4798"/>
    <w:rsid w:val="009D599F"/>
    <w:rsid w:val="009D7502"/>
    <w:rsid w:val="009D78EF"/>
    <w:rsid w:val="009D7DAA"/>
    <w:rsid w:val="009E1DA7"/>
    <w:rsid w:val="009E227D"/>
    <w:rsid w:val="009E345B"/>
    <w:rsid w:val="009E3A31"/>
    <w:rsid w:val="009E3BF2"/>
    <w:rsid w:val="009E47C3"/>
    <w:rsid w:val="009E4CA8"/>
    <w:rsid w:val="009E5019"/>
    <w:rsid w:val="009E5ECF"/>
    <w:rsid w:val="009E6E1E"/>
    <w:rsid w:val="009E7780"/>
    <w:rsid w:val="009F339B"/>
    <w:rsid w:val="009F4A93"/>
    <w:rsid w:val="009F4C1B"/>
    <w:rsid w:val="009F60FF"/>
    <w:rsid w:val="009F72FB"/>
    <w:rsid w:val="009F7774"/>
    <w:rsid w:val="00A01430"/>
    <w:rsid w:val="00A0185D"/>
    <w:rsid w:val="00A03CE0"/>
    <w:rsid w:val="00A0467A"/>
    <w:rsid w:val="00A049F2"/>
    <w:rsid w:val="00A04F1B"/>
    <w:rsid w:val="00A0501B"/>
    <w:rsid w:val="00A06FEF"/>
    <w:rsid w:val="00A113B5"/>
    <w:rsid w:val="00A119A2"/>
    <w:rsid w:val="00A11CD8"/>
    <w:rsid w:val="00A12AA1"/>
    <w:rsid w:val="00A140AE"/>
    <w:rsid w:val="00A14947"/>
    <w:rsid w:val="00A14D93"/>
    <w:rsid w:val="00A15A64"/>
    <w:rsid w:val="00A20C75"/>
    <w:rsid w:val="00A21010"/>
    <w:rsid w:val="00A21B91"/>
    <w:rsid w:val="00A23929"/>
    <w:rsid w:val="00A24204"/>
    <w:rsid w:val="00A24C77"/>
    <w:rsid w:val="00A2549A"/>
    <w:rsid w:val="00A25D00"/>
    <w:rsid w:val="00A26825"/>
    <w:rsid w:val="00A27866"/>
    <w:rsid w:val="00A305F8"/>
    <w:rsid w:val="00A30B85"/>
    <w:rsid w:val="00A31CB1"/>
    <w:rsid w:val="00A324FF"/>
    <w:rsid w:val="00A32A83"/>
    <w:rsid w:val="00A33466"/>
    <w:rsid w:val="00A34751"/>
    <w:rsid w:val="00A3525F"/>
    <w:rsid w:val="00A368DB"/>
    <w:rsid w:val="00A37259"/>
    <w:rsid w:val="00A423AA"/>
    <w:rsid w:val="00A42B3A"/>
    <w:rsid w:val="00A434EA"/>
    <w:rsid w:val="00A453D9"/>
    <w:rsid w:val="00A46856"/>
    <w:rsid w:val="00A46B41"/>
    <w:rsid w:val="00A47908"/>
    <w:rsid w:val="00A51B12"/>
    <w:rsid w:val="00A53EC6"/>
    <w:rsid w:val="00A5574F"/>
    <w:rsid w:val="00A55C0F"/>
    <w:rsid w:val="00A55C99"/>
    <w:rsid w:val="00A55D22"/>
    <w:rsid w:val="00A565A5"/>
    <w:rsid w:val="00A56E21"/>
    <w:rsid w:val="00A6165A"/>
    <w:rsid w:val="00A63B5F"/>
    <w:rsid w:val="00A641EB"/>
    <w:rsid w:val="00A64970"/>
    <w:rsid w:val="00A64D21"/>
    <w:rsid w:val="00A64DB9"/>
    <w:rsid w:val="00A667AF"/>
    <w:rsid w:val="00A73863"/>
    <w:rsid w:val="00A73AF8"/>
    <w:rsid w:val="00A74515"/>
    <w:rsid w:val="00A758FF"/>
    <w:rsid w:val="00A80A42"/>
    <w:rsid w:val="00A813A5"/>
    <w:rsid w:val="00A8601F"/>
    <w:rsid w:val="00A860B9"/>
    <w:rsid w:val="00A8713F"/>
    <w:rsid w:val="00A90BA1"/>
    <w:rsid w:val="00A933AE"/>
    <w:rsid w:val="00A95F09"/>
    <w:rsid w:val="00A97A9A"/>
    <w:rsid w:val="00AA0671"/>
    <w:rsid w:val="00AA1259"/>
    <w:rsid w:val="00AA2531"/>
    <w:rsid w:val="00AA2D2C"/>
    <w:rsid w:val="00AA56A0"/>
    <w:rsid w:val="00AA6C90"/>
    <w:rsid w:val="00AA78E5"/>
    <w:rsid w:val="00AB03BD"/>
    <w:rsid w:val="00AB1E09"/>
    <w:rsid w:val="00AB2C96"/>
    <w:rsid w:val="00AB2DFB"/>
    <w:rsid w:val="00AB4188"/>
    <w:rsid w:val="00AB5330"/>
    <w:rsid w:val="00AB7747"/>
    <w:rsid w:val="00AC14CE"/>
    <w:rsid w:val="00AC1A0F"/>
    <w:rsid w:val="00AC2043"/>
    <w:rsid w:val="00AC2A56"/>
    <w:rsid w:val="00AC2C13"/>
    <w:rsid w:val="00AC349E"/>
    <w:rsid w:val="00AC34BE"/>
    <w:rsid w:val="00AC463E"/>
    <w:rsid w:val="00AC51CD"/>
    <w:rsid w:val="00AC67F8"/>
    <w:rsid w:val="00AC69E9"/>
    <w:rsid w:val="00AD055E"/>
    <w:rsid w:val="00AD1370"/>
    <w:rsid w:val="00AD37D9"/>
    <w:rsid w:val="00AD47A7"/>
    <w:rsid w:val="00AD4DA9"/>
    <w:rsid w:val="00AD4F35"/>
    <w:rsid w:val="00AD5547"/>
    <w:rsid w:val="00AD7D69"/>
    <w:rsid w:val="00AE2166"/>
    <w:rsid w:val="00AE2885"/>
    <w:rsid w:val="00AE312D"/>
    <w:rsid w:val="00AE4C86"/>
    <w:rsid w:val="00AE4D0F"/>
    <w:rsid w:val="00AE56E0"/>
    <w:rsid w:val="00AE5F45"/>
    <w:rsid w:val="00AE7ED4"/>
    <w:rsid w:val="00AF0A96"/>
    <w:rsid w:val="00AF0CBF"/>
    <w:rsid w:val="00AF0EB6"/>
    <w:rsid w:val="00AF132A"/>
    <w:rsid w:val="00AF157B"/>
    <w:rsid w:val="00AF257F"/>
    <w:rsid w:val="00AF33CF"/>
    <w:rsid w:val="00AF3573"/>
    <w:rsid w:val="00AF4D50"/>
    <w:rsid w:val="00AF5882"/>
    <w:rsid w:val="00AF5E9B"/>
    <w:rsid w:val="00AF6179"/>
    <w:rsid w:val="00B00B7E"/>
    <w:rsid w:val="00B01171"/>
    <w:rsid w:val="00B01C3B"/>
    <w:rsid w:val="00B0295B"/>
    <w:rsid w:val="00B0391B"/>
    <w:rsid w:val="00B06E89"/>
    <w:rsid w:val="00B07CAB"/>
    <w:rsid w:val="00B10312"/>
    <w:rsid w:val="00B12697"/>
    <w:rsid w:val="00B1295A"/>
    <w:rsid w:val="00B20203"/>
    <w:rsid w:val="00B20A45"/>
    <w:rsid w:val="00B20DF2"/>
    <w:rsid w:val="00B22C5C"/>
    <w:rsid w:val="00B23518"/>
    <w:rsid w:val="00B24F30"/>
    <w:rsid w:val="00B27B0C"/>
    <w:rsid w:val="00B303CB"/>
    <w:rsid w:val="00B31ABF"/>
    <w:rsid w:val="00B33499"/>
    <w:rsid w:val="00B33BE3"/>
    <w:rsid w:val="00B34925"/>
    <w:rsid w:val="00B3536F"/>
    <w:rsid w:val="00B365D5"/>
    <w:rsid w:val="00B40771"/>
    <w:rsid w:val="00B43179"/>
    <w:rsid w:val="00B44C94"/>
    <w:rsid w:val="00B46448"/>
    <w:rsid w:val="00B475BD"/>
    <w:rsid w:val="00B52472"/>
    <w:rsid w:val="00B52DC3"/>
    <w:rsid w:val="00B52DFD"/>
    <w:rsid w:val="00B53B14"/>
    <w:rsid w:val="00B53B5D"/>
    <w:rsid w:val="00B5538A"/>
    <w:rsid w:val="00B57119"/>
    <w:rsid w:val="00B6055E"/>
    <w:rsid w:val="00B62A29"/>
    <w:rsid w:val="00B6317D"/>
    <w:rsid w:val="00B64B7F"/>
    <w:rsid w:val="00B75C73"/>
    <w:rsid w:val="00B7723F"/>
    <w:rsid w:val="00B77A96"/>
    <w:rsid w:val="00B80534"/>
    <w:rsid w:val="00B80AA1"/>
    <w:rsid w:val="00B81BE1"/>
    <w:rsid w:val="00B8255D"/>
    <w:rsid w:val="00B8284C"/>
    <w:rsid w:val="00B828D0"/>
    <w:rsid w:val="00B83A65"/>
    <w:rsid w:val="00B84115"/>
    <w:rsid w:val="00B8433C"/>
    <w:rsid w:val="00B84679"/>
    <w:rsid w:val="00B867C8"/>
    <w:rsid w:val="00B87491"/>
    <w:rsid w:val="00B9091A"/>
    <w:rsid w:val="00B90A8C"/>
    <w:rsid w:val="00B91028"/>
    <w:rsid w:val="00B91665"/>
    <w:rsid w:val="00B923E7"/>
    <w:rsid w:val="00B92400"/>
    <w:rsid w:val="00B930CD"/>
    <w:rsid w:val="00B93D8F"/>
    <w:rsid w:val="00B94550"/>
    <w:rsid w:val="00B94C18"/>
    <w:rsid w:val="00B951B4"/>
    <w:rsid w:val="00B955B7"/>
    <w:rsid w:val="00B95FC8"/>
    <w:rsid w:val="00B96CC1"/>
    <w:rsid w:val="00BA1EF5"/>
    <w:rsid w:val="00BA26B7"/>
    <w:rsid w:val="00BA29E9"/>
    <w:rsid w:val="00BA2F9C"/>
    <w:rsid w:val="00BA35F4"/>
    <w:rsid w:val="00BA3FDF"/>
    <w:rsid w:val="00BA5249"/>
    <w:rsid w:val="00BA5FFA"/>
    <w:rsid w:val="00BA62C8"/>
    <w:rsid w:val="00BA7142"/>
    <w:rsid w:val="00BA76AD"/>
    <w:rsid w:val="00BB07E2"/>
    <w:rsid w:val="00BB08DE"/>
    <w:rsid w:val="00BB16AA"/>
    <w:rsid w:val="00BB237C"/>
    <w:rsid w:val="00BB3C50"/>
    <w:rsid w:val="00BB41A3"/>
    <w:rsid w:val="00BB5605"/>
    <w:rsid w:val="00BB5FBE"/>
    <w:rsid w:val="00BB63F7"/>
    <w:rsid w:val="00BB71B5"/>
    <w:rsid w:val="00BC0D20"/>
    <w:rsid w:val="00BC31A2"/>
    <w:rsid w:val="00BC32DC"/>
    <w:rsid w:val="00BC35B6"/>
    <w:rsid w:val="00BC4918"/>
    <w:rsid w:val="00BC75AC"/>
    <w:rsid w:val="00BD038C"/>
    <w:rsid w:val="00BD09AB"/>
    <w:rsid w:val="00BD09CD"/>
    <w:rsid w:val="00BD1B51"/>
    <w:rsid w:val="00BD2562"/>
    <w:rsid w:val="00BD3CF7"/>
    <w:rsid w:val="00BD4596"/>
    <w:rsid w:val="00BE07EC"/>
    <w:rsid w:val="00BE1405"/>
    <w:rsid w:val="00BE312D"/>
    <w:rsid w:val="00BE4B18"/>
    <w:rsid w:val="00BE6213"/>
    <w:rsid w:val="00BE7797"/>
    <w:rsid w:val="00BF0CD6"/>
    <w:rsid w:val="00BF19EB"/>
    <w:rsid w:val="00BF1C20"/>
    <w:rsid w:val="00BF2ED8"/>
    <w:rsid w:val="00BF48C9"/>
    <w:rsid w:val="00BF51AA"/>
    <w:rsid w:val="00BF63FB"/>
    <w:rsid w:val="00C01206"/>
    <w:rsid w:val="00C0276C"/>
    <w:rsid w:val="00C034F4"/>
    <w:rsid w:val="00C05C0A"/>
    <w:rsid w:val="00C06B0D"/>
    <w:rsid w:val="00C06E79"/>
    <w:rsid w:val="00C076DD"/>
    <w:rsid w:val="00C0779F"/>
    <w:rsid w:val="00C10578"/>
    <w:rsid w:val="00C135BC"/>
    <w:rsid w:val="00C13875"/>
    <w:rsid w:val="00C139EE"/>
    <w:rsid w:val="00C15C95"/>
    <w:rsid w:val="00C17120"/>
    <w:rsid w:val="00C20542"/>
    <w:rsid w:val="00C242A8"/>
    <w:rsid w:val="00C24ACF"/>
    <w:rsid w:val="00C2596A"/>
    <w:rsid w:val="00C26D9B"/>
    <w:rsid w:val="00C27537"/>
    <w:rsid w:val="00C3000D"/>
    <w:rsid w:val="00C30A13"/>
    <w:rsid w:val="00C328FE"/>
    <w:rsid w:val="00C33507"/>
    <w:rsid w:val="00C33665"/>
    <w:rsid w:val="00C358BF"/>
    <w:rsid w:val="00C35FEC"/>
    <w:rsid w:val="00C36B68"/>
    <w:rsid w:val="00C37260"/>
    <w:rsid w:val="00C41C57"/>
    <w:rsid w:val="00C41E69"/>
    <w:rsid w:val="00C4299B"/>
    <w:rsid w:val="00C4409D"/>
    <w:rsid w:val="00C44E72"/>
    <w:rsid w:val="00C453D4"/>
    <w:rsid w:val="00C45946"/>
    <w:rsid w:val="00C45A06"/>
    <w:rsid w:val="00C47664"/>
    <w:rsid w:val="00C47E5B"/>
    <w:rsid w:val="00C47EB8"/>
    <w:rsid w:val="00C50CEC"/>
    <w:rsid w:val="00C51C0F"/>
    <w:rsid w:val="00C5357E"/>
    <w:rsid w:val="00C53B04"/>
    <w:rsid w:val="00C54172"/>
    <w:rsid w:val="00C5468A"/>
    <w:rsid w:val="00C54745"/>
    <w:rsid w:val="00C552A2"/>
    <w:rsid w:val="00C559B1"/>
    <w:rsid w:val="00C562DE"/>
    <w:rsid w:val="00C56A8B"/>
    <w:rsid w:val="00C56EE9"/>
    <w:rsid w:val="00C578B9"/>
    <w:rsid w:val="00C60A87"/>
    <w:rsid w:val="00C611C6"/>
    <w:rsid w:val="00C61E4B"/>
    <w:rsid w:val="00C623CD"/>
    <w:rsid w:val="00C63618"/>
    <w:rsid w:val="00C643AD"/>
    <w:rsid w:val="00C64BFF"/>
    <w:rsid w:val="00C661DA"/>
    <w:rsid w:val="00C66270"/>
    <w:rsid w:val="00C666B4"/>
    <w:rsid w:val="00C67DED"/>
    <w:rsid w:val="00C704E9"/>
    <w:rsid w:val="00C70D72"/>
    <w:rsid w:val="00C73141"/>
    <w:rsid w:val="00C735A3"/>
    <w:rsid w:val="00C73D47"/>
    <w:rsid w:val="00C7600E"/>
    <w:rsid w:val="00C763C9"/>
    <w:rsid w:val="00C80057"/>
    <w:rsid w:val="00C80D03"/>
    <w:rsid w:val="00C82232"/>
    <w:rsid w:val="00C823AC"/>
    <w:rsid w:val="00C82913"/>
    <w:rsid w:val="00C829C7"/>
    <w:rsid w:val="00C83666"/>
    <w:rsid w:val="00C8424F"/>
    <w:rsid w:val="00C8596A"/>
    <w:rsid w:val="00C85EA2"/>
    <w:rsid w:val="00C9387A"/>
    <w:rsid w:val="00C953C3"/>
    <w:rsid w:val="00C95E75"/>
    <w:rsid w:val="00C9691D"/>
    <w:rsid w:val="00C972B1"/>
    <w:rsid w:val="00CA299A"/>
    <w:rsid w:val="00CA29A9"/>
    <w:rsid w:val="00CA2CCE"/>
    <w:rsid w:val="00CA43FD"/>
    <w:rsid w:val="00CA4A44"/>
    <w:rsid w:val="00CA567F"/>
    <w:rsid w:val="00CA6482"/>
    <w:rsid w:val="00CA766A"/>
    <w:rsid w:val="00CA7BDC"/>
    <w:rsid w:val="00CA7EF8"/>
    <w:rsid w:val="00CB0ABB"/>
    <w:rsid w:val="00CB0DA6"/>
    <w:rsid w:val="00CB12E7"/>
    <w:rsid w:val="00CB3AE8"/>
    <w:rsid w:val="00CB3C62"/>
    <w:rsid w:val="00CB40C9"/>
    <w:rsid w:val="00CB5D07"/>
    <w:rsid w:val="00CB6AEE"/>
    <w:rsid w:val="00CC0543"/>
    <w:rsid w:val="00CC1352"/>
    <w:rsid w:val="00CC3850"/>
    <w:rsid w:val="00CC489B"/>
    <w:rsid w:val="00CD2BCD"/>
    <w:rsid w:val="00CD3A41"/>
    <w:rsid w:val="00CD3A4C"/>
    <w:rsid w:val="00CD46BC"/>
    <w:rsid w:val="00CD49AD"/>
    <w:rsid w:val="00CD5521"/>
    <w:rsid w:val="00CD6295"/>
    <w:rsid w:val="00CD6D3F"/>
    <w:rsid w:val="00CD7F99"/>
    <w:rsid w:val="00CE0017"/>
    <w:rsid w:val="00CE03B9"/>
    <w:rsid w:val="00CE10E9"/>
    <w:rsid w:val="00CE2681"/>
    <w:rsid w:val="00CE2910"/>
    <w:rsid w:val="00CE5393"/>
    <w:rsid w:val="00CE5620"/>
    <w:rsid w:val="00CE71DF"/>
    <w:rsid w:val="00CE7489"/>
    <w:rsid w:val="00CE77C4"/>
    <w:rsid w:val="00CF0A8A"/>
    <w:rsid w:val="00CF0EED"/>
    <w:rsid w:val="00CF335C"/>
    <w:rsid w:val="00CF358A"/>
    <w:rsid w:val="00CF36BE"/>
    <w:rsid w:val="00CF4B5C"/>
    <w:rsid w:val="00CF541E"/>
    <w:rsid w:val="00CF5E2D"/>
    <w:rsid w:val="00CF6000"/>
    <w:rsid w:val="00CF6254"/>
    <w:rsid w:val="00CF6C16"/>
    <w:rsid w:val="00D003F3"/>
    <w:rsid w:val="00D007FE"/>
    <w:rsid w:val="00D02976"/>
    <w:rsid w:val="00D02E64"/>
    <w:rsid w:val="00D0364F"/>
    <w:rsid w:val="00D05A4B"/>
    <w:rsid w:val="00D05B44"/>
    <w:rsid w:val="00D05CCE"/>
    <w:rsid w:val="00D05F47"/>
    <w:rsid w:val="00D060C0"/>
    <w:rsid w:val="00D06834"/>
    <w:rsid w:val="00D0699A"/>
    <w:rsid w:val="00D10D60"/>
    <w:rsid w:val="00D11AF6"/>
    <w:rsid w:val="00D1566D"/>
    <w:rsid w:val="00D20586"/>
    <w:rsid w:val="00D20934"/>
    <w:rsid w:val="00D20A5A"/>
    <w:rsid w:val="00D20C4F"/>
    <w:rsid w:val="00D224C4"/>
    <w:rsid w:val="00D22B57"/>
    <w:rsid w:val="00D22C89"/>
    <w:rsid w:val="00D23299"/>
    <w:rsid w:val="00D30798"/>
    <w:rsid w:val="00D308ED"/>
    <w:rsid w:val="00D3196A"/>
    <w:rsid w:val="00D31F40"/>
    <w:rsid w:val="00D32347"/>
    <w:rsid w:val="00D34E25"/>
    <w:rsid w:val="00D35626"/>
    <w:rsid w:val="00D35DE5"/>
    <w:rsid w:val="00D35F94"/>
    <w:rsid w:val="00D36D86"/>
    <w:rsid w:val="00D373E0"/>
    <w:rsid w:val="00D42307"/>
    <w:rsid w:val="00D428AA"/>
    <w:rsid w:val="00D432E9"/>
    <w:rsid w:val="00D4713D"/>
    <w:rsid w:val="00D47BDD"/>
    <w:rsid w:val="00D500C3"/>
    <w:rsid w:val="00D50132"/>
    <w:rsid w:val="00D5040D"/>
    <w:rsid w:val="00D50A34"/>
    <w:rsid w:val="00D50F51"/>
    <w:rsid w:val="00D52AFD"/>
    <w:rsid w:val="00D53EFA"/>
    <w:rsid w:val="00D54FC6"/>
    <w:rsid w:val="00D5673B"/>
    <w:rsid w:val="00D56BE5"/>
    <w:rsid w:val="00D57775"/>
    <w:rsid w:val="00D607AF"/>
    <w:rsid w:val="00D61114"/>
    <w:rsid w:val="00D612A1"/>
    <w:rsid w:val="00D61C91"/>
    <w:rsid w:val="00D6274C"/>
    <w:rsid w:val="00D63A6D"/>
    <w:rsid w:val="00D63BD9"/>
    <w:rsid w:val="00D644F2"/>
    <w:rsid w:val="00D65BF5"/>
    <w:rsid w:val="00D65F2B"/>
    <w:rsid w:val="00D66A03"/>
    <w:rsid w:val="00D66FEF"/>
    <w:rsid w:val="00D71761"/>
    <w:rsid w:val="00D73C8B"/>
    <w:rsid w:val="00D755BD"/>
    <w:rsid w:val="00D75F09"/>
    <w:rsid w:val="00D814AB"/>
    <w:rsid w:val="00D8172E"/>
    <w:rsid w:val="00D827FF"/>
    <w:rsid w:val="00D83F10"/>
    <w:rsid w:val="00D8660F"/>
    <w:rsid w:val="00D87F64"/>
    <w:rsid w:val="00D91A73"/>
    <w:rsid w:val="00D91FE0"/>
    <w:rsid w:val="00D94684"/>
    <w:rsid w:val="00D94A7C"/>
    <w:rsid w:val="00D95896"/>
    <w:rsid w:val="00D95973"/>
    <w:rsid w:val="00D96BC9"/>
    <w:rsid w:val="00D977B0"/>
    <w:rsid w:val="00DA09AC"/>
    <w:rsid w:val="00DA1230"/>
    <w:rsid w:val="00DA23B6"/>
    <w:rsid w:val="00DA279F"/>
    <w:rsid w:val="00DA2F80"/>
    <w:rsid w:val="00DA30E9"/>
    <w:rsid w:val="00DA37FE"/>
    <w:rsid w:val="00DA45CF"/>
    <w:rsid w:val="00DA49D6"/>
    <w:rsid w:val="00DA556D"/>
    <w:rsid w:val="00DA5627"/>
    <w:rsid w:val="00DA5CB8"/>
    <w:rsid w:val="00DB0EA0"/>
    <w:rsid w:val="00DB2983"/>
    <w:rsid w:val="00DB2D81"/>
    <w:rsid w:val="00DB3297"/>
    <w:rsid w:val="00DB3A11"/>
    <w:rsid w:val="00DB4892"/>
    <w:rsid w:val="00DB55D5"/>
    <w:rsid w:val="00DC0821"/>
    <w:rsid w:val="00DC1257"/>
    <w:rsid w:val="00DC1263"/>
    <w:rsid w:val="00DC38BC"/>
    <w:rsid w:val="00DC3DC0"/>
    <w:rsid w:val="00DC5B2B"/>
    <w:rsid w:val="00DD046A"/>
    <w:rsid w:val="00DD0583"/>
    <w:rsid w:val="00DD2472"/>
    <w:rsid w:val="00DD289D"/>
    <w:rsid w:val="00DD2BF6"/>
    <w:rsid w:val="00DD2D17"/>
    <w:rsid w:val="00DD318D"/>
    <w:rsid w:val="00DD422A"/>
    <w:rsid w:val="00DD5771"/>
    <w:rsid w:val="00DD7138"/>
    <w:rsid w:val="00DD7243"/>
    <w:rsid w:val="00DD7745"/>
    <w:rsid w:val="00DE008A"/>
    <w:rsid w:val="00DE0366"/>
    <w:rsid w:val="00DE144E"/>
    <w:rsid w:val="00DE1664"/>
    <w:rsid w:val="00DE18C8"/>
    <w:rsid w:val="00DE4C04"/>
    <w:rsid w:val="00DE59B4"/>
    <w:rsid w:val="00DE59E6"/>
    <w:rsid w:val="00DE61AC"/>
    <w:rsid w:val="00DE6919"/>
    <w:rsid w:val="00DE6A66"/>
    <w:rsid w:val="00DF03CC"/>
    <w:rsid w:val="00DF2E12"/>
    <w:rsid w:val="00DF3A26"/>
    <w:rsid w:val="00DF3FBE"/>
    <w:rsid w:val="00DF514A"/>
    <w:rsid w:val="00DF6690"/>
    <w:rsid w:val="00DF6804"/>
    <w:rsid w:val="00DF6AE7"/>
    <w:rsid w:val="00DF7D55"/>
    <w:rsid w:val="00DF7EAE"/>
    <w:rsid w:val="00E007D4"/>
    <w:rsid w:val="00E00832"/>
    <w:rsid w:val="00E00CD5"/>
    <w:rsid w:val="00E015D7"/>
    <w:rsid w:val="00E02E95"/>
    <w:rsid w:val="00E0358D"/>
    <w:rsid w:val="00E04323"/>
    <w:rsid w:val="00E04E73"/>
    <w:rsid w:val="00E070A2"/>
    <w:rsid w:val="00E10A8E"/>
    <w:rsid w:val="00E11104"/>
    <w:rsid w:val="00E11D8A"/>
    <w:rsid w:val="00E12215"/>
    <w:rsid w:val="00E136A9"/>
    <w:rsid w:val="00E15232"/>
    <w:rsid w:val="00E1655A"/>
    <w:rsid w:val="00E16F20"/>
    <w:rsid w:val="00E171C4"/>
    <w:rsid w:val="00E173C9"/>
    <w:rsid w:val="00E21CDC"/>
    <w:rsid w:val="00E2278B"/>
    <w:rsid w:val="00E228DB"/>
    <w:rsid w:val="00E229A6"/>
    <w:rsid w:val="00E24B8E"/>
    <w:rsid w:val="00E2656A"/>
    <w:rsid w:val="00E313C9"/>
    <w:rsid w:val="00E3183C"/>
    <w:rsid w:val="00E31931"/>
    <w:rsid w:val="00E3435A"/>
    <w:rsid w:val="00E34369"/>
    <w:rsid w:val="00E361FB"/>
    <w:rsid w:val="00E36663"/>
    <w:rsid w:val="00E37D15"/>
    <w:rsid w:val="00E37D2E"/>
    <w:rsid w:val="00E412D0"/>
    <w:rsid w:val="00E41BA0"/>
    <w:rsid w:val="00E42614"/>
    <w:rsid w:val="00E44037"/>
    <w:rsid w:val="00E4461F"/>
    <w:rsid w:val="00E44DC9"/>
    <w:rsid w:val="00E45CC9"/>
    <w:rsid w:val="00E46FDE"/>
    <w:rsid w:val="00E47900"/>
    <w:rsid w:val="00E51485"/>
    <w:rsid w:val="00E5182A"/>
    <w:rsid w:val="00E52F76"/>
    <w:rsid w:val="00E539E1"/>
    <w:rsid w:val="00E55F63"/>
    <w:rsid w:val="00E56322"/>
    <w:rsid w:val="00E5644A"/>
    <w:rsid w:val="00E5672E"/>
    <w:rsid w:val="00E60097"/>
    <w:rsid w:val="00E60982"/>
    <w:rsid w:val="00E6107B"/>
    <w:rsid w:val="00E62C62"/>
    <w:rsid w:val="00E63EAD"/>
    <w:rsid w:val="00E6542C"/>
    <w:rsid w:val="00E654C1"/>
    <w:rsid w:val="00E65882"/>
    <w:rsid w:val="00E65D97"/>
    <w:rsid w:val="00E712D8"/>
    <w:rsid w:val="00E71EB4"/>
    <w:rsid w:val="00E72A5A"/>
    <w:rsid w:val="00E73354"/>
    <w:rsid w:val="00E74CCB"/>
    <w:rsid w:val="00E7588C"/>
    <w:rsid w:val="00E77DF7"/>
    <w:rsid w:val="00E807DE"/>
    <w:rsid w:val="00E81982"/>
    <w:rsid w:val="00E82E8C"/>
    <w:rsid w:val="00E84980"/>
    <w:rsid w:val="00E85BCC"/>
    <w:rsid w:val="00E86BCB"/>
    <w:rsid w:val="00E9242D"/>
    <w:rsid w:val="00E92C3B"/>
    <w:rsid w:val="00E94C22"/>
    <w:rsid w:val="00E9536D"/>
    <w:rsid w:val="00E966F9"/>
    <w:rsid w:val="00EA0695"/>
    <w:rsid w:val="00EA10B6"/>
    <w:rsid w:val="00EA219C"/>
    <w:rsid w:val="00EA249D"/>
    <w:rsid w:val="00EA2C77"/>
    <w:rsid w:val="00EA3B4C"/>
    <w:rsid w:val="00EA4B78"/>
    <w:rsid w:val="00EA6039"/>
    <w:rsid w:val="00EA74A0"/>
    <w:rsid w:val="00EB0D42"/>
    <w:rsid w:val="00EB36D7"/>
    <w:rsid w:val="00EB5255"/>
    <w:rsid w:val="00EB58FE"/>
    <w:rsid w:val="00EB5C47"/>
    <w:rsid w:val="00EC0BDE"/>
    <w:rsid w:val="00EC1FEE"/>
    <w:rsid w:val="00EC2279"/>
    <w:rsid w:val="00EC3958"/>
    <w:rsid w:val="00EC3E24"/>
    <w:rsid w:val="00EC5B4B"/>
    <w:rsid w:val="00EC6266"/>
    <w:rsid w:val="00EC74C7"/>
    <w:rsid w:val="00ED0639"/>
    <w:rsid w:val="00ED07B0"/>
    <w:rsid w:val="00ED081C"/>
    <w:rsid w:val="00ED082A"/>
    <w:rsid w:val="00ED2373"/>
    <w:rsid w:val="00ED3D91"/>
    <w:rsid w:val="00ED516F"/>
    <w:rsid w:val="00ED5807"/>
    <w:rsid w:val="00ED5E78"/>
    <w:rsid w:val="00ED627B"/>
    <w:rsid w:val="00ED7338"/>
    <w:rsid w:val="00EE24FC"/>
    <w:rsid w:val="00EE2E28"/>
    <w:rsid w:val="00EE3B3A"/>
    <w:rsid w:val="00EE5132"/>
    <w:rsid w:val="00EE5872"/>
    <w:rsid w:val="00EE599C"/>
    <w:rsid w:val="00EE67F5"/>
    <w:rsid w:val="00EE77A7"/>
    <w:rsid w:val="00EF0DCE"/>
    <w:rsid w:val="00EF12E7"/>
    <w:rsid w:val="00EF144E"/>
    <w:rsid w:val="00EF15CB"/>
    <w:rsid w:val="00EF1A36"/>
    <w:rsid w:val="00EF2E99"/>
    <w:rsid w:val="00EF375B"/>
    <w:rsid w:val="00EF4755"/>
    <w:rsid w:val="00EF5092"/>
    <w:rsid w:val="00EF7135"/>
    <w:rsid w:val="00EF71D6"/>
    <w:rsid w:val="00F01D67"/>
    <w:rsid w:val="00F01EF3"/>
    <w:rsid w:val="00F027DB"/>
    <w:rsid w:val="00F02B64"/>
    <w:rsid w:val="00F04A2F"/>
    <w:rsid w:val="00F103F4"/>
    <w:rsid w:val="00F10814"/>
    <w:rsid w:val="00F109C0"/>
    <w:rsid w:val="00F112B0"/>
    <w:rsid w:val="00F14A24"/>
    <w:rsid w:val="00F14A7A"/>
    <w:rsid w:val="00F1502F"/>
    <w:rsid w:val="00F15713"/>
    <w:rsid w:val="00F15DCC"/>
    <w:rsid w:val="00F167A0"/>
    <w:rsid w:val="00F172AB"/>
    <w:rsid w:val="00F20B2F"/>
    <w:rsid w:val="00F21A00"/>
    <w:rsid w:val="00F22985"/>
    <w:rsid w:val="00F24D77"/>
    <w:rsid w:val="00F24F06"/>
    <w:rsid w:val="00F277C9"/>
    <w:rsid w:val="00F32CC5"/>
    <w:rsid w:val="00F32FDB"/>
    <w:rsid w:val="00F33164"/>
    <w:rsid w:val="00F3383E"/>
    <w:rsid w:val="00F33B3F"/>
    <w:rsid w:val="00F33E78"/>
    <w:rsid w:val="00F3555A"/>
    <w:rsid w:val="00F37D5C"/>
    <w:rsid w:val="00F42B2F"/>
    <w:rsid w:val="00F44225"/>
    <w:rsid w:val="00F465A7"/>
    <w:rsid w:val="00F46F2C"/>
    <w:rsid w:val="00F47748"/>
    <w:rsid w:val="00F47A6B"/>
    <w:rsid w:val="00F47A93"/>
    <w:rsid w:val="00F47B3D"/>
    <w:rsid w:val="00F50B7C"/>
    <w:rsid w:val="00F51A56"/>
    <w:rsid w:val="00F51AF1"/>
    <w:rsid w:val="00F536C0"/>
    <w:rsid w:val="00F54AED"/>
    <w:rsid w:val="00F550E6"/>
    <w:rsid w:val="00F554CD"/>
    <w:rsid w:val="00F55CF7"/>
    <w:rsid w:val="00F620EB"/>
    <w:rsid w:val="00F621EB"/>
    <w:rsid w:val="00F65CC8"/>
    <w:rsid w:val="00F66438"/>
    <w:rsid w:val="00F664D1"/>
    <w:rsid w:val="00F706E8"/>
    <w:rsid w:val="00F731E0"/>
    <w:rsid w:val="00F73C01"/>
    <w:rsid w:val="00F73C4E"/>
    <w:rsid w:val="00F74345"/>
    <w:rsid w:val="00F74778"/>
    <w:rsid w:val="00F750FF"/>
    <w:rsid w:val="00F777DE"/>
    <w:rsid w:val="00F80A0A"/>
    <w:rsid w:val="00F826F4"/>
    <w:rsid w:val="00F82B19"/>
    <w:rsid w:val="00F83826"/>
    <w:rsid w:val="00F86326"/>
    <w:rsid w:val="00F87CE0"/>
    <w:rsid w:val="00F90533"/>
    <w:rsid w:val="00F90BD3"/>
    <w:rsid w:val="00F90E4C"/>
    <w:rsid w:val="00F90FD0"/>
    <w:rsid w:val="00F9212D"/>
    <w:rsid w:val="00F9537E"/>
    <w:rsid w:val="00F965DA"/>
    <w:rsid w:val="00FA0ADF"/>
    <w:rsid w:val="00FA1AB7"/>
    <w:rsid w:val="00FA2017"/>
    <w:rsid w:val="00FA406A"/>
    <w:rsid w:val="00FA4A0B"/>
    <w:rsid w:val="00FB1A71"/>
    <w:rsid w:val="00FB25E8"/>
    <w:rsid w:val="00FB5010"/>
    <w:rsid w:val="00FB503A"/>
    <w:rsid w:val="00FB5149"/>
    <w:rsid w:val="00FB516C"/>
    <w:rsid w:val="00FB6CCA"/>
    <w:rsid w:val="00FB778C"/>
    <w:rsid w:val="00FB77A9"/>
    <w:rsid w:val="00FC00BB"/>
    <w:rsid w:val="00FC1518"/>
    <w:rsid w:val="00FC22FC"/>
    <w:rsid w:val="00FC35B3"/>
    <w:rsid w:val="00FC56A3"/>
    <w:rsid w:val="00FC574C"/>
    <w:rsid w:val="00FC579A"/>
    <w:rsid w:val="00FC7579"/>
    <w:rsid w:val="00FD0236"/>
    <w:rsid w:val="00FD039A"/>
    <w:rsid w:val="00FD060A"/>
    <w:rsid w:val="00FD18F4"/>
    <w:rsid w:val="00FD2302"/>
    <w:rsid w:val="00FD32DF"/>
    <w:rsid w:val="00FD3B88"/>
    <w:rsid w:val="00FD54DB"/>
    <w:rsid w:val="00FD619F"/>
    <w:rsid w:val="00FD712F"/>
    <w:rsid w:val="00FE0352"/>
    <w:rsid w:val="00FE1A14"/>
    <w:rsid w:val="00FE1B2F"/>
    <w:rsid w:val="00FE3409"/>
    <w:rsid w:val="00FE388E"/>
    <w:rsid w:val="00FE522A"/>
    <w:rsid w:val="00FE5294"/>
    <w:rsid w:val="00FE635D"/>
    <w:rsid w:val="00FE748C"/>
    <w:rsid w:val="00FF1D03"/>
    <w:rsid w:val="00FF3428"/>
    <w:rsid w:val="00FF40B5"/>
    <w:rsid w:val="00FF4822"/>
    <w:rsid w:val="00FF6B7D"/>
    <w:rsid w:val="00FF73C3"/>
    <w:rsid w:val="01064C9A"/>
    <w:rsid w:val="010B76FE"/>
    <w:rsid w:val="01101266"/>
    <w:rsid w:val="01141165"/>
    <w:rsid w:val="0116360A"/>
    <w:rsid w:val="01175149"/>
    <w:rsid w:val="011A02D2"/>
    <w:rsid w:val="012422F1"/>
    <w:rsid w:val="012515C4"/>
    <w:rsid w:val="01290F7E"/>
    <w:rsid w:val="012B71DB"/>
    <w:rsid w:val="012E46A6"/>
    <w:rsid w:val="01331812"/>
    <w:rsid w:val="013400FE"/>
    <w:rsid w:val="01357CD3"/>
    <w:rsid w:val="013D5016"/>
    <w:rsid w:val="01404653"/>
    <w:rsid w:val="014A2E7C"/>
    <w:rsid w:val="014B2A13"/>
    <w:rsid w:val="014B6AFE"/>
    <w:rsid w:val="014E260D"/>
    <w:rsid w:val="01550B94"/>
    <w:rsid w:val="015C24EA"/>
    <w:rsid w:val="015C66DF"/>
    <w:rsid w:val="015D1E09"/>
    <w:rsid w:val="015E0632"/>
    <w:rsid w:val="0160084E"/>
    <w:rsid w:val="01612F1A"/>
    <w:rsid w:val="01671BDD"/>
    <w:rsid w:val="01842762"/>
    <w:rsid w:val="018A2598"/>
    <w:rsid w:val="018B1DD7"/>
    <w:rsid w:val="019176D3"/>
    <w:rsid w:val="0194190A"/>
    <w:rsid w:val="019E7890"/>
    <w:rsid w:val="01A750C1"/>
    <w:rsid w:val="01A818D6"/>
    <w:rsid w:val="01AE77C6"/>
    <w:rsid w:val="01B14C06"/>
    <w:rsid w:val="01BB7833"/>
    <w:rsid w:val="01BE2E96"/>
    <w:rsid w:val="01C443CC"/>
    <w:rsid w:val="01C761D7"/>
    <w:rsid w:val="01CD4ACF"/>
    <w:rsid w:val="01CF32DE"/>
    <w:rsid w:val="01D15A1D"/>
    <w:rsid w:val="01D628BE"/>
    <w:rsid w:val="01DD02FC"/>
    <w:rsid w:val="01E11E34"/>
    <w:rsid w:val="01EF4770"/>
    <w:rsid w:val="01FB0BDB"/>
    <w:rsid w:val="01FC420F"/>
    <w:rsid w:val="0207305F"/>
    <w:rsid w:val="0221425B"/>
    <w:rsid w:val="0226338E"/>
    <w:rsid w:val="022B7772"/>
    <w:rsid w:val="022E7F89"/>
    <w:rsid w:val="022F241E"/>
    <w:rsid w:val="02317AF5"/>
    <w:rsid w:val="0233386D"/>
    <w:rsid w:val="023C5B0F"/>
    <w:rsid w:val="026303E3"/>
    <w:rsid w:val="02697903"/>
    <w:rsid w:val="02701F2C"/>
    <w:rsid w:val="02716C8C"/>
    <w:rsid w:val="02770BDB"/>
    <w:rsid w:val="02787D4E"/>
    <w:rsid w:val="027B4F34"/>
    <w:rsid w:val="027D3B5B"/>
    <w:rsid w:val="02824FE9"/>
    <w:rsid w:val="02842BCA"/>
    <w:rsid w:val="028A0100"/>
    <w:rsid w:val="028F4328"/>
    <w:rsid w:val="02901FD1"/>
    <w:rsid w:val="02964E90"/>
    <w:rsid w:val="02A24F36"/>
    <w:rsid w:val="02AF383B"/>
    <w:rsid w:val="02BA21E0"/>
    <w:rsid w:val="02C46BBB"/>
    <w:rsid w:val="02C47780"/>
    <w:rsid w:val="02CF755D"/>
    <w:rsid w:val="02D27D3E"/>
    <w:rsid w:val="02D36722"/>
    <w:rsid w:val="02D47F8E"/>
    <w:rsid w:val="02D53E88"/>
    <w:rsid w:val="02DD51FA"/>
    <w:rsid w:val="02E1776D"/>
    <w:rsid w:val="02E30B01"/>
    <w:rsid w:val="02E617DF"/>
    <w:rsid w:val="02ED1C6E"/>
    <w:rsid w:val="02EE3C38"/>
    <w:rsid w:val="02F54FC6"/>
    <w:rsid w:val="02F96569"/>
    <w:rsid w:val="02FD0F1A"/>
    <w:rsid w:val="030A66F6"/>
    <w:rsid w:val="03127926"/>
    <w:rsid w:val="03280EF8"/>
    <w:rsid w:val="032A2EC2"/>
    <w:rsid w:val="032F28FD"/>
    <w:rsid w:val="033250C0"/>
    <w:rsid w:val="0335681F"/>
    <w:rsid w:val="03393490"/>
    <w:rsid w:val="03455ED4"/>
    <w:rsid w:val="034B2423"/>
    <w:rsid w:val="034E2125"/>
    <w:rsid w:val="034E656D"/>
    <w:rsid w:val="03500BBD"/>
    <w:rsid w:val="03547F3F"/>
    <w:rsid w:val="035717DD"/>
    <w:rsid w:val="03587573"/>
    <w:rsid w:val="035B2972"/>
    <w:rsid w:val="035D5757"/>
    <w:rsid w:val="035E3ECC"/>
    <w:rsid w:val="036255F1"/>
    <w:rsid w:val="036447C7"/>
    <w:rsid w:val="036647FA"/>
    <w:rsid w:val="036B5288"/>
    <w:rsid w:val="03794CF2"/>
    <w:rsid w:val="037C6A75"/>
    <w:rsid w:val="03840CAB"/>
    <w:rsid w:val="03A82A14"/>
    <w:rsid w:val="03AF302D"/>
    <w:rsid w:val="03B82481"/>
    <w:rsid w:val="03C024A3"/>
    <w:rsid w:val="03C805AD"/>
    <w:rsid w:val="03CB4D6C"/>
    <w:rsid w:val="03CD1A9F"/>
    <w:rsid w:val="03D14B76"/>
    <w:rsid w:val="03D23055"/>
    <w:rsid w:val="03D41788"/>
    <w:rsid w:val="03DD34B3"/>
    <w:rsid w:val="03DF1BE4"/>
    <w:rsid w:val="03DF20D7"/>
    <w:rsid w:val="03E0011E"/>
    <w:rsid w:val="03E2379C"/>
    <w:rsid w:val="03E76624"/>
    <w:rsid w:val="03EA7B21"/>
    <w:rsid w:val="03FE14DE"/>
    <w:rsid w:val="03FE4719"/>
    <w:rsid w:val="04091391"/>
    <w:rsid w:val="040A684F"/>
    <w:rsid w:val="040B5B34"/>
    <w:rsid w:val="04123537"/>
    <w:rsid w:val="04190023"/>
    <w:rsid w:val="041C0ADC"/>
    <w:rsid w:val="042913CB"/>
    <w:rsid w:val="042934B3"/>
    <w:rsid w:val="04296AB4"/>
    <w:rsid w:val="042A31A6"/>
    <w:rsid w:val="042B65FD"/>
    <w:rsid w:val="042F62B6"/>
    <w:rsid w:val="0432076D"/>
    <w:rsid w:val="04365609"/>
    <w:rsid w:val="043835B1"/>
    <w:rsid w:val="04390EE3"/>
    <w:rsid w:val="043F2214"/>
    <w:rsid w:val="04434A24"/>
    <w:rsid w:val="044F114E"/>
    <w:rsid w:val="04515403"/>
    <w:rsid w:val="04535A5C"/>
    <w:rsid w:val="045736AA"/>
    <w:rsid w:val="04610AD6"/>
    <w:rsid w:val="046447EC"/>
    <w:rsid w:val="04662C85"/>
    <w:rsid w:val="04670B0A"/>
    <w:rsid w:val="04673CA2"/>
    <w:rsid w:val="0469392E"/>
    <w:rsid w:val="04743DAC"/>
    <w:rsid w:val="048A3F40"/>
    <w:rsid w:val="048C735A"/>
    <w:rsid w:val="048E122E"/>
    <w:rsid w:val="049A10C5"/>
    <w:rsid w:val="04A07218"/>
    <w:rsid w:val="04A24CDA"/>
    <w:rsid w:val="04BB33AF"/>
    <w:rsid w:val="04BD4BCE"/>
    <w:rsid w:val="04BF2C00"/>
    <w:rsid w:val="04C0220F"/>
    <w:rsid w:val="04C34475"/>
    <w:rsid w:val="04D74983"/>
    <w:rsid w:val="04DC19A8"/>
    <w:rsid w:val="04DF4560"/>
    <w:rsid w:val="04E51E2A"/>
    <w:rsid w:val="04EB1924"/>
    <w:rsid w:val="04EC78AA"/>
    <w:rsid w:val="04EE4C43"/>
    <w:rsid w:val="04F20FB0"/>
    <w:rsid w:val="04F70649"/>
    <w:rsid w:val="04F7364E"/>
    <w:rsid w:val="04F80D9E"/>
    <w:rsid w:val="04F96FF0"/>
    <w:rsid w:val="04FE6744"/>
    <w:rsid w:val="05045CE2"/>
    <w:rsid w:val="05047477"/>
    <w:rsid w:val="05087233"/>
    <w:rsid w:val="050B6D23"/>
    <w:rsid w:val="050C248D"/>
    <w:rsid w:val="051313F4"/>
    <w:rsid w:val="051A51B8"/>
    <w:rsid w:val="0523574F"/>
    <w:rsid w:val="052E47BF"/>
    <w:rsid w:val="05321E91"/>
    <w:rsid w:val="05427180"/>
    <w:rsid w:val="05544226"/>
    <w:rsid w:val="055D55ED"/>
    <w:rsid w:val="0560706F"/>
    <w:rsid w:val="0575419C"/>
    <w:rsid w:val="058060BB"/>
    <w:rsid w:val="058102E9"/>
    <w:rsid w:val="05823F16"/>
    <w:rsid w:val="05874F5C"/>
    <w:rsid w:val="05885082"/>
    <w:rsid w:val="058B2465"/>
    <w:rsid w:val="058B7D23"/>
    <w:rsid w:val="058F1702"/>
    <w:rsid w:val="05940AC6"/>
    <w:rsid w:val="059645B1"/>
    <w:rsid w:val="059943A2"/>
    <w:rsid w:val="059D6B84"/>
    <w:rsid w:val="05A03755"/>
    <w:rsid w:val="05A30A30"/>
    <w:rsid w:val="05A372DF"/>
    <w:rsid w:val="05B017D6"/>
    <w:rsid w:val="05B9277F"/>
    <w:rsid w:val="05B94E3C"/>
    <w:rsid w:val="05B97F46"/>
    <w:rsid w:val="05C87A16"/>
    <w:rsid w:val="05CA794E"/>
    <w:rsid w:val="05CB007D"/>
    <w:rsid w:val="05D13B0C"/>
    <w:rsid w:val="05D435B9"/>
    <w:rsid w:val="05D45ABD"/>
    <w:rsid w:val="05D51262"/>
    <w:rsid w:val="05DB4947"/>
    <w:rsid w:val="05DB7947"/>
    <w:rsid w:val="05E735C1"/>
    <w:rsid w:val="05E74E14"/>
    <w:rsid w:val="05EE7181"/>
    <w:rsid w:val="05F23A3F"/>
    <w:rsid w:val="05F263F3"/>
    <w:rsid w:val="05F44ACD"/>
    <w:rsid w:val="05F83EAE"/>
    <w:rsid w:val="0607273F"/>
    <w:rsid w:val="060D7DAD"/>
    <w:rsid w:val="060F02AB"/>
    <w:rsid w:val="06133069"/>
    <w:rsid w:val="06174E4F"/>
    <w:rsid w:val="061D6D0E"/>
    <w:rsid w:val="061F13E3"/>
    <w:rsid w:val="06210DF7"/>
    <w:rsid w:val="06230B81"/>
    <w:rsid w:val="06262A04"/>
    <w:rsid w:val="062C5DC4"/>
    <w:rsid w:val="062E278B"/>
    <w:rsid w:val="0636765B"/>
    <w:rsid w:val="063B1B70"/>
    <w:rsid w:val="063E7D85"/>
    <w:rsid w:val="06425D09"/>
    <w:rsid w:val="064D00F2"/>
    <w:rsid w:val="064D6E62"/>
    <w:rsid w:val="064F5313"/>
    <w:rsid w:val="065546FA"/>
    <w:rsid w:val="065F04A4"/>
    <w:rsid w:val="06604C4F"/>
    <w:rsid w:val="06641EDD"/>
    <w:rsid w:val="0667442D"/>
    <w:rsid w:val="0683788A"/>
    <w:rsid w:val="068A0502"/>
    <w:rsid w:val="068A3899"/>
    <w:rsid w:val="069A7E4C"/>
    <w:rsid w:val="06A83746"/>
    <w:rsid w:val="06AA1DCA"/>
    <w:rsid w:val="06AB60C8"/>
    <w:rsid w:val="06AB6A79"/>
    <w:rsid w:val="06B67394"/>
    <w:rsid w:val="06B80E36"/>
    <w:rsid w:val="06B817C1"/>
    <w:rsid w:val="06B8457A"/>
    <w:rsid w:val="06BA0A4A"/>
    <w:rsid w:val="06BE7A63"/>
    <w:rsid w:val="06C66001"/>
    <w:rsid w:val="06C87213"/>
    <w:rsid w:val="06C90C44"/>
    <w:rsid w:val="06D32037"/>
    <w:rsid w:val="06DD649D"/>
    <w:rsid w:val="06E14AD8"/>
    <w:rsid w:val="06E3495B"/>
    <w:rsid w:val="06E601F7"/>
    <w:rsid w:val="06E90B1A"/>
    <w:rsid w:val="06F30A28"/>
    <w:rsid w:val="06F3181D"/>
    <w:rsid w:val="06F65718"/>
    <w:rsid w:val="06F72C2A"/>
    <w:rsid w:val="07017031"/>
    <w:rsid w:val="071167C2"/>
    <w:rsid w:val="0716382D"/>
    <w:rsid w:val="0718536E"/>
    <w:rsid w:val="07195ED0"/>
    <w:rsid w:val="071C714A"/>
    <w:rsid w:val="071E3AD2"/>
    <w:rsid w:val="07211EA6"/>
    <w:rsid w:val="07265BEE"/>
    <w:rsid w:val="07293586"/>
    <w:rsid w:val="07295285"/>
    <w:rsid w:val="072A37A1"/>
    <w:rsid w:val="072C3265"/>
    <w:rsid w:val="072D4D2F"/>
    <w:rsid w:val="073B67BE"/>
    <w:rsid w:val="074F2F76"/>
    <w:rsid w:val="075077D4"/>
    <w:rsid w:val="07524795"/>
    <w:rsid w:val="075A189C"/>
    <w:rsid w:val="075C73F4"/>
    <w:rsid w:val="075E313A"/>
    <w:rsid w:val="07636392"/>
    <w:rsid w:val="0765162A"/>
    <w:rsid w:val="076C7F25"/>
    <w:rsid w:val="07766D28"/>
    <w:rsid w:val="07770C56"/>
    <w:rsid w:val="07797E70"/>
    <w:rsid w:val="0780190E"/>
    <w:rsid w:val="079923C4"/>
    <w:rsid w:val="079F3753"/>
    <w:rsid w:val="07A1571D"/>
    <w:rsid w:val="07AC3EEC"/>
    <w:rsid w:val="07BC033E"/>
    <w:rsid w:val="07BC03E3"/>
    <w:rsid w:val="07C06A5C"/>
    <w:rsid w:val="07C07B32"/>
    <w:rsid w:val="07C144E0"/>
    <w:rsid w:val="07CB7FF1"/>
    <w:rsid w:val="07D94EB6"/>
    <w:rsid w:val="07DB634B"/>
    <w:rsid w:val="07E37075"/>
    <w:rsid w:val="07EF5CAD"/>
    <w:rsid w:val="07FB6BDB"/>
    <w:rsid w:val="08001443"/>
    <w:rsid w:val="08026E3F"/>
    <w:rsid w:val="08075F7B"/>
    <w:rsid w:val="08084B9B"/>
    <w:rsid w:val="080924AF"/>
    <w:rsid w:val="080A5070"/>
    <w:rsid w:val="080D690E"/>
    <w:rsid w:val="0811040D"/>
    <w:rsid w:val="081F675F"/>
    <w:rsid w:val="08220261"/>
    <w:rsid w:val="082A06A2"/>
    <w:rsid w:val="082C5085"/>
    <w:rsid w:val="0832500B"/>
    <w:rsid w:val="08442237"/>
    <w:rsid w:val="08485B98"/>
    <w:rsid w:val="084D44E9"/>
    <w:rsid w:val="0851195F"/>
    <w:rsid w:val="085B58CB"/>
    <w:rsid w:val="086133EB"/>
    <w:rsid w:val="086A5B0F"/>
    <w:rsid w:val="086C426F"/>
    <w:rsid w:val="087345A0"/>
    <w:rsid w:val="08766E2F"/>
    <w:rsid w:val="08770A71"/>
    <w:rsid w:val="087A3F16"/>
    <w:rsid w:val="087D5842"/>
    <w:rsid w:val="087F2EF1"/>
    <w:rsid w:val="088031A4"/>
    <w:rsid w:val="088B3671"/>
    <w:rsid w:val="088E04ED"/>
    <w:rsid w:val="08901A19"/>
    <w:rsid w:val="0891490D"/>
    <w:rsid w:val="089742A9"/>
    <w:rsid w:val="08996F9E"/>
    <w:rsid w:val="08B7174F"/>
    <w:rsid w:val="08BE74CA"/>
    <w:rsid w:val="08C72F61"/>
    <w:rsid w:val="08D0770E"/>
    <w:rsid w:val="08D53BEF"/>
    <w:rsid w:val="08E2175A"/>
    <w:rsid w:val="08E3531D"/>
    <w:rsid w:val="08E50D18"/>
    <w:rsid w:val="08E67415"/>
    <w:rsid w:val="08EA12D7"/>
    <w:rsid w:val="08EE4992"/>
    <w:rsid w:val="08F17FDE"/>
    <w:rsid w:val="08F902D0"/>
    <w:rsid w:val="08FA0E71"/>
    <w:rsid w:val="09000221"/>
    <w:rsid w:val="0908079E"/>
    <w:rsid w:val="090E5BA6"/>
    <w:rsid w:val="092006FA"/>
    <w:rsid w:val="092217DD"/>
    <w:rsid w:val="09267C87"/>
    <w:rsid w:val="093A28C5"/>
    <w:rsid w:val="093A7294"/>
    <w:rsid w:val="0941359D"/>
    <w:rsid w:val="09434D9D"/>
    <w:rsid w:val="094445B2"/>
    <w:rsid w:val="0946583B"/>
    <w:rsid w:val="094B5C31"/>
    <w:rsid w:val="096A44A7"/>
    <w:rsid w:val="0977182D"/>
    <w:rsid w:val="098175B4"/>
    <w:rsid w:val="09844198"/>
    <w:rsid w:val="099079F2"/>
    <w:rsid w:val="099567B3"/>
    <w:rsid w:val="099F58B0"/>
    <w:rsid w:val="09A45425"/>
    <w:rsid w:val="09B87261"/>
    <w:rsid w:val="09C37BCC"/>
    <w:rsid w:val="09D27DE2"/>
    <w:rsid w:val="09D75125"/>
    <w:rsid w:val="09D842F9"/>
    <w:rsid w:val="09DA2320"/>
    <w:rsid w:val="09DB5757"/>
    <w:rsid w:val="09DC0E8F"/>
    <w:rsid w:val="09DC47EA"/>
    <w:rsid w:val="09DF3C34"/>
    <w:rsid w:val="09DF3D6F"/>
    <w:rsid w:val="09E85885"/>
    <w:rsid w:val="09EF43BC"/>
    <w:rsid w:val="09F12D3E"/>
    <w:rsid w:val="09F67E30"/>
    <w:rsid w:val="09F82331"/>
    <w:rsid w:val="0A03310D"/>
    <w:rsid w:val="0A061FC3"/>
    <w:rsid w:val="0A0729E3"/>
    <w:rsid w:val="0A173943"/>
    <w:rsid w:val="0A18440D"/>
    <w:rsid w:val="0A187F18"/>
    <w:rsid w:val="0A1B17B6"/>
    <w:rsid w:val="0A1D2C85"/>
    <w:rsid w:val="0A216A9A"/>
    <w:rsid w:val="0A252B63"/>
    <w:rsid w:val="0A263993"/>
    <w:rsid w:val="0A2710A6"/>
    <w:rsid w:val="0A2D3AC2"/>
    <w:rsid w:val="0A3D0CAE"/>
    <w:rsid w:val="0A3D33B0"/>
    <w:rsid w:val="0A496AA6"/>
    <w:rsid w:val="0A497F9C"/>
    <w:rsid w:val="0A4F1460"/>
    <w:rsid w:val="0A5627EE"/>
    <w:rsid w:val="0A56459C"/>
    <w:rsid w:val="0A642CF0"/>
    <w:rsid w:val="0A6E669F"/>
    <w:rsid w:val="0A7B05AA"/>
    <w:rsid w:val="0A8226A5"/>
    <w:rsid w:val="0A8403C1"/>
    <w:rsid w:val="0A9652E1"/>
    <w:rsid w:val="0A9A342F"/>
    <w:rsid w:val="0A9F749E"/>
    <w:rsid w:val="0AA755DF"/>
    <w:rsid w:val="0AA92F77"/>
    <w:rsid w:val="0AAA37AF"/>
    <w:rsid w:val="0AAC240E"/>
    <w:rsid w:val="0AB03A5F"/>
    <w:rsid w:val="0AB17D93"/>
    <w:rsid w:val="0AB357F8"/>
    <w:rsid w:val="0AB74528"/>
    <w:rsid w:val="0ABC6466"/>
    <w:rsid w:val="0AC2018B"/>
    <w:rsid w:val="0ACA573B"/>
    <w:rsid w:val="0AD866CC"/>
    <w:rsid w:val="0ADC27FC"/>
    <w:rsid w:val="0AE278DF"/>
    <w:rsid w:val="0AE5475F"/>
    <w:rsid w:val="0AE6457A"/>
    <w:rsid w:val="0AE668D5"/>
    <w:rsid w:val="0AE92EB9"/>
    <w:rsid w:val="0AEB36ED"/>
    <w:rsid w:val="0AEF33F4"/>
    <w:rsid w:val="0AF50259"/>
    <w:rsid w:val="0AF50AC0"/>
    <w:rsid w:val="0B0859F4"/>
    <w:rsid w:val="0B09319B"/>
    <w:rsid w:val="0B0C49D4"/>
    <w:rsid w:val="0B0D3FDC"/>
    <w:rsid w:val="0B0E2174"/>
    <w:rsid w:val="0B11052F"/>
    <w:rsid w:val="0B120D44"/>
    <w:rsid w:val="0B135DC7"/>
    <w:rsid w:val="0B154F82"/>
    <w:rsid w:val="0B1836C6"/>
    <w:rsid w:val="0B187425"/>
    <w:rsid w:val="0B1F7F3E"/>
    <w:rsid w:val="0B200177"/>
    <w:rsid w:val="0B202517"/>
    <w:rsid w:val="0B2523B2"/>
    <w:rsid w:val="0B2F2BB2"/>
    <w:rsid w:val="0B3A2110"/>
    <w:rsid w:val="0B4043E5"/>
    <w:rsid w:val="0B45136E"/>
    <w:rsid w:val="0B4765DB"/>
    <w:rsid w:val="0B495E98"/>
    <w:rsid w:val="0B512FB6"/>
    <w:rsid w:val="0B53257B"/>
    <w:rsid w:val="0B555B89"/>
    <w:rsid w:val="0B56202D"/>
    <w:rsid w:val="0B5A630E"/>
    <w:rsid w:val="0B5F3D79"/>
    <w:rsid w:val="0B6126F3"/>
    <w:rsid w:val="0B627849"/>
    <w:rsid w:val="0B6C1A2F"/>
    <w:rsid w:val="0B6F1467"/>
    <w:rsid w:val="0B753EFA"/>
    <w:rsid w:val="0B860EB1"/>
    <w:rsid w:val="0B865275"/>
    <w:rsid w:val="0B894878"/>
    <w:rsid w:val="0B8A7F80"/>
    <w:rsid w:val="0B8D5BE5"/>
    <w:rsid w:val="0B9A2BAF"/>
    <w:rsid w:val="0B9F6417"/>
    <w:rsid w:val="0BA06887"/>
    <w:rsid w:val="0BA21C76"/>
    <w:rsid w:val="0BA47E3A"/>
    <w:rsid w:val="0BAD401F"/>
    <w:rsid w:val="0BB91474"/>
    <w:rsid w:val="0BBB37D1"/>
    <w:rsid w:val="0BC4299C"/>
    <w:rsid w:val="0BC9444D"/>
    <w:rsid w:val="0BCB0C82"/>
    <w:rsid w:val="0BD27BF6"/>
    <w:rsid w:val="0BD45F05"/>
    <w:rsid w:val="0BD8021B"/>
    <w:rsid w:val="0BDF6813"/>
    <w:rsid w:val="0BDF7B46"/>
    <w:rsid w:val="0BE76E15"/>
    <w:rsid w:val="0BE811C8"/>
    <w:rsid w:val="0BF12B54"/>
    <w:rsid w:val="0BF13492"/>
    <w:rsid w:val="0BFC5617"/>
    <w:rsid w:val="0BFF24E9"/>
    <w:rsid w:val="0C0242CB"/>
    <w:rsid w:val="0C061FF2"/>
    <w:rsid w:val="0C1067CD"/>
    <w:rsid w:val="0C1069CD"/>
    <w:rsid w:val="0C147094"/>
    <w:rsid w:val="0C1A0207"/>
    <w:rsid w:val="0C1A4BB1"/>
    <w:rsid w:val="0C1C65A5"/>
    <w:rsid w:val="0C1E558E"/>
    <w:rsid w:val="0C1F1EFB"/>
    <w:rsid w:val="0C22178A"/>
    <w:rsid w:val="0C232BA4"/>
    <w:rsid w:val="0C2379DD"/>
    <w:rsid w:val="0C281F69"/>
    <w:rsid w:val="0C3108DD"/>
    <w:rsid w:val="0C32451A"/>
    <w:rsid w:val="0C324B95"/>
    <w:rsid w:val="0C3B3C7D"/>
    <w:rsid w:val="0C480CD6"/>
    <w:rsid w:val="0C4A7332"/>
    <w:rsid w:val="0C4D4F79"/>
    <w:rsid w:val="0C511B74"/>
    <w:rsid w:val="0C533A02"/>
    <w:rsid w:val="0C5E1E2E"/>
    <w:rsid w:val="0C71390F"/>
    <w:rsid w:val="0C713EA8"/>
    <w:rsid w:val="0C772F6E"/>
    <w:rsid w:val="0C7B02EA"/>
    <w:rsid w:val="0C7C2DBC"/>
    <w:rsid w:val="0C7D0506"/>
    <w:rsid w:val="0C802078"/>
    <w:rsid w:val="0C8F4C53"/>
    <w:rsid w:val="0C9162ED"/>
    <w:rsid w:val="0C9871A6"/>
    <w:rsid w:val="0CA5180B"/>
    <w:rsid w:val="0CAB2EAE"/>
    <w:rsid w:val="0CB3012C"/>
    <w:rsid w:val="0CB97065"/>
    <w:rsid w:val="0CBB2312"/>
    <w:rsid w:val="0CC41E6B"/>
    <w:rsid w:val="0CC950CC"/>
    <w:rsid w:val="0CD242DF"/>
    <w:rsid w:val="0CD43A86"/>
    <w:rsid w:val="0CD90D10"/>
    <w:rsid w:val="0CE009EA"/>
    <w:rsid w:val="0CE422B2"/>
    <w:rsid w:val="0CE7563D"/>
    <w:rsid w:val="0CE763F6"/>
    <w:rsid w:val="0CEE4F60"/>
    <w:rsid w:val="0CEE78D1"/>
    <w:rsid w:val="0CEF0CD8"/>
    <w:rsid w:val="0CF66A28"/>
    <w:rsid w:val="0CF82F5F"/>
    <w:rsid w:val="0CFA00CE"/>
    <w:rsid w:val="0CFD763E"/>
    <w:rsid w:val="0D016D0E"/>
    <w:rsid w:val="0D05510F"/>
    <w:rsid w:val="0D080EBF"/>
    <w:rsid w:val="0D240982"/>
    <w:rsid w:val="0D2941EA"/>
    <w:rsid w:val="0D375D39"/>
    <w:rsid w:val="0D3D0A9A"/>
    <w:rsid w:val="0D4E0A83"/>
    <w:rsid w:val="0D5511E7"/>
    <w:rsid w:val="0D571A5B"/>
    <w:rsid w:val="0D58062B"/>
    <w:rsid w:val="0D5F5AD4"/>
    <w:rsid w:val="0D620BF6"/>
    <w:rsid w:val="0D621C7D"/>
    <w:rsid w:val="0D6A6414"/>
    <w:rsid w:val="0D6D0A77"/>
    <w:rsid w:val="0D701E19"/>
    <w:rsid w:val="0D731909"/>
    <w:rsid w:val="0D731E8F"/>
    <w:rsid w:val="0D765B80"/>
    <w:rsid w:val="0D7758B2"/>
    <w:rsid w:val="0D78535E"/>
    <w:rsid w:val="0D7A5F77"/>
    <w:rsid w:val="0D7C256C"/>
    <w:rsid w:val="0D7F3B30"/>
    <w:rsid w:val="0D832990"/>
    <w:rsid w:val="0D881B25"/>
    <w:rsid w:val="0D8853B5"/>
    <w:rsid w:val="0D9248EB"/>
    <w:rsid w:val="0D951880"/>
    <w:rsid w:val="0D9A6841"/>
    <w:rsid w:val="0DA2581C"/>
    <w:rsid w:val="0DA970D9"/>
    <w:rsid w:val="0DAD2B87"/>
    <w:rsid w:val="0DAE4FDC"/>
    <w:rsid w:val="0DBF1B11"/>
    <w:rsid w:val="0DC22216"/>
    <w:rsid w:val="0DC63CC2"/>
    <w:rsid w:val="0DCC3D0B"/>
    <w:rsid w:val="0DCD2DC7"/>
    <w:rsid w:val="0DCF1BC5"/>
    <w:rsid w:val="0DD269FA"/>
    <w:rsid w:val="0DD56120"/>
    <w:rsid w:val="0DD87BCC"/>
    <w:rsid w:val="0DDB7FB7"/>
    <w:rsid w:val="0DDF0D4D"/>
    <w:rsid w:val="0DE30E3D"/>
    <w:rsid w:val="0DE6588C"/>
    <w:rsid w:val="0DE943E2"/>
    <w:rsid w:val="0DEA7FF2"/>
    <w:rsid w:val="0DED1DE7"/>
    <w:rsid w:val="0DEF4AD2"/>
    <w:rsid w:val="0DF05606"/>
    <w:rsid w:val="0DF45457"/>
    <w:rsid w:val="0DF93BBD"/>
    <w:rsid w:val="0DFA2342"/>
    <w:rsid w:val="0DFF7041"/>
    <w:rsid w:val="0E0643E2"/>
    <w:rsid w:val="0E0831FE"/>
    <w:rsid w:val="0E127789"/>
    <w:rsid w:val="0E136EEA"/>
    <w:rsid w:val="0E17085E"/>
    <w:rsid w:val="0E1924B1"/>
    <w:rsid w:val="0E1A1D85"/>
    <w:rsid w:val="0E1A1DBD"/>
    <w:rsid w:val="0E3043DA"/>
    <w:rsid w:val="0E31204E"/>
    <w:rsid w:val="0E340E7E"/>
    <w:rsid w:val="0E356BBF"/>
    <w:rsid w:val="0E377953"/>
    <w:rsid w:val="0E3E5A73"/>
    <w:rsid w:val="0E412962"/>
    <w:rsid w:val="0E4337CD"/>
    <w:rsid w:val="0E540E48"/>
    <w:rsid w:val="0E556903"/>
    <w:rsid w:val="0E566C11"/>
    <w:rsid w:val="0E63381E"/>
    <w:rsid w:val="0E682AF0"/>
    <w:rsid w:val="0E6B438E"/>
    <w:rsid w:val="0E711C4E"/>
    <w:rsid w:val="0E72396F"/>
    <w:rsid w:val="0E73034D"/>
    <w:rsid w:val="0E7616B1"/>
    <w:rsid w:val="0E806730"/>
    <w:rsid w:val="0E841F65"/>
    <w:rsid w:val="0E896C68"/>
    <w:rsid w:val="0E8A13FF"/>
    <w:rsid w:val="0E8C18A2"/>
    <w:rsid w:val="0E8E5690"/>
    <w:rsid w:val="0E9E29B6"/>
    <w:rsid w:val="0EA75431"/>
    <w:rsid w:val="0EA76787"/>
    <w:rsid w:val="0EA87375"/>
    <w:rsid w:val="0EAA7549"/>
    <w:rsid w:val="0EB14497"/>
    <w:rsid w:val="0EB46E08"/>
    <w:rsid w:val="0EB7512D"/>
    <w:rsid w:val="0EC1748E"/>
    <w:rsid w:val="0EC57F43"/>
    <w:rsid w:val="0EC71F0D"/>
    <w:rsid w:val="0ECC3B6E"/>
    <w:rsid w:val="0EDC6F67"/>
    <w:rsid w:val="0EE17B88"/>
    <w:rsid w:val="0EE82322"/>
    <w:rsid w:val="0EE93828"/>
    <w:rsid w:val="0EEE5C59"/>
    <w:rsid w:val="0EEF3211"/>
    <w:rsid w:val="0EF034DA"/>
    <w:rsid w:val="0EF645A0"/>
    <w:rsid w:val="0EFD5DB0"/>
    <w:rsid w:val="0F0002E8"/>
    <w:rsid w:val="0F0F0594"/>
    <w:rsid w:val="0F13775A"/>
    <w:rsid w:val="0F1F5C14"/>
    <w:rsid w:val="0F2031B5"/>
    <w:rsid w:val="0F23730A"/>
    <w:rsid w:val="0F286A98"/>
    <w:rsid w:val="0F2E0B64"/>
    <w:rsid w:val="0F31382A"/>
    <w:rsid w:val="0F412ECA"/>
    <w:rsid w:val="0F4A0448"/>
    <w:rsid w:val="0F4F1733"/>
    <w:rsid w:val="0F562ADA"/>
    <w:rsid w:val="0F5F45FE"/>
    <w:rsid w:val="0F662AD3"/>
    <w:rsid w:val="0F672DA8"/>
    <w:rsid w:val="0F680E57"/>
    <w:rsid w:val="0F7014AD"/>
    <w:rsid w:val="0F783207"/>
    <w:rsid w:val="0F7F51FE"/>
    <w:rsid w:val="0F8D0C88"/>
    <w:rsid w:val="0F90536D"/>
    <w:rsid w:val="0F933B9D"/>
    <w:rsid w:val="0F9A112B"/>
    <w:rsid w:val="0FA22032"/>
    <w:rsid w:val="0FA83AEC"/>
    <w:rsid w:val="0FAF51FB"/>
    <w:rsid w:val="0FB1166D"/>
    <w:rsid w:val="0FB26A3D"/>
    <w:rsid w:val="0FB35FED"/>
    <w:rsid w:val="0FBC3819"/>
    <w:rsid w:val="0FC046F5"/>
    <w:rsid w:val="0FC226D4"/>
    <w:rsid w:val="0FCE2C6E"/>
    <w:rsid w:val="0FD3043D"/>
    <w:rsid w:val="0FD90470"/>
    <w:rsid w:val="0FDB0FC3"/>
    <w:rsid w:val="0FE268D2"/>
    <w:rsid w:val="0FE52D38"/>
    <w:rsid w:val="0FEF171B"/>
    <w:rsid w:val="0FF07DF8"/>
    <w:rsid w:val="0FF82A7A"/>
    <w:rsid w:val="0FFC0F07"/>
    <w:rsid w:val="0FFC5BE6"/>
    <w:rsid w:val="100268B9"/>
    <w:rsid w:val="10075FE3"/>
    <w:rsid w:val="10192649"/>
    <w:rsid w:val="10213EB4"/>
    <w:rsid w:val="10336744"/>
    <w:rsid w:val="10347A76"/>
    <w:rsid w:val="10353CB2"/>
    <w:rsid w:val="103A04BC"/>
    <w:rsid w:val="103B0079"/>
    <w:rsid w:val="10417A9D"/>
    <w:rsid w:val="10430B99"/>
    <w:rsid w:val="104573AA"/>
    <w:rsid w:val="10461889"/>
    <w:rsid w:val="104B67B1"/>
    <w:rsid w:val="10587F4B"/>
    <w:rsid w:val="105A290D"/>
    <w:rsid w:val="105E2F1C"/>
    <w:rsid w:val="10677E1D"/>
    <w:rsid w:val="106C5F4C"/>
    <w:rsid w:val="106D2F64"/>
    <w:rsid w:val="106E1E79"/>
    <w:rsid w:val="10700789"/>
    <w:rsid w:val="107077F8"/>
    <w:rsid w:val="10716466"/>
    <w:rsid w:val="10761BCF"/>
    <w:rsid w:val="10897D96"/>
    <w:rsid w:val="10985CB7"/>
    <w:rsid w:val="10991559"/>
    <w:rsid w:val="109F29D8"/>
    <w:rsid w:val="10A06571"/>
    <w:rsid w:val="10A122E9"/>
    <w:rsid w:val="10A33F94"/>
    <w:rsid w:val="10A51DDA"/>
    <w:rsid w:val="10A83678"/>
    <w:rsid w:val="10AA635A"/>
    <w:rsid w:val="10B4201D"/>
    <w:rsid w:val="10B63710"/>
    <w:rsid w:val="10B66F85"/>
    <w:rsid w:val="10C23C17"/>
    <w:rsid w:val="10C32DB5"/>
    <w:rsid w:val="10C34981"/>
    <w:rsid w:val="10C50464"/>
    <w:rsid w:val="10C5247C"/>
    <w:rsid w:val="10C70FBB"/>
    <w:rsid w:val="10C7504F"/>
    <w:rsid w:val="10CA1B53"/>
    <w:rsid w:val="10CB2034"/>
    <w:rsid w:val="10CB61D2"/>
    <w:rsid w:val="10CD24AC"/>
    <w:rsid w:val="10CE3A4A"/>
    <w:rsid w:val="10CF2C4A"/>
    <w:rsid w:val="10D55C8B"/>
    <w:rsid w:val="10D75D0B"/>
    <w:rsid w:val="10DB6CE5"/>
    <w:rsid w:val="10DC4E76"/>
    <w:rsid w:val="10DE674D"/>
    <w:rsid w:val="10EA0134"/>
    <w:rsid w:val="10EC5C5A"/>
    <w:rsid w:val="10F10820"/>
    <w:rsid w:val="10F55603"/>
    <w:rsid w:val="10F93D18"/>
    <w:rsid w:val="110068E1"/>
    <w:rsid w:val="110A5B48"/>
    <w:rsid w:val="110C5F23"/>
    <w:rsid w:val="1112381E"/>
    <w:rsid w:val="1118026B"/>
    <w:rsid w:val="11181FF0"/>
    <w:rsid w:val="11194B1F"/>
    <w:rsid w:val="111C2F7A"/>
    <w:rsid w:val="11274EE5"/>
    <w:rsid w:val="11302451"/>
    <w:rsid w:val="11333889"/>
    <w:rsid w:val="11387E2A"/>
    <w:rsid w:val="11390075"/>
    <w:rsid w:val="113A05EA"/>
    <w:rsid w:val="113C57F9"/>
    <w:rsid w:val="11401B02"/>
    <w:rsid w:val="114C3BA0"/>
    <w:rsid w:val="11567CCE"/>
    <w:rsid w:val="115C6273"/>
    <w:rsid w:val="1162021B"/>
    <w:rsid w:val="11623C93"/>
    <w:rsid w:val="11665CA1"/>
    <w:rsid w:val="11677E9D"/>
    <w:rsid w:val="116F4196"/>
    <w:rsid w:val="11737F85"/>
    <w:rsid w:val="11755AE7"/>
    <w:rsid w:val="11785740"/>
    <w:rsid w:val="11790DE0"/>
    <w:rsid w:val="11845E93"/>
    <w:rsid w:val="11886BA2"/>
    <w:rsid w:val="11916F3D"/>
    <w:rsid w:val="119400A5"/>
    <w:rsid w:val="119F134F"/>
    <w:rsid w:val="119F1C32"/>
    <w:rsid w:val="11A67488"/>
    <w:rsid w:val="11AB15B9"/>
    <w:rsid w:val="11B75408"/>
    <w:rsid w:val="11BA3663"/>
    <w:rsid w:val="11C52331"/>
    <w:rsid w:val="11C742F9"/>
    <w:rsid w:val="11C91AF8"/>
    <w:rsid w:val="11CC254F"/>
    <w:rsid w:val="11D1427B"/>
    <w:rsid w:val="11DA1F57"/>
    <w:rsid w:val="11E92A0E"/>
    <w:rsid w:val="11EC5F81"/>
    <w:rsid w:val="11F47726"/>
    <w:rsid w:val="12027AEB"/>
    <w:rsid w:val="12033BE3"/>
    <w:rsid w:val="12035487"/>
    <w:rsid w:val="120F5BA7"/>
    <w:rsid w:val="1210315D"/>
    <w:rsid w:val="1215457F"/>
    <w:rsid w:val="121865DB"/>
    <w:rsid w:val="121960FF"/>
    <w:rsid w:val="121C4D8C"/>
    <w:rsid w:val="121D4CB7"/>
    <w:rsid w:val="121F2ECD"/>
    <w:rsid w:val="122006A8"/>
    <w:rsid w:val="123042D3"/>
    <w:rsid w:val="12307BF4"/>
    <w:rsid w:val="123553DF"/>
    <w:rsid w:val="124A0D49"/>
    <w:rsid w:val="12572318"/>
    <w:rsid w:val="12591B49"/>
    <w:rsid w:val="125A6BF4"/>
    <w:rsid w:val="12612E3B"/>
    <w:rsid w:val="12683210"/>
    <w:rsid w:val="12761D62"/>
    <w:rsid w:val="127E013D"/>
    <w:rsid w:val="12812FB7"/>
    <w:rsid w:val="128D46DD"/>
    <w:rsid w:val="12965ECE"/>
    <w:rsid w:val="129A3D8F"/>
    <w:rsid w:val="129C385F"/>
    <w:rsid w:val="12A26051"/>
    <w:rsid w:val="12A8127A"/>
    <w:rsid w:val="12AA1929"/>
    <w:rsid w:val="12AD158A"/>
    <w:rsid w:val="12AF5FD2"/>
    <w:rsid w:val="12B56B32"/>
    <w:rsid w:val="12BB58E4"/>
    <w:rsid w:val="12BC17FF"/>
    <w:rsid w:val="12C6640C"/>
    <w:rsid w:val="12C757DE"/>
    <w:rsid w:val="12C80001"/>
    <w:rsid w:val="12CA1913"/>
    <w:rsid w:val="12D04C70"/>
    <w:rsid w:val="12D6271E"/>
    <w:rsid w:val="12D83EDC"/>
    <w:rsid w:val="12DE35EB"/>
    <w:rsid w:val="12EE319F"/>
    <w:rsid w:val="12F9640D"/>
    <w:rsid w:val="12FF29BC"/>
    <w:rsid w:val="130A1AF0"/>
    <w:rsid w:val="130C4392"/>
    <w:rsid w:val="130C4592"/>
    <w:rsid w:val="1315735E"/>
    <w:rsid w:val="131641A7"/>
    <w:rsid w:val="1319085D"/>
    <w:rsid w:val="131B4645"/>
    <w:rsid w:val="131F485E"/>
    <w:rsid w:val="131F7D9B"/>
    <w:rsid w:val="1336140F"/>
    <w:rsid w:val="133D2352"/>
    <w:rsid w:val="1343578F"/>
    <w:rsid w:val="13465759"/>
    <w:rsid w:val="135058A6"/>
    <w:rsid w:val="13534C68"/>
    <w:rsid w:val="13564B23"/>
    <w:rsid w:val="135A26A3"/>
    <w:rsid w:val="135D0A1A"/>
    <w:rsid w:val="13732930"/>
    <w:rsid w:val="1376722B"/>
    <w:rsid w:val="13767A5D"/>
    <w:rsid w:val="137741C1"/>
    <w:rsid w:val="137B277C"/>
    <w:rsid w:val="1387702A"/>
    <w:rsid w:val="13895956"/>
    <w:rsid w:val="13951726"/>
    <w:rsid w:val="139F0559"/>
    <w:rsid w:val="13AC40F8"/>
    <w:rsid w:val="13B448C6"/>
    <w:rsid w:val="13B75FD0"/>
    <w:rsid w:val="13C844F0"/>
    <w:rsid w:val="13CA1B57"/>
    <w:rsid w:val="13E26D73"/>
    <w:rsid w:val="13E26EA1"/>
    <w:rsid w:val="13ED4D0B"/>
    <w:rsid w:val="13FD10D2"/>
    <w:rsid w:val="13FD3CDB"/>
    <w:rsid w:val="14067033"/>
    <w:rsid w:val="141334FE"/>
    <w:rsid w:val="14151024"/>
    <w:rsid w:val="141537F9"/>
    <w:rsid w:val="141956BA"/>
    <w:rsid w:val="141C63B6"/>
    <w:rsid w:val="141D45F8"/>
    <w:rsid w:val="14242942"/>
    <w:rsid w:val="14242EA5"/>
    <w:rsid w:val="14244083"/>
    <w:rsid w:val="14246760"/>
    <w:rsid w:val="142F7384"/>
    <w:rsid w:val="14396509"/>
    <w:rsid w:val="14396561"/>
    <w:rsid w:val="143D576D"/>
    <w:rsid w:val="143F0797"/>
    <w:rsid w:val="14425B91"/>
    <w:rsid w:val="14457F2E"/>
    <w:rsid w:val="14461D1D"/>
    <w:rsid w:val="144A310D"/>
    <w:rsid w:val="144F1C02"/>
    <w:rsid w:val="14531B4D"/>
    <w:rsid w:val="145A2EDB"/>
    <w:rsid w:val="14643D5A"/>
    <w:rsid w:val="14651608"/>
    <w:rsid w:val="14706B0E"/>
    <w:rsid w:val="14742E5E"/>
    <w:rsid w:val="14751CC1"/>
    <w:rsid w:val="1482775B"/>
    <w:rsid w:val="14865402"/>
    <w:rsid w:val="14952165"/>
    <w:rsid w:val="14996458"/>
    <w:rsid w:val="14A5499A"/>
    <w:rsid w:val="14A82170"/>
    <w:rsid w:val="14AA7D5D"/>
    <w:rsid w:val="14AD5701"/>
    <w:rsid w:val="14B52807"/>
    <w:rsid w:val="14B56864"/>
    <w:rsid w:val="14B877DC"/>
    <w:rsid w:val="14CB4E38"/>
    <w:rsid w:val="14D553E0"/>
    <w:rsid w:val="14D56696"/>
    <w:rsid w:val="14D63FB5"/>
    <w:rsid w:val="14D902A4"/>
    <w:rsid w:val="14DC5FE6"/>
    <w:rsid w:val="14DD2C3C"/>
    <w:rsid w:val="14E32355"/>
    <w:rsid w:val="14E539FC"/>
    <w:rsid w:val="14EA4388"/>
    <w:rsid w:val="14EA7480"/>
    <w:rsid w:val="14F74019"/>
    <w:rsid w:val="14F92F88"/>
    <w:rsid w:val="14FF62C4"/>
    <w:rsid w:val="150002FD"/>
    <w:rsid w:val="15066934"/>
    <w:rsid w:val="150C524E"/>
    <w:rsid w:val="15111ACF"/>
    <w:rsid w:val="15187863"/>
    <w:rsid w:val="15284D87"/>
    <w:rsid w:val="152A27CA"/>
    <w:rsid w:val="152E3299"/>
    <w:rsid w:val="15437A84"/>
    <w:rsid w:val="154E4BC6"/>
    <w:rsid w:val="155B33AF"/>
    <w:rsid w:val="156009C5"/>
    <w:rsid w:val="15603DFF"/>
    <w:rsid w:val="156811C3"/>
    <w:rsid w:val="1570765B"/>
    <w:rsid w:val="157709B0"/>
    <w:rsid w:val="15770A8B"/>
    <w:rsid w:val="158C1F5E"/>
    <w:rsid w:val="158E36FE"/>
    <w:rsid w:val="159F5B30"/>
    <w:rsid w:val="15A2313F"/>
    <w:rsid w:val="15A72150"/>
    <w:rsid w:val="15B821D1"/>
    <w:rsid w:val="15BF03FC"/>
    <w:rsid w:val="15C35C8B"/>
    <w:rsid w:val="15CB38CB"/>
    <w:rsid w:val="15D86C1C"/>
    <w:rsid w:val="15DB004C"/>
    <w:rsid w:val="15E11FB0"/>
    <w:rsid w:val="15ED4142"/>
    <w:rsid w:val="15F13146"/>
    <w:rsid w:val="15F44BBD"/>
    <w:rsid w:val="15F62273"/>
    <w:rsid w:val="15F64582"/>
    <w:rsid w:val="16087E1D"/>
    <w:rsid w:val="16157A01"/>
    <w:rsid w:val="16180394"/>
    <w:rsid w:val="161C34E3"/>
    <w:rsid w:val="161F6235"/>
    <w:rsid w:val="16201F02"/>
    <w:rsid w:val="16220065"/>
    <w:rsid w:val="162B4F07"/>
    <w:rsid w:val="16353C00"/>
    <w:rsid w:val="163714CF"/>
    <w:rsid w:val="16461969"/>
    <w:rsid w:val="16493207"/>
    <w:rsid w:val="164F2945"/>
    <w:rsid w:val="165111D8"/>
    <w:rsid w:val="1654206A"/>
    <w:rsid w:val="165C3B53"/>
    <w:rsid w:val="1665110C"/>
    <w:rsid w:val="16712E8A"/>
    <w:rsid w:val="1675224E"/>
    <w:rsid w:val="1676051E"/>
    <w:rsid w:val="168A7DBA"/>
    <w:rsid w:val="168E4C6B"/>
    <w:rsid w:val="169C1322"/>
    <w:rsid w:val="16A00D58"/>
    <w:rsid w:val="16A31131"/>
    <w:rsid w:val="16A74423"/>
    <w:rsid w:val="16A86180"/>
    <w:rsid w:val="16AE18BE"/>
    <w:rsid w:val="16AF6611"/>
    <w:rsid w:val="16B703D3"/>
    <w:rsid w:val="16CE3AEC"/>
    <w:rsid w:val="16CE4DEC"/>
    <w:rsid w:val="16D72230"/>
    <w:rsid w:val="16E50E9F"/>
    <w:rsid w:val="16E90A2B"/>
    <w:rsid w:val="16F05D79"/>
    <w:rsid w:val="1702338F"/>
    <w:rsid w:val="170462C3"/>
    <w:rsid w:val="17051824"/>
    <w:rsid w:val="170A5B08"/>
    <w:rsid w:val="170A727E"/>
    <w:rsid w:val="17101F77"/>
    <w:rsid w:val="172368EE"/>
    <w:rsid w:val="17246B9A"/>
    <w:rsid w:val="1733181E"/>
    <w:rsid w:val="17342109"/>
    <w:rsid w:val="173B6FF4"/>
    <w:rsid w:val="173C572E"/>
    <w:rsid w:val="174A1A5B"/>
    <w:rsid w:val="1756141A"/>
    <w:rsid w:val="17571954"/>
    <w:rsid w:val="175E421D"/>
    <w:rsid w:val="175E4BB0"/>
    <w:rsid w:val="17701D14"/>
    <w:rsid w:val="17714F86"/>
    <w:rsid w:val="17735226"/>
    <w:rsid w:val="1776002C"/>
    <w:rsid w:val="177C13BA"/>
    <w:rsid w:val="17866167"/>
    <w:rsid w:val="17885FB1"/>
    <w:rsid w:val="178D5376"/>
    <w:rsid w:val="179D48DD"/>
    <w:rsid w:val="17A71E05"/>
    <w:rsid w:val="17A75D4C"/>
    <w:rsid w:val="17AE3EB6"/>
    <w:rsid w:val="17B2302E"/>
    <w:rsid w:val="17B33D43"/>
    <w:rsid w:val="17B571D1"/>
    <w:rsid w:val="17B77D17"/>
    <w:rsid w:val="17B83C2D"/>
    <w:rsid w:val="17BE0F60"/>
    <w:rsid w:val="17C261B5"/>
    <w:rsid w:val="17C43DF7"/>
    <w:rsid w:val="17C50FB3"/>
    <w:rsid w:val="17C85A2B"/>
    <w:rsid w:val="17CE0CD4"/>
    <w:rsid w:val="17D172BB"/>
    <w:rsid w:val="17D905BB"/>
    <w:rsid w:val="17DF5EA9"/>
    <w:rsid w:val="17E14778"/>
    <w:rsid w:val="17E57F83"/>
    <w:rsid w:val="17E63D7E"/>
    <w:rsid w:val="17E67D6B"/>
    <w:rsid w:val="17E71B7C"/>
    <w:rsid w:val="17E71CF6"/>
    <w:rsid w:val="17EE2C78"/>
    <w:rsid w:val="17F21C58"/>
    <w:rsid w:val="17F43647"/>
    <w:rsid w:val="17FE5B8E"/>
    <w:rsid w:val="17FF6273"/>
    <w:rsid w:val="1817613A"/>
    <w:rsid w:val="181C1189"/>
    <w:rsid w:val="18221F29"/>
    <w:rsid w:val="18251810"/>
    <w:rsid w:val="18295170"/>
    <w:rsid w:val="182B58BF"/>
    <w:rsid w:val="182C1032"/>
    <w:rsid w:val="182C2DE0"/>
    <w:rsid w:val="1833638C"/>
    <w:rsid w:val="183C5057"/>
    <w:rsid w:val="1844637C"/>
    <w:rsid w:val="18495740"/>
    <w:rsid w:val="184E7F85"/>
    <w:rsid w:val="18553789"/>
    <w:rsid w:val="18554574"/>
    <w:rsid w:val="185D464F"/>
    <w:rsid w:val="18627EFE"/>
    <w:rsid w:val="18644328"/>
    <w:rsid w:val="186F0FF9"/>
    <w:rsid w:val="18731425"/>
    <w:rsid w:val="187B3D57"/>
    <w:rsid w:val="18803B7E"/>
    <w:rsid w:val="18881646"/>
    <w:rsid w:val="18895D48"/>
    <w:rsid w:val="188B3FAB"/>
    <w:rsid w:val="189B611A"/>
    <w:rsid w:val="189D783A"/>
    <w:rsid w:val="189E5D26"/>
    <w:rsid w:val="189F1C86"/>
    <w:rsid w:val="189F624C"/>
    <w:rsid w:val="18A05D08"/>
    <w:rsid w:val="18A62B93"/>
    <w:rsid w:val="18A94B64"/>
    <w:rsid w:val="18AD2173"/>
    <w:rsid w:val="18AF7595"/>
    <w:rsid w:val="18B0460C"/>
    <w:rsid w:val="18C13F1E"/>
    <w:rsid w:val="18C9062F"/>
    <w:rsid w:val="18D314AE"/>
    <w:rsid w:val="18DD49AA"/>
    <w:rsid w:val="18EB2629"/>
    <w:rsid w:val="18EE2D4A"/>
    <w:rsid w:val="18F02060"/>
    <w:rsid w:val="18F26983"/>
    <w:rsid w:val="19081158"/>
    <w:rsid w:val="190A3122"/>
    <w:rsid w:val="190B13F0"/>
    <w:rsid w:val="190F4DF4"/>
    <w:rsid w:val="1910625E"/>
    <w:rsid w:val="1910661F"/>
    <w:rsid w:val="19120228"/>
    <w:rsid w:val="19143FA0"/>
    <w:rsid w:val="19164512"/>
    <w:rsid w:val="192A5572"/>
    <w:rsid w:val="192C2713"/>
    <w:rsid w:val="192D0557"/>
    <w:rsid w:val="192D2323"/>
    <w:rsid w:val="192F3E2C"/>
    <w:rsid w:val="192F43D2"/>
    <w:rsid w:val="193D1DD2"/>
    <w:rsid w:val="19433B83"/>
    <w:rsid w:val="19452E00"/>
    <w:rsid w:val="194A23D6"/>
    <w:rsid w:val="194E25DF"/>
    <w:rsid w:val="19526877"/>
    <w:rsid w:val="19547F49"/>
    <w:rsid w:val="195645B9"/>
    <w:rsid w:val="19593259"/>
    <w:rsid w:val="19600020"/>
    <w:rsid w:val="1962665E"/>
    <w:rsid w:val="196C293E"/>
    <w:rsid w:val="197467ED"/>
    <w:rsid w:val="1977195D"/>
    <w:rsid w:val="197C1B46"/>
    <w:rsid w:val="198253AE"/>
    <w:rsid w:val="198C07E7"/>
    <w:rsid w:val="199B5325"/>
    <w:rsid w:val="19A853CA"/>
    <w:rsid w:val="19A938F9"/>
    <w:rsid w:val="19B546A8"/>
    <w:rsid w:val="19B81AED"/>
    <w:rsid w:val="19B8298C"/>
    <w:rsid w:val="19B9175A"/>
    <w:rsid w:val="19C327AE"/>
    <w:rsid w:val="19C340D1"/>
    <w:rsid w:val="19C857A0"/>
    <w:rsid w:val="19CB5689"/>
    <w:rsid w:val="19D92AF4"/>
    <w:rsid w:val="19DB1823"/>
    <w:rsid w:val="19DE26FD"/>
    <w:rsid w:val="19EC647A"/>
    <w:rsid w:val="19ED659F"/>
    <w:rsid w:val="19F93196"/>
    <w:rsid w:val="19FB7430"/>
    <w:rsid w:val="1A002777"/>
    <w:rsid w:val="1A051B3B"/>
    <w:rsid w:val="1A0530C9"/>
    <w:rsid w:val="1A0B23BC"/>
    <w:rsid w:val="1A115525"/>
    <w:rsid w:val="1A136006"/>
    <w:rsid w:val="1A143CAD"/>
    <w:rsid w:val="1A166F21"/>
    <w:rsid w:val="1A175ACC"/>
    <w:rsid w:val="1A1B72A7"/>
    <w:rsid w:val="1A1C66C0"/>
    <w:rsid w:val="1A253F8B"/>
    <w:rsid w:val="1A2664F0"/>
    <w:rsid w:val="1A3214E0"/>
    <w:rsid w:val="1A42393B"/>
    <w:rsid w:val="1A42440D"/>
    <w:rsid w:val="1A4673E1"/>
    <w:rsid w:val="1A47372A"/>
    <w:rsid w:val="1A483D63"/>
    <w:rsid w:val="1A4C776A"/>
    <w:rsid w:val="1A515FF3"/>
    <w:rsid w:val="1A562397"/>
    <w:rsid w:val="1A591713"/>
    <w:rsid w:val="1A693559"/>
    <w:rsid w:val="1A7476E2"/>
    <w:rsid w:val="1A820626"/>
    <w:rsid w:val="1A987F4B"/>
    <w:rsid w:val="1A9B157F"/>
    <w:rsid w:val="1A9D2A56"/>
    <w:rsid w:val="1A9E3603"/>
    <w:rsid w:val="1AA749A0"/>
    <w:rsid w:val="1AAC7843"/>
    <w:rsid w:val="1AAD45DE"/>
    <w:rsid w:val="1AB92A87"/>
    <w:rsid w:val="1ABA142E"/>
    <w:rsid w:val="1AC309FC"/>
    <w:rsid w:val="1AC92A69"/>
    <w:rsid w:val="1AC9700C"/>
    <w:rsid w:val="1ACC7F1C"/>
    <w:rsid w:val="1ACE017F"/>
    <w:rsid w:val="1AD02149"/>
    <w:rsid w:val="1ADF133B"/>
    <w:rsid w:val="1AEF6A73"/>
    <w:rsid w:val="1AF365DC"/>
    <w:rsid w:val="1AF44E0A"/>
    <w:rsid w:val="1AF55F60"/>
    <w:rsid w:val="1AF71484"/>
    <w:rsid w:val="1B046F80"/>
    <w:rsid w:val="1B060EEA"/>
    <w:rsid w:val="1B0A61F6"/>
    <w:rsid w:val="1B11502A"/>
    <w:rsid w:val="1B132036"/>
    <w:rsid w:val="1B1B11E9"/>
    <w:rsid w:val="1B211139"/>
    <w:rsid w:val="1B247335"/>
    <w:rsid w:val="1B290CA6"/>
    <w:rsid w:val="1B2D759B"/>
    <w:rsid w:val="1B3267B5"/>
    <w:rsid w:val="1B333503"/>
    <w:rsid w:val="1B3A3308"/>
    <w:rsid w:val="1B40161D"/>
    <w:rsid w:val="1B436AA8"/>
    <w:rsid w:val="1B441859"/>
    <w:rsid w:val="1B46097B"/>
    <w:rsid w:val="1B4C2C1A"/>
    <w:rsid w:val="1B4F1911"/>
    <w:rsid w:val="1B4F7512"/>
    <w:rsid w:val="1B552257"/>
    <w:rsid w:val="1B6606B1"/>
    <w:rsid w:val="1B685977"/>
    <w:rsid w:val="1B6B2D86"/>
    <w:rsid w:val="1B6E2F36"/>
    <w:rsid w:val="1B762547"/>
    <w:rsid w:val="1B775F7A"/>
    <w:rsid w:val="1B7979E7"/>
    <w:rsid w:val="1B856F22"/>
    <w:rsid w:val="1B89350C"/>
    <w:rsid w:val="1B967397"/>
    <w:rsid w:val="1B9E2247"/>
    <w:rsid w:val="1BA2649A"/>
    <w:rsid w:val="1BA454DE"/>
    <w:rsid w:val="1BA55384"/>
    <w:rsid w:val="1BB11F7A"/>
    <w:rsid w:val="1BB4031A"/>
    <w:rsid w:val="1BBC36A2"/>
    <w:rsid w:val="1BC10824"/>
    <w:rsid w:val="1BC25F36"/>
    <w:rsid w:val="1BC51582"/>
    <w:rsid w:val="1BC9697F"/>
    <w:rsid w:val="1BCB46BE"/>
    <w:rsid w:val="1BD55B37"/>
    <w:rsid w:val="1BDA08CD"/>
    <w:rsid w:val="1BE9633E"/>
    <w:rsid w:val="1BE97CAE"/>
    <w:rsid w:val="1BF9122C"/>
    <w:rsid w:val="1BF9208F"/>
    <w:rsid w:val="1BFF652A"/>
    <w:rsid w:val="1C0C3DEA"/>
    <w:rsid w:val="1C116170"/>
    <w:rsid w:val="1C204A0A"/>
    <w:rsid w:val="1C213768"/>
    <w:rsid w:val="1C22479F"/>
    <w:rsid w:val="1C297D63"/>
    <w:rsid w:val="1C2F4C4D"/>
    <w:rsid w:val="1C321276"/>
    <w:rsid w:val="1C3F5DAD"/>
    <w:rsid w:val="1C424981"/>
    <w:rsid w:val="1C545119"/>
    <w:rsid w:val="1C545B00"/>
    <w:rsid w:val="1C5E7925"/>
    <w:rsid w:val="1C60574F"/>
    <w:rsid w:val="1C6256C4"/>
    <w:rsid w:val="1C6A27CC"/>
    <w:rsid w:val="1C6E285F"/>
    <w:rsid w:val="1C7D4DA9"/>
    <w:rsid w:val="1C810D05"/>
    <w:rsid w:val="1C817B9F"/>
    <w:rsid w:val="1C8A43D2"/>
    <w:rsid w:val="1C8C47E6"/>
    <w:rsid w:val="1C8E26CC"/>
    <w:rsid w:val="1C9D42AD"/>
    <w:rsid w:val="1CB2721B"/>
    <w:rsid w:val="1CB82E95"/>
    <w:rsid w:val="1CBE3220"/>
    <w:rsid w:val="1CC31428"/>
    <w:rsid w:val="1CCE0392"/>
    <w:rsid w:val="1CD63831"/>
    <w:rsid w:val="1CE64BF2"/>
    <w:rsid w:val="1CED6FE2"/>
    <w:rsid w:val="1CEE2D89"/>
    <w:rsid w:val="1CEE4B08"/>
    <w:rsid w:val="1CEF02A3"/>
    <w:rsid w:val="1CF0704D"/>
    <w:rsid w:val="1CF07A32"/>
    <w:rsid w:val="1CF23FA7"/>
    <w:rsid w:val="1CF9277F"/>
    <w:rsid w:val="1CFD070F"/>
    <w:rsid w:val="1D0453DA"/>
    <w:rsid w:val="1D08168E"/>
    <w:rsid w:val="1D0F6BF6"/>
    <w:rsid w:val="1D132DC5"/>
    <w:rsid w:val="1D1337DE"/>
    <w:rsid w:val="1D1C1676"/>
    <w:rsid w:val="1D221295"/>
    <w:rsid w:val="1D233DAB"/>
    <w:rsid w:val="1D3544E5"/>
    <w:rsid w:val="1D3B2486"/>
    <w:rsid w:val="1D3F07C9"/>
    <w:rsid w:val="1D4864E6"/>
    <w:rsid w:val="1D4913BD"/>
    <w:rsid w:val="1D494A55"/>
    <w:rsid w:val="1D4B1F5B"/>
    <w:rsid w:val="1D4C4073"/>
    <w:rsid w:val="1D541122"/>
    <w:rsid w:val="1D546098"/>
    <w:rsid w:val="1D567FC1"/>
    <w:rsid w:val="1D5D526F"/>
    <w:rsid w:val="1D5F6196"/>
    <w:rsid w:val="1D6132A5"/>
    <w:rsid w:val="1D675FBA"/>
    <w:rsid w:val="1D6D21C2"/>
    <w:rsid w:val="1D71569B"/>
    <w:rsid w:val="1D760624"/>
    <w:rsid w:val="1D884F5D"/>
    <w:rsid w:val="1D8A2A39"/>
    <w:rsid w:val="1D8E4CF8"/>
    <w:rsid w:val="1D8E56D5"/>
    <w:rsid w:val="1D8F70F7"/>
    <w:rsid w:val="1D99638A"/>
    <w:rsid w:val="1D9B2A24"/>
    <w:rsid w:val="1DA53DA0"/>
    <w:rsid w:val="1DA71B40"/>
    <w:rsid w:val="1DAF6BC7"/>
    <w:rsid w:val="1DB22869"/>
    <w:rsid w:val="1DB8698F"/>
    <w:rsid w:val="1DBD0CD6"/>
    <w:rsid w:val="1DC14B45"/>
    <w:rsid w:val="1DC15D79"/>
    <w:rsid w:val="1DC93CAD"/>
    <w:rsid w:val="1DCA32E9"/>
    <w:rsid w:val="1DCD0D39"/>
    <w:rsid w:val="1DD166D8"/>
    <w:rsid w:val="1DD968F2"/>
    <w:rsid w:val="1DDC0286"/>
    <w:rsid w:val="1DE33F41"/>
    <w:rsid w:val="1DEE4B30"/>
    <w:rsid w:val="1DF919B7"/>
    <w:rsid w:val="1E032835"/>
    <w:rsid w:val="1E050838"/>
    <w:rsid w:val="1E071B1C"/>
    <w:rsid w:val="1E085F57"/>
    <w:rsid w:val="1E0D7210"/>
    <w:rsid w:val="1E2A0473"/>
    <w:rsid w:val="1E3318D5"/>
    <w:rsid w:val="1E3824DF"/>
    <w:rsid w:val="1E3B1824"/>
    <w:rsid w:val="1E45471B"/>
    <w:rsid w:val="1E5209CD"/>
    <w:rsid w:val="1E536265"/>
    <w:rsid w:val="1E5703FF"/>
    <w:rsid w:val="1E5D13E3"/>
    <w:rsid w:val="1E6432D4"/>
    <w:rsid w:val="1E6C2A0C"/>
    <w:rsid w:val="1E6D7CAF"/>
    <w:rsid w:val="1E711ADE"/>
    <w:rsid w:val="1E713849"/>
    <w:rsid w:val="1E731769"/>
    <w:rsid w:val="1E780E22"/>
    <w:rsid w:val="1E7958F0"/>
    <w:rsid w:val="1E7A04A5"/>
    <w:rsid w:val="1E7A43DA"/>
    <w:rsid w:val="1E7D6174"/>
    <w:rsid w:val="1E8611E5"/>
    <w:rsid w:val="1E875215"/>
    <w:rsid w:val="1E8B15A2"/>
    <w:rsid w:val="1E8B20A5"/>
    <w:rsid w:val="1E8B62B2"/>
    <w:rsid w:val="1EA55D12"/>
    <w:rsid w:val="1EB61656"/>
    <w:rsid w:val="1EB737CA"/>
    <w:rsid w:val="1EB85296"/>
    <w:rsid w:val="1EB96D4E"/>
    <w:rsid w:val="1EBB25E9"/>
    <w:rsid w:val="1EC419A3"/>
    <w:rsid w:val="1EC57AEB"/>
    <w:rsid w:val="1EDD3C18"/>
    <w:rsid w:val="1EDF686F"/>
    <w:rsid w:val="1EE26C39"/>
    <w:rsid w:val="1EEB2329"/>
    <w:rsid w:val="1EEB28F1"/>
    <w:rsid w:val="1EFA398D"/>
    <w:rsid w:val="1F016EC8"/>
    <w:rsid w:val="1F0A5E7C"/>
    <w:rsid w:val="1F0F015E"/>
    <w:rsid w:val="1F1840BF"/>
    <w:rsid w:val="1F1D3483"/>
    <w:rsid w:val="1F1F6F6F"/>
    <w:rsid w:val="1F284C6B"/>
    <w:rsid w:val="1F29007A"/>
    <w:rsid w:val="1F301408"/>
    <w:rsid w:val="1F3709E9"/>
    <w:rsid w:val="1F372797"/>
    <w:rsid w:val="1F374545"/>
    <w:rsid w:val="1F3B7797"/>
    <w:rsid w:val="1F4048F2"/>
    <w:rsid w:val="1F431810"/>
    <w:rsid w:val="1F4C5B16"/>
    <w:rsid w:val="1F547831"/>
    <w:rsid w:val="1F5B37A3"/>
    <w:rsid w:val="1F6368EB"/>
    <w:rsid w:val="1F652C3B"/>
    <w:rsid w:val="1F68156F"/>
    <w:rsid w:val="1F6D797E"/>
    <w:rsid w:val="1F7301A5"/>
    <w:rsid w:val="1F732EC8"/>
    <w:rsid w:val="1F737547"/>
    <w:rsid w:val="1F784E52"/>
    <w:rsid w:val="1F796BE2"/>
    <w:rsid w:val="1F7F7C9A"/>
    <w:rsid w:val="1F822EA1"/>
    <w:rsid w:val="1F8673A2"/>
    <w:rsid w:val="1F882409"/>
    <w:rsid w:val="1F897C90"/>
    <w:rsid w:val="1F897CFC"/>
    <w:rsid w:val="1F8E3B36"/>
    <w:rsid w:val="1F9A23E9"/>
    <w:rsid w:val="1F9B6D5D"/>
    <w:rsid w:val="1F9F2122"/>
    <w:rsid w:val="1FA85FA1"/>
    <w:rsid w:val="1FA95A17"/>
    <w:rsid w:val="1FAB0A8F"/>
    <w:rsid w:val="1FAB577F"/>
    <w:rsid w:val="1FAD0CAB"/>
    <w:rsid w:val="1FB522CF"/>
    <w:rsid w:val="1FBD19F6"/>
    <w:rsid w:val="1FC0068D"/>
    <w:rsid w:val="1FC35F39"/>
    <w:rsid w:val="1FC4521F"/>
    <w:rsid w:val="1FD323F2"/>
    <w:rsid w:val="1FD52B4E"/>
    <w:rsid w:val="1FD56A06"/>
    <w:rsid w:val="1FDD3024"/>
    <w:rsid w:val="1FE15E4C"/>
    <w:rsid w:val="1FE7539E"/>
    <w:rsid w:val="1FEA6CBC"/>
    <w:rsid w:val="1FEB1918"/>
    <w:rsid w:val="1FED7C98"/>
    <w:rsid w:val="200119AA"/>
    <w:rsid w:val="20085EE1"/>
    <w:rsid w:val="20092E4D"/>
    <w:rsid w:val="200A1C59"/>
    <w:rsid w:val="20191E9C"/>
    <w:rsid w:val="20192B37"/>
    <w:rsid w:val="20207151"/>
    <w:rsid w:val="202A5F3D"/>
    <w:rsid w:val="2031642F"/>
    <w:rsid w:val="20334A1D"/>
    <w:rsid w:val="20344F28"/>
    <w:rsid w:val="2036031D"/>
    <w:rsid w:val="203A7F3F"/>
    <w:rsid w:val="203D202F"/>
    <w:rsid w:val="203D60A9"/>
    <w:rsid w:val="203F0863"/>
    <w:rsid w:val="20413389"/>
    <w:rsid w:val="204C4020"/>
    <w:rsid w:val="204D3E74"/>
    <w:rsid w:val="20545F82"/>
    <w:rsid w:val="2057584F"/>
    <w:rsid w:val="205A2331"/>
    <w:rsid w:val="20661356"/>
    <w:rsid w:val="20671BE0"/>
    <w:rsid w:val="20741E85"/>
    <w:rsid w:val="20756A8B"/>
    <w:rsid w:val="207672EF"/>
    <w:rsid w:val="207A0328"/>
    <w:rsid w:val="20824A56"/>
    <w:rsid w:val="20855784"/>
    <w:rsid w:val="208714FC"/>
    <w:rsid w:val="208E7369"/>
    <w:rsid w:val="20914128"/>
    <w:rsid w:val="20963CB8"/>
    <w:rsid w:val="20971D66"/>
    <w:rsid w:val="209E23A2"/>
    <w:rsid w:val="20A31090"/>
    <w:rsid w:val="20A7394C"/>
    <w:rsid w:val="20A81A1B"/>
    <w:rsid w:val="20A84436"/>
    <w:rsid w:val="20B07FB6"/>
    <w:rsid w:val="20B646FB"/>
    <w:rsid w:val="20BA4309"/>
    <w:rsid w:val="20D8139B"/>
    <w:rsid w:val="20D964A6"/>
    <w:rsid w:val="20DA5ACF"/>
    <w:rsid w:val="20E029BA"/>
    <w:rsid w:val="20E80100"/>
    <w:rsid w:val="20EE3329"/>
    <w:rsid w:val="20F24524"/>
    <w:rsid w:val="20F96C9D"/>
    <w:rsid w:val="20FB5A46"/>
    <w:rsid w:val="21024958"/>
    <w:rsid w:val="2107261C"/>
    <w:rsid w:val="210B3C9C"/>
    <w:rsid w:val="2115671A"/>
    <w:rsid w:val="211F4BFA"/>
    <w:rsid w:val="21257950"/>
    <w:rsid w:val="212925B3"/>
    <w:rsid w:val="212E76D6"/>
    <w:rsid w:val="21383813"/>
    <w:rsid w:val="213B74B1"/>
    <w:rsid w:val="214178FD"/>
    <w:rsid w:val="214C01CE"/>
    <w:rsid w:val="214C7863"/>
    <w:rsid w:val="21516EB6"/>
    <w:rsid w:val="215A2310"/>
    <w:rsid w:val="215D04AF"/>
    <w:rsid w:val="21614F5F"/>
    <w:rsid w:val="21642F1F"/>
    <w:rsid w:val="2165677E"/>
    <w:rsid w:val="21667959"/>
    <w:rsid w:val="21704269"/>
    <w:rsid w:val="217A23C3"/>
    <w:rsid w:val="218E2416"/>
    <w:rsid w:val="218F694C"/>
    <w:rsid w:val="219306D3"/>
    <w:rsid w:val="21955962"/>
    <w:rsid w:val="219C4283"/>
    <w:rsid w:val="219F19BC"/>
    <w:rsid w:val="21A239BD"/>
    <w:rsid w:val="21A51484"/>
    <w:rsid w:val="21A8744D"/>
    <w:rsid w:val="21B26104"/>
    <w:rsid w:val="21B52AD4"/>
    <w:rsid w:val="21B86937"/>
    <w:rsid w:val="21BC51D5"/>
    <w:rsid w:val="21C67570"/>
    <w:rsid w:val="21CA6120"/>
    <w:rsid w:val="21CD2F3E"/>
    <w:rsid w:val="21CE556F"/>
    <w:rsid w:val="21D36648"/>
    <w:rsid w:val="21D50045"/>
    <w:rsid w:val="21D56297"/>
    <w:rsid w:val="21DD5036"/>
    <w:rsid w:val="21DE318A"/>
    <w:rsid w:val="21E10D1C"/>
    <w:rsid w:val="21E30972"/>
    <w:rsid w:val="21E7763B"/>
    <w:rsid w:val="21EA1D42"/>
    <w:rsid w:val="21EC30BC"/>
    <w:rsid w:val="21EF5B80"/>
    <w:rsid w:val="21EF6054"/>
    <w:rsid w:val="21F30AB1"/>
    <w:rsid w:val="21F74188"/>
    <w:rsid w:val="220213F0"/>
    <w:rsid w:val="2210107D"/>
    <w:rsid w:val="22261CA5"/>
    <w:rsid w:val="223022D3"/>
    <w:rsid w:val="22336BCB"/>
    <w:rsid w:val="223B083E"/>
    <w:rsid w:val="223B7172"/>
    <w:rsid w:val="224512EB"/>
    <w:rsid w:val="224715D2"/>
    <w:rsid w:val="224739F5"/>
    <w:rsid w:val="224B0651"/>
    <w:rsid w:val="224C073E"/>
    <w:rsid w:val="22531561"/>
    <w:rsid w:val="22576990"/>
    <w:rsid w:val="225B4CAE"/>
    <w:rsid w:val="226715E5"/>
    <w:rsid w:val="2268460D"/>
    <w:rsid w:val="22716D98"/>
    <w:rsid w:val="22724796"/>
    <w:rsid w:val="22741710"/>
    <w:rsid w:val="227635D6"/>
    <w:rsid w:val="227D388D"/>
    <w:rsid w:val="228026A7"/>
    <w:rsid w:val="228248C8"/>
    <w:rsid w:val="228A14F6"/>
    <w:rsid w:val="228A5E7E"/>
    <w:rsid w:val="228F4698"/>
    <w:rsid w:val="228F6041"/>
    <w:rsid w:val="229F18D7"/>
    <w:rsid w:val="22A6572C"/>
    <w:rsid w:val="22A66D24"/>
    <w:rsid w:val="22A77C33"/>
    <w:rsid w:val="22AA6C37"/>
    <w:rsid w:val="22AE04AE"/>
    <w:rsid w:val="22BB723B"/>
    <w:rsid w:val="22BC6EE2"/>
    <w:rsid w:val="22C36322"/>
    <w:rsid w:val="22C64A0E"/>
    <w:rsid w:val="22D12F02"/>
    <w:rsid w:val="22D57F6D"/>
    <w:rsid w:val="22D622C7"/>
    <w:rsid w:val="22D92D40"/>
    <w:rsid w:val="22DA7474"/>
    <w:rsid w:val="22EB66BE"/>
    <w:rsid w:val="22EE2A05"/>
    <w:rsid w:val="22F45977"/>
    <w:rsid w:val="22F47480"/>
    <w:rsid w:val="22FB1612"/>
    <w:rsid w:val="22FF181D"/>
    <w:rsid w:val="230A4D7A"/>
    <w:rsid w:val="230C5CE8"/>
    <w:rsid w:val="231F4D31"/>
    <w:rsid w:val="23240CF4"/>
    <w:rsid w:val="23274990"/>
    <w:rsid w:val="2329689A"/>
    <w:rsid w:val="232C59A7"/>
    <w:rsid w:val="232D7066"/>
    <w:rsid w:val="233D0598"/>
    <w:rsid w:val="23474F72"/>
    <w:rsid w:val="23555E2D"/>
    <w:rsid w:val="23643CAC"/>
    <w:rsid w:val="236639F6"/>
    <w:rsid w:val="237019E5"/>
    <w:rsid w:val="23711FEF"/>
    <w:rsid w:val="23745A0F"/>
    <w:rsid w:val="2376123C"/>
    <w:rsid w:val="2377358E"/>
    <w:rsid w:val="23790749"/>
    <w:rsid w:val="237D6A56"/>
    <w:rsid w:val="2382716F"/>
    <w:rsid w:val="23874E71"/>
    <w:rsid w:val="238C3F6C"/>
    <w:rsid w:val="238D43E8"/>
    <w:rsid w:val="23955CDE"/>
    <w:rsid w:val="2396337A"/>
    <w:rsid w:val="23983A20"/>
    <w:rsid w:val="239A2D94"/>
    <w:rsid w:val="239B7049"/>
    <w:rsid w:val="23A631DF"/>
    <w:rsid w:val="23AA303F"/>
    <w:rsid w:val="23AE69D9"/>
    <w:rsid w:val="23B6064F"/>
    <w:rsid w:val="23B73EA6"/>
    <w:rsid w:val="23BB19B0"/>
    <w:rsid w:val="23C84DC2"/>
    <w:rsid w:val="23D4157E"/>
    <w:rsid w:val="23D86B92"/>
    <w:rsid w:val="23DE1C48"/>
    <w:rsid w:val="23DF01D4"/>
    <w:rsid w:val="23DF58F2"/>
    <w:rsid w:val="23E66407"/>
    <w:rsid w:val="23EB2FB1"/>
    <w:rsid w:val="23F010B3"/>
    <w:rsid w:val="23F333A3"/>
    <w:rsid w:val="23F4619E"/>
    <w:rsid w:val="23F6340C"/>
    <w:rsid w:val="23FE6FBE"/>
    <w:rsid w:val="24003020"/>
    <w:rsid w:val="240115C5"/>
    <w:rsid w:val="2401522B"/>
    <w:rsid w:val="240210CD"/>
    <w:rsid w:val="240B0682"/>
    <w:rsid w:val="240D7F6A"/>
    <w:rsid w:val="2411343C"/>
    <w:rsid w:val="241965D4"/>
    <w:rsid w:val="24253506"/>
    <w:rsid w:val="242869A3"/>
    <w:rsid w:val="242F3AAF"/>
    <w:rsid w:val="243A2726"/>
    <w:rsid w:val="243C79EA"/>
    <w:rsid w:val="243E4D86"/>
    <w:rsid w:val="2445245F"/>
    <w:rsid w:val="244969F1"/>
    <w:rsid w:val="24523F0B"/>
    <w:rsid w:val="24570AB2"/>
    <w:rsid w:val="245D28CD"/>
    <w:rsid w:val="24661564"/>
    <w:rsid w:val="246660E0"/>
    <w:rsid w:val="247460EC"/>
    <w:rsid w:val="24771887"/>
    <w:rsid w:val="247B4ED4"/>
    <w:rsid w:val="248004FF"/>
    <w:rsid w:val="2482431B"/>
    <w:rsid w:val="248941F8"/>
    <w:rsid w:val="24942439"/>
    <w:rsid w:val="249B49DE"/>
    <w:rsid w:val="249F1935"/>
    <w:rsid w:val="24A201B1"/>
    <w:rsid w:val="24A84AD4"/>
    <w:rsid w:val="24A932B0"/>
    <w:rsid w:val="24AA5FB8"/>
    <w:rsid w:val="24AF7E99"/>
    <w:rsid w:val="24B012B8"/>
    <w:rsid w:val="24B1643E"/>
    <w:rsid w:val="24B341DB"/>
    <w:rsid w:val="24B85237"/>
    <w:rsid w:val="24B873BC"/>
    <w:rsid w:val="24BF09F7"/>
    <w:rsid w:val="24C05266"/>
    <w:rsid w:val="24C7754F"/>
    <w:rsid w:val="24D10986"/>
    <w:rsid w:val="24D16B39"/>
    <w:rsid w:val="24D43B9B"/>
    <w:rsid w:val="24D804D4"/>
    <w:rsid w:val="24DD540A"/>
    <w:rsid w:val="24E54F6E"/>
    <w:rsid w:val="24EC08D9"/>
    <w:rsid w:val="24EC7B7F"/>
    <w:rsid w:val="24ED0D59"/>
    <w:rsid w:val="24EE7D9B"/>
    <w:rsid w:val="24F029D3"/>
    <w:rsid w:val="2504136D"/>
    <w:rsid w:val="250F5428"/>
    <w:rsid w:val="251026CF"/>
    <w:rsid w:val="25197E5C"/>
    <w:rsid w:val="251D2B57"/>
    <w:rsid w:val="251D6B3D"/>
    <w:rsid w:val="251E203C"/>
    <w:rsid w:val="25225CB9"/>
    <w:rsid w:val="252D53FE"/>
    <w:rsid w:val="252D7626"/>
    <w:rsid w:val="2533755C"/>
    <w:rsid w:val="25357E17"/>
    <w:rsid w:val="25370978"/>
    <w:rsid w:val="25372380"/>
    <w:rsid w:val="253944F4"/>
    <w:rsid w:val="25432192"/>
    <w:rsid w:val="25496D80"/>
    <w:rsid w:val="254A0D4A"/>
    <w:rsid w:val="254F6ADE"/>
    <w:rsid w:val="2554219E"/>
    <w:rsid w:val="25542BA8"/>
    <w:rsid w:val="25570D52"/>
    <w:rsid w:val="2558727E"/>
    <w:rsid w:val="255B646A"/>
    <w:rsid w:val="256013D5"/>
    <w:rsid w:val="25652EDE"/>
    <w:rsid w:val="25675458"/>
    <w:rsid w:val="25707A8C"/>
    <w:rsid w:val="25714529"/>
    <w:rsid w:val="257B6A85"/>
    <w:rsid w:val="257D1DBE"/>
    <w:rsid w:val="257D2ECD"/>
    <w:rsid w:val="257F0C54"/>
    <w:rsid w:val="258A751E"/>
    <w:rsid w:val="258C072F"/>
    <w:rsid w:val="25925115"/>
    <w:rsid w:val="25927276"/>
    <w:rsid w:val="25981A87"/>
    <w:rsid w:val="259C2614"/>
    <w:rsid w:val="259D0E7A"/>
    <w:rsid w:val="259D3570"/>
    <w:rsid w:val="25A315EA"/>
    <w:rsid w:val="25A6391A"/>
    <w:rsid w:val="25AD78E2"/>
    <w:rsid w:val="25AE673E"/>
    <w:rsid w:val="25B271E9"/>
    <w:rsid w:val="25B368EF"/>
    <w:rsid w:val="25B61465"/>
    <w:rsid w:val="25BA4A7D"/>
    <w:rsid w:val="25C56E75"/>
    <w:rsid w:val="25D1410B"/>
    <w:rsid w:val="25D21D06"/>
    <w:rsid w:val="25D22394"/>
    <w:rsid w:val="25D74FC3"/>
    <w:rsid w:val="25D75292"/>
    <w:rsid w:val="25D85D6A"/>
    <w:rsid w:val="25DB1BA3"/>
    <w:rsid w:val="25E049F1"/>
    <w:rsid w:val="25E971BF"/>
    <w:rsid w:val="25EC2D81"/>
    <w:rsid w:val="25EE0603"/>
    <w:rsid w:val="25F870FD"/>
    <w:rsid w:val="25FC2044"/>
    <w:rsid w:val="25FF30D0"/>
    <w:rsid w:val="2601765A"/>
    <w:rsid w:val="26036053"/>
    <w:rsid w:val="26085CF8"/>
    <w:rsid w:val="260B490C"/>
    <w:rsid w:val="26103C64"/>
    <w:rsid w:val="2614637B"/>
    <w:rsid w:val="261564BD"/>
    <w:rsid w:val="261A696E"/>
    <w:rsid w:val="261B4C88"/>
    <w:rsid w:val="262324FF"/>
    <w:rsid w:val="26240607"/>
    <w:rsid w:val="262A2403"/>
    <w:rsid w:val="26387E54"/>
    <w:rsid w:val="263C086C"/>
    <w:rsid w:val="263C3FB5"/>
    <w:rsid w:val="263D0D74"/>
    <w:rsid w:val="264258D3"/>
    <w:rsid w:val="264A340B"/>
    <w:rsid w:val="264B6BB2"/>
    <w:rsid w:val="265435C8"/>
    <w:rsid w:val="26551754"/>
    <w:rsid w:val="265551BA"/>
    <w:rsid w:val="265A7B33"/>
    <w:rsid w:val="265B5387"/>
    <w:rsid w:val="265F7B65"/>
    <w:rsid w:val="26656337"/>
    <w:rsid w:val="2669103C"/>
    <w:rsid w:val="266A7215"/>
    <w:rsid w:val="266B638C"/>
    <w:rsid w:val="266C38AB"/>
    <w:rsid w:val="26826FA0"/>
    <w:rsid w:val="26881B2A"/>
    <w:rsid w:val="268B161A"/>
    <w:rsid w:val="269057A5"/>
    <w:rsid w:val="26954BD8"/>
    <w:rsid w:val="26957ECE"/>
    <w:rsid w:val="269B7AAF"/>
    <w:rsid w:val="269F4B11"/>
    <w:rsid w:val="26B30DF0"/>
    <w:rsid w:val="26B57A18"/>
    <w:rsid w:val="26B67085"/>
    <w:rsid w:val="26C1158E"/>
    <w:rsid w:val="26C5113A"/>
    <w:rsid w:val="26C57AD1"/>
    <w:rsid w:val="26C926B4"/>
    <w:rsid w:val="26CD31AC"/>
    <w:rsid w:val="26CF1507"/>
    <w:rsid w:val="26D145DA"/>
    <w:rsid w:val="26D23727"/>
    <w:rsid w:val="26DE0CD3"/>
    <w:rsid w:val="26DE1E67"/>
    <w:rsid w:val="26E008AC"/>
    <w:rsid w:val="26E03714"/>
    <w:rsid w:val="26E92F7B"/>
    <w:rsid w:val="26EE76EF"/>
    <w:rsid w:val="26F10411"/>
    <w:rsid w:val="26F43BE7"/>
    <w:rsid w:val="26F6206F"/>
    <w:rsid w:val="26F7280B"/>
    <w:rsid w:val="26F85E88"/>
    <w:rsid w:val="26FB4FA7"/>
    <w:rsid w:val="270513CC"/>
    <w:rsid w:val="270547A6"/>
    <w:rsid w:val="27060448"/>
    <w:rsid w:val="270C449D"/>
    <w:rsid w:val="270E23D0"/>
    <w:rsid w:val="271B299E"/>
    <w:rsid w:val="27247AA4"/>
    <w:rsid w:val="27267F57"/>
    <w:rsid w:val="27335F39"/>
    <w:rsid w:val="27352F87"/>
    <w:rsid w:val="27355D4C"/>
    <w:rsid w:val="273612D1"/>
    <w:rsid w:val="273B6B9C"/>
    <w:rsid w:val="273D7680"/>
    <w:rsid w:val="2745751A"/>
    <w:rsid w:val="27475541"/>
    <w:rsid w:val="27592661"/>
    <w:rsid w:val="275E5EB1"/>
    <w:rsid w:val="275F0ADD"/>
    <w:rsid w:val="27613587"/>
    <w:rsid w:val="27650330"/>
    <w:rsid w:val="2767173F"/>
    <w:rsid w:val="276E0435"/>
    <w:rsid w:val="276E799C"/>
    <w:rsid w:val="277057A2"/>
    <w:rsid w:val="2774321B"/>
    <w:rsid w:val="27824754"/>
    <w:rsid w:val="27891579"/>
    <w:rsid w:val="2794532C"/>
    <w:rsid w:val="27B84691"/>
    <w:rsid w:val="27C135C1"/>
    <w:rsid w:val="27D36DD5"/>
    <w:rsid w:val="27D52B4D"/>
    <w:rsid w:val="27E2170E"/>
    <w:rsid w:val="27E344F5"/>
    <w:rsid w:val="27E7751E"/>
    <w:rsid w:val="27EF6884"/>
    <w:rsid w:val="27FA0108"/>
    <w:rsid w:val="27FA0805"/>
    <w:rsid w:val="27FB1F27"/>
    <w:rsid w:val="28001620"/>
    <w:rsid w:val="280E605F"/>
    <w:rsid w:val="28134919"/>
    <w:rsid w:val="281B045A"/>
    <w:rsid w:val="281C5D9F"/>
    <w:rsid w:val="281D14AF"/>
    <w:rsid w:val="281D513E"/>
    <w:rsid w:val="282105EF"/>
    <w:rsid w:val="28237D5C"/>
    <w:rsid w:val="2829733C"/>
    <w:rsid w:val="282E424F"/>
    <w:rsid w:val="28354AF0"/>
    <w:rsid w:val="28372B7F"/>
    <w:rsid w:val="28395C86"/>
    <w:rsid w:val="283E3BB8"/>
    <w:rsid w:val="28484C48"/>
    <w:rsid w:val="28550131"/>
    <w:rsid w:val="28584E1E"/>
    <w:rsid w:val="28584E4D"/>
    <w:rsid w:val="28586D86"/>
    <w:rsid w:val="285A093C"/>
    <w:rsid w:val="285B5D59"/>
    <w:rsid w:val="28610884"/>
    <w:rsid w:val="286C5AD0"/>
    <w:rsid w:val="286D02E0"/>
    <w:rsid w:val="286F0C89"/>
    <w:rsid w:val="28782DAC"/>
    <w:rsid w:val="28786B74"/>
    <w:rsid w:val="28822511"/>
    <w:rsid w:val="28877B07"/>
    <w:rsid w:val="28892F96"/>
    <w:rsid w:val="28912B9F"/>
    <w:rsid w:val="28926B9F"/>
    <w:rsid w:val="28942A08"/>
    <w:rsid w:val="289447B6"/>
    <w:rsid w:val="28A0124C"/>
    <w:rsid w:val="28A449D9"/>
    <w:rsid w:val="28A62150"/>
    <w:rsid w:val="28AA222B"/>
    <w:rsid w:val="28B409B4"/>
    <w:rsid w:val="28B46C06"/>
    <w:rsid w:val="28BE2724"/>
    <w:rsid w:val="28C01A4F"/>
    <w:rsid w:val="28C12409"/>
    <w:rsid w:val="28C20B7D"/>
    <w:rsid w:val="28C826B1"/>
    <w:rsid w:val="28CF4AA8"/>
    <w:rsid w:val="28DE0127"/>
    <w:rsid w:val="28E568FD"/>
    <w:rsid w:val="28E76302"/>
    <w:rsid w:val="28F3713A"/>
    <w:rsid w:val="28F42E14"/>
    <w:rsid w:val="28F675CC"/>
    <w:rsid w:val="29032A1A"/>
    <w:rsid w:val="29034816"/>
    <w:rsid w:val="29045165"/>
    <w:rsid w:val="291A1D21"/>
    <w:rsid w:val="29206EB8"/>
    <w:rsid w:val="292541CB"/>
    <w:rsid w:val="29257B04"/>
    <w:rsid w:val="29337FB9"/>
    <w:rsid w:val="293D309F"/>
    <w:rsid w:val="294466F6"/>
    <w:rsid w:val="29453D02"/>
    <w:rsid w:val="29457BFB"/>
    <w:rsid w:val="29475B92"/>
    <w:rsid w:val="294921DF"/>
    <w:rsid w:val="294E3D3B"/>
    <w:rsid w:val="29551D54"/>
    <w:rsid w:val="29591D17"/>
    <w:rsid w:val="29595666"/>
    <w:rsid w:val="296B6098"/>
    <w:rsid w:val="296D5A50"/>
    <w:rsid w:val="296F1718"/>
    <w:rsid w:val="297625C1"/>
    <w:rsid w:val="2980764F"/>
    <w:rsid w:val="29822CC0"/>
    <w:rsid w:val="29874881"/>
    <w:rsid w:val="298A0B02"/>
    <w:rsid w:val="29916F47"/>
    <w:rsid w:val="299F0E2B"/>
    <w:rsid w:val="29A0506A"/>
    <w:rsid w:val="29A745A8"/>
    <w:rsid w:val="29AA5BAE"/>
    <w:rsid w:val="29AB1D69"/>
    <w:rsid w:val="29AE042A"/>
    <w:rsid w:val="29B13146"/>
    <w:rsid w:val="29B20233"/>
    <w:rsid w:val="29BD5F8E"/>
    <w:rsid w:val="29C962A5"/>
    <w:rsid w:val="29DF48AB"/>
    <w:rsid w:val="29E0688D"/>
    <w:rsid w:val="29E164DF"/>
    <w:rsid w:val="29E325E0"/>
    <w:rsid w:val="29E50214"/>
    <w:rsid w:val="29E66BFE"/>
    <w:rsid w:val="29E96D83"/>
    <w:rsid w:val="29F136B9"/>
    <w:rsid w:val="29FD282F"/>
    <w:rsid w:val="29FE4E85"/>
    <w:rsid w:val="29FE69CB"/>
    <w:rsid w:val="2A0725E8"/>
    <w:rsid w:val="2A1A6F3D"/>
    <w:rsid w:val="2A1E6D3F"/>
    <w:rsid w:val="2A2658E2"/>
    <w:rsid w:val="2A2B40D9"/>
    <w:rsid w:val="2A2C3629"/>
    <w:rsid w:val="2A2C44B8"/>
    <w:rsid w:val="2A4405CF"/>
    <w:rsid w:val="2A452503"/>
    <w:rsid w:val="2A4E55B4"/>
    <w:rsid w:val="2A54466D"/>
    <w:rsid w:val="2A5A0892"/>
    <w:rsid w:val="2A5D01F3"/>
    <w:rsid w:val="2A62092C"/>
    <w:rsid w:val="2A627940"/>
    <w:rsid w:val="2A651472"/>
    <w:rsid w:val="2A6603D4"/>
    <w:rsid w:val="2A67044F"/>
    <w:rsid w:val="2A7E6069"/>
    <w:rsid w:val="2A846041"/>
    <w:rsid w:val="2A8D33BD"/>
    <w:rsid w:val="2A8F792B"/>
    <w:rsid w:val="2A90064B"/>
    <w:rsid w:val="2A933C0B"/>
    <w:rsid w:val="2A96622B"/>
    <w:rsid w:val="2A9B6955"/>
    <w:rsid w:val="2A9C5BA4"/>
    <w:rsid w:val="2A9E7B6E"/>
    <w:rsid w:val="2AA809EC"/>
    <w:rsid w:val="2AAC7C57"/>
    <w:rsid w:val="2AAE22F1"/>
    <w:rsid w:val="2ABD6CA9"/>
    <w:rsid w:val="2ABF13A7"/>
    <w:rsid w:val="2ACA2711"/>
    <w:rsid w:val="2ACC14EF"/>
    <w:rsid w:val="2ACD2102"/>
    <w:rsid w:val="2AD01CF1"/>
    <w:rsid w:val="2AD30B3C"/>
    <w:rsid w:val="2AD9215F"/>
    <w:rsid w:val="2ADE1E88"/>
    <w:rsid w:val="2AF05A0B"/>
    <w:rsid w:val="2AF6306C"/>
    <w:rsid w:val="2AFD0A94"/>
    <w:rsid w:val="2AFD7026"/>
    <w:rsid w:val="2AFE7800"/>
    <w:rsid w:val="2B0337F2"/>
    <w:rsid w:val="2B0B622E"/>
    <w:rsid w:val="2B0F0000"/>
    <w:rsid w:val="2B1150A5"/>
    <w:rsid w:val="2B14220F"/>
    <w:rsid w:val="2B287437"/>
    <w:rsid w:val="2B3245B3"/>
    <w:rsid w:val="2B381037"/>
    <w:rsid w:val="2B394D29"/>
    <w:rsid w:val="2B443189"/>
    <w:rsid w:val="2B453F3B"/>
    <w:rsid w:val="2B46472B"/>
    <w:rsid w:val="2B473CFD"/>
    <w:rsid w:val="2B483D91"/>
    <w:rsid w:val="2B5406DD"/>
    <w:rsid w:val="2B557CE7"/>
    <w:rsid w:val="2B5C1DAF"/>
    <w:rsid w:val="2B6C480E"/>
    <w:rsid w:val="2B6D12EE"/>
    <w:rsid w:val="2B762277"/>
    <w:rsid w:val="2B797888"/>
    <w:rsid w:val="2B7E1880"/>
    <w:rsid w:val="2B815E4C"/>
    <w:rsid w:val="2B847127"/>
    <w:rsid w:val="2B9310A4"/>
    <w:rsid w:val="2B9B5AC6"/>
    <w:rsid w:val="2B9F5CDF"/>
    <w:rsid w:val="2BA4085B"/>
    <w:rsid w:val="2BA54037"/>
    <w:rsid w:val="2BA936A8"/>
    <w:rsid w:val="2BB31915"/>
    <w:rsid w:val="2BBD3699"/>
    <w:rsid w:val="2BC37160"/>
    <w:rsid w:val="2BD2389D"/>
    <w:rsid w:val="2BD457A5"/>
    <w:rsid w:val="2BE37D65"/>
    <w:rsid w:val="2BEC6A86"/>
    <w:rsid w:val="2BF0305D"/>
    <w:rsid w:val="2BF26FD3"/>
    <w:rsid w:val="2BF80ADB"/>
    <w:rsid w:val="2C00750C"/>
    <w:rsid w:val="2C0269F8"/>
    <w:rsid w:val="2C091002"/>
    <w:rsid w:val="2C0B146F"/>
    <w:rsid w:val="2C0B4AC3"/>
    <w:rsid w:val="2C0E033F"/>
    <w:rsid w:val="2C155C0E"/>
    <w:rsid w:val="2C315A5A"/>
    <w:rsid w:val="2C344EEA"/>
    <w:rsid w:val="2C3E17AF"/>
    <w:rsid w:val="2C440BAE"/>
    <w:rsid w:val="2C4B1C25"/>
    <w:rsid w:val="2C4F7E9C"/>
    <w:rsid w:val="2C5204DD"/>
    <w:rsid w:val="2C5612F4"/>
    <w:rsid w:val="2C5A1AD5"/>
    <w:rsid w:val="2C5E2FDC"/>
    <w:rsid w:val="2C5F2E56"/>
    <w:rsid w:val="2C6023A6"/>
    <w:rsid w:val="2C631178"/>
    <w:rsid w:val="2C653E3D"/>
    <w:rsid w:val="2C672453"/>
    <w:rsid w:val="2C7035C2"/>
    <w:rsid w:val="2C703B3F"/>
    <w:rsid w:val="2C723060"/>
    <w:rsid w:val="2C7818B8"/>
    <w:rsid w:val="2C7D60CB"/>
    <w:rsid w:val="2C822503"/>
    <w:rsid w:val="2C8637EE"/>
    <w:rsid w:val="2C873C4D"/>
    <w:rsid w:val="2C877582"/>
    <w:rsid w:val="2C923388"/>
    <w:rsid w:val="2C9D1056"/>
    <w:rsid w:val="2C9E0046"/>
    <w:rsid w:val="2CA23394"/>
    <w:rsid w:val="2CB21FD4"/>
    <w:rsid w:val="2CB50FC4"/>
    <w:rsid w:val="2CBC252D"/>
    <w:rsid w:val="2CC70D6D"/>
    <w:rsid w:val="2CD35CCC"/>
    <w:rsid w:val="2CEB696E"/>
    <w:rsid w:val="2CEC12AF"/>
    <w:rsid w:val="2CEC52FF"/>
    <w:rsid w:val="2CEE384C"/>
    <w:rsid w:val="2CF36271"/>
    <w:rsid w:val="2CFF51B4"/>
    <w:rsid w:val="2D022C3C"/>
    <w:rsid w:val="2D0B5176"/>
    <w:rsid w:val="2D1166CA"/>
    <w:rsid w:val="2D1A4EC9"/>
    <w:rsid w:val="2D2006D2"/>
    <w:rsid w:val="2D233DAE"/>
    <w:rsid w:val="2D295244"/>
    <w:rsid w:val="2D2A7E5B"/>
    <w:rsid w:val="2D2C5FB8"/>
    <w:rsid w:val="2D2F7082"/>
    <w:rsid w:val="2D3D5E11"/>
    <w:rsid w:val="2D3E67B4"/>
    <w:rsid w:val="2D3F7BCD"/>
    <w:rsid w:val="2D422E15"/>
    <w:rsid w:val="2D430E3E"/>
    <w:rsid w:val="2D5A6145"/>
    <w:rsid w:val="2D5C59D6"/>
    <w:rsid w:val="2D6B7AAF"/>
    <w:rsid w:val="2D785282"/>
    <w:rsid w:val="2D832FCF"/>
    <w:rsid w:val="2D901EBC"/>
    <w:rsid w:val="2D9139BA"/>
    <w:rsid w:val="2D937352"/>
    <w:rsid w:val="2D942300"/>
    <w:rsid w:val="2D947006"/>
    <w:rsid w:val="2D9B2BE9"/>
    <w:rsid w:val="2D9D2D85"/>
    <w:rsid w:val="2D9E56F5"/>
    <w:rsid w:val="2D9F10C0"/>
    <w:rsid w:val="2DA01E4F"/>
    <w:rsid w:val="2DA03BFD"/>
    <w:rsid w:val="2DA66982"/>
    <w:rsid w:val="2DA95512"/>
    <w:rsid w:val="2DB60B52"/>
    <w:rsid w:val="2DB6565E"/>
    <w:rsid w:val="2DB80F46"/>
    <w:rsid w:val="2DBB0A37"/>
    <w:rsid w:val="2DBE5EB3"/>
    <w:rsid w:val="2DC02316"/>
    <w:rsid w:val="2DC6281D"/>
    <w:rsid w:val="2DD12AED"/>
    <w:rsid w:val="2DD24493"/>
    <w:rsid w:val="2DD321EB"/>
    <w:rsid w:val="2DD53498"/>
    <w:rsid w:val="2DD7516B"/>
    <w:rsid w:val="2DE10854"/>
    <w:rsid w:val="2DE97352"/>
    <w:rsid w:val="2DED5ED6"/>
    <w:rsid w:val="2DF40D54"/>
    <w:rsid w:val="2DF87595"/>
    <w:rsid w:val="2DFB52D7"/>
    <w:rsid w:val="2E052AFF"/>
    <w:rsid w:val="2E110657"/>
    <w:rsid w:val="2E16660C"/>
    <w:rsid w:val="2E195575"/>
    <w:rsid w:val="2E1A575D"/>
    <w:rsid w:val="2E1E7CDA"/>
    <w:rsid w:val="2E20089A"/>
    <w:rsid w:val="2E226C8F"/>
    <w:rsid w:val="2E274C7B"/>
    <w:rsid w:val="2E27711A"/>
    <w:rsid w:val="2E334A71"/>
    <w:rsid w:val="2E340B98"/>
    <w:rsid w:val="2E3D0880"/>
    <w:rsid w:val="2E3E5BE2"/>
    <w:rsid w:val="2E480349"/>
    <w:rsid w:val="2E575F3A"/>
    <w:rsid w:val="2E5C49A5"/>
    <w:rsid w:val="2E62715D"/>
    <w:rsid w:val="2E6405A0"/>
    <w:rsid w:val="2E667F96"/>
    <w:rsid w:val="2E690CC0"/>
    <w:rsid w:val="2E693FEF"/>
    <w:rsid w:val="2E6A2017"/>
    <w:rsid w:val="2E6A54C9"/>
    <w:rsid w:val="2E6C0446"/>
    <w:rsid w:val="2E6E382B"/>
    <w:rsid w:val="2E772648"/>
    <w:rsid w:val="2E8226AB"/>
    <w:rsid w:val="2E83300E"/>
    <w:rsid w:val="2E8830A2"/>
    <w:rsid w:val="2E914B94"/>
    <w:rsid w:val="2E9D1ED5"/>
    <w:rsid w:val="2EA304DB"/>
    <w:rsid w:val="2EA74E53"/>
    <w:rsid w:val="2EAB3DD0"/>
    <w:rsid w:val="2EB01C1E"/>
    <w:rsid w:val="2EB10CDE"/>
    <w:rsid w:val="2EBA0CEE"/>
    <w:rsid w:val="2EBA484A"/>
    <w:rsid w:val="2EC01E1F"/>
    <w:rsid w:val="2EC5538B"/>
    <w:rsid w:val="2EC5549A"/>
    <w:rsid w:val="2ECB1549"/>
    <w:rsid w:val="2ECB2EFB"/>
    <w:rsid w:val="2ECD1408"/>
    <w:rsid w:val="2ECF6C02"/>
    <w:rsid w:val="2ED151F7"/>
    <w:rsid w:val="2EDF3511"/>
    <w:rsid w:val="2EE31FF3"/>
    <w:rsid w:val="2EE5617D"/>
    <w:rsid w:val="2EE63891"/>
    <w:rsid w:val="2EE6563F"/>
    <w:rsid w:val="2EFC653E"/>
    <w:rsid w:val="2F063F34"/>
    <w:rsid w:val="2F10090E"/>
    <w:rsid w:val="2F140124"/>
    <w:rsid w:val="2F210988"/>
    <w:rsid w:val="2F2263DC"/>
    <w:rsid w:val="2F2307E4"/>
    <w:rsid w:val="2F302D5E"/>
    <w:rsid w:val="2F305F8A"/>
    <w:rsid w:val="2F3960B7"/>
    <w:rsid w:val="2F3E7229"/>
    <w:rsid w:val="2F40686E"/>
    <w:rsid w:val="2F585621"/>
    <w:rsid w:val="2F5C5004"/>
    <w:rsid w:val="2F642A01"/>
    <w:rsid w:val="2F655471"/>
    <w:rsid w:val="2F6741DD"/>
    <w:rsid w:val="2F6E6DDF"/>
    <w:rsid w:val="2F7366F2"/>
    <w:rsid w:val="2F7964B4"/>
    <w:rsid w:val="2F7E665E"/>
    <w:rsid w:val="2F8008D4"/>
    <w:rsid w:val="2F8135BA"/>
    <w:rsid w:val="2F8D1637"/>
    <w:rsid w:val="2F8F6204"/>
    <w:rsid w:val="2F967065"/>
    <w:rsid w:val="2F9E5F1A"/>
    <w:rsid w:val="2FA13D50"/>
    <w:rsid w:val="2FAA1BF0"/>
    <w:rsid w:val="2FAC4ADB"/>
    <w:rsid w:val="2FB5367D"/>
    <w:rsid w:val="2FB54BA3"/>
    <w:rsid w:val="2FB72804"/>
    <w:rsid w:val="2FBB6ACC"/>
    <w:rsid w:val="2FBC2844"/>
    <w:rsid w:val="2FBE78D3"/>
    <w:rsid w:val="2FC5732C"/>
    <w:rsid w:val="2FCB5C6B"/>
    <w:rsid w:val="2FCD0982"/>
    <w:rsid w:val="2FCE0E38"/>
    <w:rsid w:val="2FD065E6"/>
    <w:rsid w:val="2FD3573F"/>
    <w:rsid w:val="2FD96870"/>
    <w:rsid w:val="2FE53B49"/>
    <w:rsid w:val="2FF125EF"/>
    <w:rsid w:val="2FF16260"/>
    <w:rsid w:val="2FF975F4"/>
    <w:rsid w:val="2FFA60FD"/>
    <w:rsid w:val="30060C94"/>
    <w:rsid w:val="300F6E18"/>
    <w:rsid w:val="301376D1"/>
    <w:rsid w:val="301A5EE8"/>
    <w:rsid w:val="301E7DE1"/>
    <w:rsid w:val="302527A9"/>
    <w:rsid w:val="30295020"/>
    <w:rsid w:val="302E2203"/>
    <w:rsid w:val="30406FD1"/>
    <w:rsid w:val="3041038A"/>
    <w:rsid w:val="30441214"/>
    <w:rsid w:val="304E07E8"/>
    <w:rsid w:val="3055592C"/>
    <w:rsid w:val="30580BC9"/>
    <w:rsid w:val="30582200"/>
    <w:rsid w:val="30583090"/>
    <w:rsid w:val="305C1081"/>
    <w:rsid w:val="305D39F2"/>
    <w:rsid w:val="30607673"/>
    <w:rsid w:val="306671F9"/>
    <w:rsid w:val="30733F9D"/>
    <w:rsid w:val="3079718D"/>
    <w:rsid w:val="307A4231"/>
    <w:rsid w:val="30812B1C"/>
    <w:rsid w:val="30832BF9"/>
    <w:rsid w:val="30884CB9"/>
    <w:rsid w:val="308D45AF"/>
    <w:rsid w:val="30903E92"/>
    <w:rsid w:val="30906277"/>
    <w:rsid w:val="30A67D2C"/>
    <w:rsid w:val="30AE205F"/>
    <w:rsid w:val="30B24E3A"/>
    <w:rsid w:val="30B72950"/>
    <w:rsid w:val="30B871F5"/>
    <w:rsid w:val="30B874AF"/>
    <w:rsid w:val="30CD088B"/>
    <w:rsid w:val="30D45B31"/>
    <w:rsid w:val="30D616E4"/>
    <w:rsid w:val="30D718DA"/>
    <w:rsid w:val="30DA2946"/>
    <w:rsid w:val="30DC0C47"/>
    <w:rsid w:val="30DC319E"/>
    <w:rsid w:val="30E107B0"/>
    <w:rsid w:val="30ED5431"/>
    <w:rsid w:val="30ED7159"/>
    <w:rsid w:val="30F06C49"/>
    <w:rsid w:val="30F53A72"/>
    <w:rsid w:val="30F66F96"/>
    <w:rsid w:val="30F93D50"/>
    <w:rsid w:val="30FD4260"/>
    <w:rsid w:val="31014425"/>
    <w:rsid w:val="31067002"/>
    <w:rsid w:val="3112473F"/>
    <w:rsid w:val="31181CFC"/>
    <w:rsid w:val="311A6C35"/>
    <w:rsid w:val="311D196D"/>
    <w:rsid w:val="311E2ED7"/>
    <w:rsid w:val="31273F7D"/>
    <w:rsid w:val="312E16A3"/>
    <w:rsid w:val="312E7AD3"/>
    <w:rsid w:val="312F31E5"/>
    <w:rsid w:val="31343D2F"/>
    <w:rsid w:val="313475F4"/>
    <w:rsid w:val="313602BC"/>
    <w:rsid w:val="31447B25"/>
    <w:rsid w:val="31447BE1"/>
    <w:rsid w:val="31450871"/>
    <w:rsid w:val="315619EE"/>
    <w:rsid w:val="31583860"/>
    <w:rsid w:val="315C449C"/>
    <w:rsid w:val="316311C9"/>
    <w:rsid w:val="31633586"/>
    <w:rsid w:val="31644F41"/>
    <w:rsid w:val="3164757B"/>
    <w:rsid w:val="31662A68"/>
    <w:rsid w:val="31754E98"/>
    <w:rsid w:val="31762994"/>
    <w:rsid w:val="317D3526"/>
    <w:rsid w:val="317F1D9A"/>
    <w:rsid w:val="31857392"/>
    <w:rsid w:val="318B2F02"/>
    <w:rsid w:val="31916063"/>
    <w:rsid w:val="3193057D"/>
    <w:rsid w:val="31992E3D"/>
    <w:rsid w:val="319E48F7"/>
    <w:rsid w:val="31AB03AE"/>
    <w:rsid w:val="31AE6E01"/>
    <w:rsid w:val="31B1462B"/>
    <w:rsid w:val="31B16024"/>
    <w:rsid w:val="31B32BEF"/>
    <w:rsid w:val="31B82709"/>
    <w:rsid w:val="31B9528D"/>
    <w:rsid w:val="31C003CA"/>
    <w:rsid w:val="31C02591"/>
    <w:rsid w:val="31C26B60"/>
    <w:rsid w:val="31D05482"/>
    <w:rsid w:val="31DB2968"/>
    <w:rsid w:val="31E80621"/>
    <w:rsid w:val="31EF47CF"/>
    <w:rsid w:val="31F41E38"/>
    <w:rsid w:val="31F60A7B"/>
    <w:rsid w:val="31FA20F2"/>
    <w:rsid w:val="31FC658F"/>
    <w:rsid w:val="32093AD5"/>
    <w:rsid w:val="32094314"/>
    <w:rsid w:val="320C6E42"/>
    <w:rsid w:val="320D1323"/>
    <w:rsid w:val="321052FF"/>
    <w:rsid w:val="321574BA"/>
    <w:rsid w:val="321E77E6"/>
    <w:rsid w:val="32210E55"/>
    <w:rsid w:val="32221B97"/>
    <w:rsid w:val="32224A59"/>
    <w:rsid w:val="32245FA3"/>
    <w:rsid w:val="322C2E1C"/>
    <w:rsid w:val="32334AED"/>
    <w:rsid w:val="32342B66"/>
    <w:rsid w:val="32397B60"/>
    <w:rsid w:val="323D738C"/>
    <w:rsid w:val="32400B34"/>
    <w:rsid w:val="324059AE"/>
    <w:rsid w:val="32452FC5"/>
    <w:rsid w:val="32454D73"/>
    <w:rsid w:val="324A0F56"/>
    <w:rsid w:val="324B42C8"/>
    <w:rsid w:val="324F174E"/>
    <w:rsid w:val="3253299C"/>
    <w:rsid w:val="325568B2"/>
    <w:rsid w:val="32640061"/>
    <w:rsid w:val="326F3B9E"/>
    <w:rsid w:val="32704D6B"/>
    <w:rsid w:val="328150A8"/>
    <w:rsid w:val="32871542"/>
    <w:rsid w:val="32872EA0"/>
    <w:rsid w:val="328B764C"/>
    <w:rsid w:val="329830F5"/>
    <w:rsid w:val="32987598"/>
    <w:rsid w:val="32990C1B"/>
    <w:rsid w:val="329A6E6D"/>
    <w:rsid w:val="329B25B1"/>
    <w:rsid w:val="329E06AA"/>
    <w:rsid w:val="329E6876"/>
    <w:rsid w:val="32AE5FA7"/>
    <w:rsid w:val="32B60DDF"/>
    <w:rsid w:val="32BA6058"/>
    <w:rsid w:val="32BC2CF5"/>
    <w:rsid w:val="32C263C3"/>
    <w:rsid w:val="32C642A4"/>
    <w:rsid w:val="32CC6916"/>
    <w:rsid w:val="32D303D9"/>
    <w:rsid w:val="32D723BA"/>
    <w:rsid w:val="32E70ED5"/>
    <w:rsid w:val="32EE5FCA"/>
    <w:rsid w:val="32F732F0"/>
    <w:rsid w:val="32F76433"/>
    <w:rsid w:val="32FD11AA"/>
    <w:rsid w:val="32FD73FC"/>
    <w:rsid w:val="330947B1"/>
    <w:rsid w:val="330D3AE3"/>
    <w:rsid w:val="330D78B1"/>
    <w:rsid w:val="33125F8B"/>
    <w:rsid w:val="33134E71"/>
    <w:rsid w:val="3315449A"/>
    <w:rsid w:val="331D5D78"/>
    <w:rsid w:val="331E17E3"/>
    <w:rsid w:val="3326302E"/>
    <w:rsid w:val="332D32F1"/>
    <w:rsid w:val="332E3848"/>
    <w:rsid w:val="333015F2"/>
    <w:rsid w:val="33336A84"/>
    <w:rsid w:val="33386686"/>
    <w:rsid w:val="3340350C"/>
    <w:rsid w:val="33467A14"/>
    <w:rsid w:val="33475B4B"/>
    <w:rsid w:val="334B6320"/>
    <w:rsid w:val="33525999"/>
    <w:rsid w:val="335740A1"/>
    <w:rsid w:val="335922EC"/>
    <w:rsid w:val="335C2BBC"/>
    <w:rsid w:val="335C3975"/>
    <w:rsid w:val="335D1FE1"/>
    <w:rsid w:val="335E602D"/>
    <w:rsid w:val="33637780"/>
    <w:rsid w:val="3368141A"/>
    <w:rsid w:val="33697372"/>
    <w:rsid w:val="336A2CE3"/>
    <w:rsid w:val="33770F5C"/>
    <w:rsid w:val="337B4EF0"/>
    <w:rsid w:val="33826AF5"/>
    <w:rsid w:val="33852CF8"/>
    <w:rsid w:val="338920ED"/>
    <w:rsid w:val="338E62A6"/>
    <w:rsid w:val="33925D96"/>
    <w:rsid w:val="33954170"/>
    <w:rsid w:val="339F7B1E"/>
    <w:rsid w:val="33A51F6D"/>
    <w:rsid w:val="33A559E1"/>
    <w:rsid w:val="33AA2207"/>
    <w:rsid w:val="33AE24DB"/>
    <w:rsid w:val="33B73B76"/>
    <w:rsid w:val="33BE1016"/>
    <w:rsid w:val="33CB74FA"/>
    <w:rsid w:val="33CF6A21"/>
    <w:rsid w:val="33D02564"/>
    <w:rsid w:val="33D61607"/>
    <w:rsid w:val="33D83AD1"/>
    <w:rsid w:val="33D934D4"/>
    <w:rsid w:val="33DE0EF4"/>
    <w:rsid w:val="33DE254D"/>
    <w:rsid w:val="33DE27BC"/>
    <w:rsid w:val="33E748F0"/>
    <w:rsid w:val="33EC3C63"/>
    <w:rsid w:val="33EF138A"/>
    <w:rsid w:val="33F54C6B"/>
    <w:rsid w:val="33F81924"/>
    <w:rsid w:val="33FE2F6A"/>
    <w:rsid w:val="33FE6DB1"/>
    <w:rsid w:val="340100BF"/>
    <w:rsid w:val="34020530"/>
    <w:rsid w:val="34024234"/>
    <w:rsid w:val="340351AA"/>
    <w:rsid w:val="34093A25"/>
    <w:rsid w:val="34096E6A"/>
    <w:rsid w:val="340A0D53"/>
    <w:rsid w:val="340B3CBC"/>
    <w:rsid w:val="340E07E5"/>
    <w:rsid w:val="3417763C"/>
    <w:rsid w:val="34235BF7"/>
    <w:rsid w:val="342B29A4"/>
    <w:rsid w:val="34335880"/>
    <w:rsid w:val="34373432"/>
    <w:rsid w:val="343847DF"/>
    <w:rsid w:val="34424942"/>
    <w:rsid w:val="344F59F7"/>
    <w:rsid w:val="34575328"/>
    <w:rsid w:val="3459057D"/>
    <w:rsid w:val="34592A95"/>
    <w:rsid w:val="345C0EAF"/>
    <w:rsid w:val="3465020F"/>
    <w:rsid w:val="34692F9B"/>
    <w:rsid w:val="346C4839"/>
    <w:rsid w:val="346E65C7"/>
    <w:rsid w:val="34701C15"/>
    <w:rsid w:val="34741A8A"/>
    <w:rsid w:val="347536D0"/>
    <w:rsid w:val="347E7A59"/>
    <w:rsid w:val="348326C4"/>
    <w:rsid w:val="348558FB"/>
    <w:rsid w:val="348A1234"/>
    <w:rsid w:val="348F4919"/>
    <w:rsid w:val="349618B6"/>
    <w:rsid w:val="34993154"/>
    <w:rsid w:val="34A71248"/>
    <w:rsid w:val="34AB50AC"/>
    <w:rsid w:val="34AF2977"/>
    <w:rsid w:val="34B02671"/>
    <w:rsid w:val="34B175E5"/>
    <w:rsid w:val="34B23CAD"/>
    <w:rsid w:val="34B453BB"/>
    <w:rsid w:val="34BF2B0C"/>
    <w:rsid w:val="34C401D1"/>
    <w:rsid w:val="34D32B0A"/>
    <w:rsid w:val="34D67C22"/>
    <w:rsid w:val="34DA5C46"/>
    <w:rsid w:val="34DB4671"/>
    <w:rsid w:val="34DF14AF"/>
    <w:rsid w:val="34EB5C20"/>
    <w:rsid w:val="34F36CD6"/>
    <w:rsid w:val="350031D3"/>
    <w:rsid w:val="35064C8D"/>
    <w:rsid w:val="350940D2"/>
    <w:rsid w:val="35104158"/>
    <w:rsid w:val="35132A9E"/>
    <w:rsid w:val="351731A0"/>
    <w:rsid w:val="351E7B89"/>
    <w:rsid w:val="352C78AC"/>
    <w:rsid w:val="35324886"/>
    <w:rsid w:val="35335357"/>
    <w:rsid w:val="35366CC8"/>
    <w:rsid w:val="35412C38"/>
    <w:rsid w:val="35425726"/>
    <w:rsid w:val="354A69B0"/>
    <w:rsid w:val="35505F08"/>
    <w:rsid w:val="35527ED3"/>
    <w:rsid w:val="355439C8"/>
    <w:rsid w:val="35557F2A"/>
    <w:rsid w:val="355657AB"/>
    <w:rsid w:val="35596747"/>
    <w:rsid w:val="35653005"/>
    <w:rsid w:val="35680ADC"/>
    <w:rsid w:val="357F059C"/>
    <w:rsid w:val="358C5FA8"/>
    <w:rsid w:val="35972EC8"/>
    <w:rsid w:val="3599165E"/>
    <w:rsid w:val="359E2DD0"/>
    <w:rsid w:val="35BA15D4"/>
    <w:rsid w:val="35C076D1"/>
    <w:rsid w:val="35C15DF1"/>
    <w:rsid w:val="35C6441D"/>
    <w:rsid w:val="35C91817"/>
    <w:rsid w:val="35CC74C4"/>
    <w:rsid w:val="35D07049"/>
    <w:rsid w:val="35D22DC1"/>
    <w:rsid w:val="35D6301D"/>
    <w:rsid w:val="35D91940"/>
    <w:rsid w:val="35E054DE"/>
    <w:rsid w:val="35E7224F"/>
    <w:rsid w:val="35EC5DE7"/>
    <w:rsid w:val="35F16554"/>
    <w:rsid w:val="35F1677D"/>
    <w:rsid w:val="35F23290"/>
    <w:rsid w:val="35FC08C5"/>
    <w:rsid w:val="35FF348B"/>
    <w:rsid w:val="360509D0"/>
    <w:rsid w:val="36055DA3"/>
    <w:rsid w:val="36074A7F"/>
    <w:rsid w:val="360C1DE6"/>
    <w:rsid w:val="360E79E8"/>
    <w:rsid w:val="360F7FE0"/>
    <w:rsid w:val="361433DA"/>
    <w:rsid w:val="361909F0"/>
    <w:rsid w:val="36214578"/>
    <w:rsid w:val="36230175"/>
    <w:rsid w:val="3623361D"/>
    <w:rsid w:val="36363049"/>
    <w:rsid w:val="36366643"/>
    <w:rsid w:val="3638029F"/>
    <w:rsid w:val="363869FF"/>
    <w:rsid w:val="3640314C"/>
    <w:rsid w:val="36423070"/>
    <w:rsid w:val="3646517F"/>
    <w:rsid w:val="365B111D"/>
    <w:rsid w:val="365E1CB8"/>
    <w:rsid w:val="36631C6B"/>
    <w:rsid w:val="36635D41"/>
    <w:rsid w:val="36675D13"/>
    <w:rsid w:val="366D02E0"/>
    <w:rsid w:val="366F0610"/>
    <w:rsid w:val="3671567D"/>
    <w:rsid w:val="3679323D"/>
    <w:rsid w:val="367B0954"/>
    <w:rsid w:val="36802980"/>
    <w:rsid w:val="368C3A85"/>
    <w:rsid w:val="368E4F3A"/>
    <w:rsid w:val="36921D03"/>
    <w:rsid w:val="36923549"/>
    <w:rsid w:val="36935731"/>
    <w:rsid w:val="36972608"/>
    <w:rsid w:val="36983426"/>
    <w:rsid w:val="369A5179"/>
    <w:rsid w:val="369D517D"/>
    <w:rsid w:val="369D56F3"/>
    <w:rsid w:val="36AB3EC6"/>
    <w:rsid w:val="36AC3B76"/>
    <w:rsid w:val="36B53B9D"/>
    <w:rsid w:val="36B54829"/>
    <w:rsid w:val="36B615F4"/>
    <w:rsid w:val="36B75FBF"/>
    <w:rsid w:val="36B83D65"/>
    <w:rsid w:val="36BD0C45"/>
    <w:rsid w:val="36CC54E2"/>
    <w:rsid w:val="36CF7301"/>
    <w:rsid w:val="36E70A2F"/>
    <w:rsid w:val="36EA07C0"/>
    <w:rsid w:val="36ED6678"/>
    <w:rsid w:val="36F13BC7"/>
    <w:rsid w:val="36FB3296"/>
    <w:rsid w:val="37092813"/>
    <w:rsid w:val="370F2894"/>
    <w:rsid w:val="371231E8"/>
    <w:rsid w:val="37384EA6"/>
    <w:rsid w:val="374B4123"/>
    <w:rsid w:val="374E563B"/>
    <w:rsid w:val="37526739"/>
    <w:rsid w:val="37545966"/>
    <w:rsid w:val="37566CBF"/>
    <w:rsid w:val="375C659B"/>
    <w:rsid w:val="376D5966"/>
    <w:rsid w:val="376F096F"/>
    <w:rsid w:val="376F3EDE"/>
    <w:rsid w:val="37704D82"/>
    <w:rsid w:val="37734130"/>
    <w:rsid w:val="37802DC5"/>
    <w:rsid w:val="378258D0"/>
    <w:rsid w:val="37884128"/>
    <w:rsid w:val="37923741"/>
    <w:rsid w:val="37956DFA"/>
    <w:rsid w:val="37A04A05"/>
    <w:rsid w:val="37A13EFE"/>
    <w:rsid w:val="37A340F8"/>
    <w:rsid w:val="37A66221"/>
    <w:rsid w:val="37A77DE1"/>
    <w:rsid w:val="37B502A5"/>
    <w:rsid w:val="37B95118"/>
    <w:rsid w:val="37BB6FB7"/>
    <w:rsid w:val="37C46192"/>
    <w:rsid w:val="37C96175"/>
    <w:rsid w:val="37CA04F1"/>
    <w:rsid w:val="37CC25FB"/>
    <w:rsid w:val="37CD2EFE"/>
    <w:rsid w:val="37CF1A14"/>
    <w:rsid w:val="37CF5CAE"/>
    <w:rsid w:val="37D64B06"/>
    <w:rsid w:val="37E00298"/>
    <w:rsid w:val="37F37470"/>
    <w:rsid w:val="37F4219D"/>
    <w:rsid w:val="37F7287A"/>
    <w:rsid w:val="37FB444A"/>
    <w:rsid w:val="37FF0DA9"/>
    <w:rsid w:val="37FF15EF"/>
    <w:rsid w:val="380303D3"/>
    <w:rsid w:val="38066D52"/>
    <w:rsid w:val="380C2BD1"/>
    <w:rsid w:val="381A45AC"/>
    <w:rsid w:val="381C6D38"/>
    <w:rsid w:val="38210AC6"/>
    <w:rsid w:val="382968DE"/>
    <w:rsid w:val="382E56A5"/>
    <w:rsid w:val="384A6CA2"/>
    <w:rsid w:val="38504012"/>
    <w:rsid w:val="38583795"/>
    <w:rsid w:val="3858657D"/>
    <w:rsid w:val="385A614A"/>
    <w:rsid w:val="385C5F52"/>
    <w:rsid w:val="38611B4B"/>
    <w:rsid w:val="38691D09"/>
    <w:rsid w:val="386F4F43"/>
    <w:rsid w:val="386F6A47"/>
    <w:rsid w:val="387137AF"/>
    <w:rsid w:val="38796AD2"/>
    <w:rsid w:val="38797524"/>
    <w:rsid w:val="387B14EE"/>
    <w:rsid w:val="387C40F0"/>
    <w:rsid w:val="3883215A"/>
    <w:rsid w:val="388A7983"/>
    <w:rsid w:val="388C7CF5"/>
    <w:rsid w:val="388E3785"/>
    <w:rsid w:val="3891221D"/>
    <w:rsid w:val="38960554"/>
    <w:rsid w:val="38A12F28"/>
    <w:rsid w:val="38B1729A"/>
    <w:rsid w:val="38B302F9"/>
    <w:rsid w:val="38B45EEC"/>
    <w:rsid w:val="38B62526"/>
    <w:rsid w:val="38B95F47"/>
    <w:rsid w:val="38BD051D"/>
    <w:rsid w:val="38C53A27"/>
    <w:rsid w:val="38C55B45"/>
    <w:rsid w:val="38C675EE"/>
    <w:rsid w:val="38CB377E"/>
    <w:rsid w:val="38D10A1F"/>
    <w:rsid w:val="38D26C34"/>
    <w:rsid w:val="38DA4C9C"/>
    <w:rsid w:val="38E2085E"/>
    <w:rsid w:val="38E250CA"/>
    <w:rsid w:val="38E2657D"/>
    <w:rsid w:val="38EA7696"/>
    <w:rsid w:val="38F10CF7"/>
    <w:rsid w:val="38F12CD3"/>
    <w:rsid w:val="38F157AF"/>
    <w:rsid w:val="38F44206"/>
    <w:rsid w:val="38F75B2D"/>
    <w:rsid w:val="38F84990"/>
    <w:rsid w:val="38F94775"/>
    <w:rsid w:val="38FC36C8"/>
    <w:rsid w:val="390239BE"/>
    <w:rsid w:val="39023A5E"/>
    <w:rsid w:val="39067937"/>
    <w:rsid w:val="390B0C9E"/>
    <w:rsid w:val="3914549F"/>
    <w:rsid w:val="3927243B"/>
    <w:rsid w:val="392747CC"/>
    <w:rsid w:val="392971ED"/>
    <w:rsid w:val="392C48B6"/>
    <w:rsid w:val="39325651"/>
    <w:rsid w:val="39340B24"/>
    <w:rsid w:val="39355B41"/>
    <w:rsid w:val="3937392F"/>
    <w:rsid w:val="393B0274"/>
    <w:rsid w:val="393E3C86"/>
    <w:rsid w:val="394144E6"/>
    <w:rsid w:val="39473E9F"/>
    <w:rsid w:val="39474A1D"/>
    <w:rsid w:val="394925BC"/>
    <w:rsid w:val="39496595"/>
    <w:rsid w:val="3951617D"/>
    <w:rsid w:val="39554AA4"/>
    <w:rsid w:val="395679ED"/>
    <w:rsid w:val="395F0E95"/>
    <w:rsid w:val="396106E4"/>
    <w:rsid w:val="39615ED1"/>
    <w:rsid w:val="39634ED1"/>
    <w:rsid w:val="3963535B"/>
    <w:rsid w:val="396A0FEA"/>
    <w:rsid w:val="3978732C"/>
    <w:rsid w:val="397E4FAA"/>
    <w:rsid w:val="39830A1D"/>
    <w:rsid w:val="3984027B"/>
    <w:rsid w:val="3990108C"/>
    <w:rsid w:val="399176FB"/>
    <w:rsid w:val="3998550D"/>
    <w:rsid w:val="39A21D36"/>
    <w:rsid w:val="39A47F1D"/>
    <w:rsid w:val="39A76B5E"/>
    <w:rsid w:val="39B2192F"/>
    <w:rsid w:val="39B27192"/>
    <w:rsid w:val="39B43314"/>
    <w:rsid w:val="39B45E52"/>
    <w:rsid w:val="39B822CE"/>
    <w:rsid w:val="39BC6823"/>
    <w:rsid w:val="39BE3767"/>
    <w:rsid w:val="39BE61E7"/>
    <w:rsid w:val="39C25AC5"/>
    <w:rsid w:val="39C33ECE"/>
    <w:rsid w:val="39C944DB"/>
    <w:rsid w:val="39D14FFC"/>
    <w:rsid w:val="39D72754"/>
    <w:rsid w:val="39E11628"/>
    <w:rsid w:val="39E81604"/>
    <w:rsid w:val="39F6369D"/>
    <w:rsid w:val="39F72554"/>
    <w:rsid w:val="3A190FBF"/>
    <w:rsid w:val="3A2D05C6"/>
    <w:rsid w:val="3A2E0340"/>
    <w:rsid w:val="3A2E433E"/>
    <w:rsid w:val="3A32322C"/>
    <w:rsid w:val="3A43269E"/>
    <w:rsid w:val="3A43603C"/>
    <w:rsid w:val="3A4A0CD0"/>
    <w:rsid w:val="3A4F4D7F"/>
    <w:rsid w:val="3A50591E"/>
    <w:rsid w:val="3A511163"/>
    <w:rsid w:val="3A5214D0"/>
    <w:rsid w:val="3A537674"/>
    <w:rsid w:val="3A5426FE"/>
    <w:rsid w:val="3A6A4F01"/>
    <w:rsid w:val="3A6A5F03"/>
    <w:rsid w:val="3A6F18BF"/>
    <w:rsid w:val="3A746B6F"/>
    <w:rsid w:val="3A785AF9"/>
    <w:rsid w:val="3A8279F1"/>
    <w:rsid w:val="3A853B08"/>
    <w:rsid w:val="3A872856"/>
    <w:rsid w:val="3A886145"/>
    <w:rsid w:val="3A913E45"/>
    <w:rsid w:val="3A943398"/>
    <w:rsid w:val="3A95024A"/>
    <w:rsid w:val="3A992100"/>
    <w:rsid w:val="3A9B4045"/>
    <w:rsid w:val="3AA0015D"/>
    <w:rsid w:val="3AA0348E"/>
    <w:rsid w:val="3AA06FEA"/>
    <w:rsid w:val="3AA479A0"/>
    <w:rsid w:val="3AA50AA5"/>
    <w:rsid w:val="3AAB598F"/>
    <w:rsid w:val="3AB91574"/>
    <w:rsid w:val="3AC21776"/>
    <w:rsid w:val="3AC65D89"/>
    <w:rsid w:val="3ACC0BF2"/>
    <w:rsid w:val="3AD3557F"/>
    <w:rsid w:val="3AD650D4"/>
    <w:rsid w:val="3ADA7C4B"/>
    <w:rsid w:val="3ADD4538"/>
    <w:rsid w:val="3AE315CD"/>
    <w:rsid w:val="3AE8273F"/>
    <w:rsid w:val="3AF630AE"/>
    <w:rsid w:val="3B074BBE"/>
    <w:rsid w:val="3B0D316C"/>
    <w:rsid w:val="3B1B2B15"/>
    <w:rsid w:val="3B2F2B2F"/>
    <w:rsid w:val="3B330501"/>
    <w:rsid w:val="3B37375B"/>
    <w:rsid w:val="3B37434C"/>
    <w:rsid w:val="3B3763D1"/>
    <w:rsid w:val="3B381919"/>
    <w:rsid w:val="3B385709"/>
    <w:rsid w:val="3B3A3748"/>
    <w:rsid w:val="3B506C62"/>
    <w:rsid w:val="3B557B28"/>
    <w:rsid w:val="3B5B6D4B"/>
    <w:rsid w:val="3B5C425C"/>
    <w:rsid w:val="3B646368"/>
    <w:rsid w:val="3B6A55BB"/>
    <w:rsid w:val="3B6E41A0"/>
    <w:rsid w:val="3B6E568D"/>
    <w:rsid w:val="3B732A61"/>
    <w:rsid w:val="3B791352"/>
    <w:rsid w:val="3B7F1A97"/>
    <w:rsid w:val="3B841D62"/>
    <w:rsid w:val="3B97351C"/>
    <w:rsid w:val="3B9F3746"/>
    <w:rsid w:val="3BA12D84"/>
    <w:rsid w:val="3BA40841"/>
    <w:rsid w:val="3BAB2EAF"/>
    <w:rsid w:val="3BAB3E99"/>
    <w:rsid w:val="3BAC032E"/>
    <w:rsid w:val="3BAC0EE1"/>
    <w:rsid w:val="3BAD60C9"/>
    <w:rsid w:val="3BAF1DB6"/>
    <w:rsid w:val="3BB77BFA"/>
    <w:rsid w:val="3BB87FA3"/>
    <w:rsid w:val="3BBB11DD"/>
    <w:rsid w:val="3BBF0E65"/>
    <w:rsid w:val="3BD639A7"/>
    <w:rsid w:val="3BDA29D0"/>
    <w:rsid w:val="3BDC22A4"/>
    <w:rsid w:val="3BE21884"/>
    <w:rsid w:val="3BE73208"/>
    <w:rsid w:val="3BE800C3"/>
    <w:rsid w:val="3BF0097E"/>
    <w:rsid w:val="3BFA097C"/>
    <w:rsid w:val="3BFC2D80"/>
    <w:rsid w:val="3C0D343E"/>
    <w:rsid w:val="3C0E17FD"/>
    <w:rsid w:val="3C0E2679"/>
    <w:rsid w:val="3C131663"/>
    <w:rsid w:val="3C131A3E"/>
    <w:rsid w:val="3C1F4AF1"/>
    <w:rsid w:val="3C202EE7"/>
    <w:rsid w:val="3C2902CB"/>
    <w:rsid w:val="3C2E5359"/>
    <w:rsid w:val="3C2F5216"/>
    <w:rsid w:val="3C2F6E1E"/>
    <w:rsid w:val="3C302B8A"/>
    <w:rsid w:val="3C340332"/>
    <w:rsid w:val="3C39503B"/>
    <w:rsid w:val="3C3F2833"/>
    <w:rsid w:val="3C461E13"/>
    <w:rsid w:val="3C4A1AA5"/>
    <w:rsid w:val="3C4F64BA"/>
    <w:rsid w:val="3C5206F2"/>
    <w:rsid w:val="3C525FCC"/>
    <w:rsid w:val="3C5951F3"/>
    <w:rsid w:val="3C5C50CF"/>
    <w:rsid w:val="3C6172D3"/>
    <w:rsid w:val="3C682985"/>
    <w:rsid w:val="3C6C37AC"/>
    <w:rsid w:val="3C74775A"/>
    <w:rsid w:val="3C771FCD"/>
    <w:rsid w:val="3C7B6538"/>
    <w:rsid w:val="3C826477"/>
    <w:rsid w:val="3C8740B3"/>
    <w:rsid w:val="3C8D17F0"/>
    <w:rsid w:val="3C91707D"/>
    <w:rsid w:val="3C940DD1"/>
    <w:rsid w:val="3C950B67"/>
    <w:rsid w:val="3C9527AD"/>
    <w:rsid w:val="3C957D9D"/>
    <w:rsid w:val="3C9708C1"/>
    <w:rsid w:val="3C9A04B2"/>
    <w:rsid w:val="3CA26EA8"/>
    <w:rsid w:val="3CA3510D"/>
    <w:rsid w:val="3CA35FFE"/>
    <w:rsid w:val="3CA628B2"/>
    <w:rsid w:val="3CA808B5"/>
    <w:rsid w:val="3CAC61B9"/>
    <w:rsid w:val="3CB43DCC"/>
    <w:rsid w:val="3CBD17A1"/>
    <w:rsid w:val="3CC0462F"/>
    <w:rsid w:val="3CC1358A"/>
    <w:rsid w:val="3CC9241C"/>
    <w:rsid w:val="3CD13ACB"/>
    <w:rsid w:val="3CD771B8"/>
    <w:rsid w:val="3CDA245A"/>
    <w:rsid w:val="3CDA6666"/>
    <w:rsid w:val="3CDD3BA8"/>
    <w:rsid w:val="3CDD62DF"/>
    <w:rsid w:val="3CE04016"/>
    <w:rsid w:val="3CE91E71"/>
    <w:rsid w:val="3CEA711E"/>
    <w:rsid w:val="3CED228F"/>
    <w:rsid w:val="3D0A7413"/>
    <w:rsid w:val="3D0D2931"/>
    <w:rsid w:val="3D1349AF"/>
    <w:rsid w:val="3D171054"/>
    <w:rsid w:val="3D1837B0"/>
    <w:rsid w:val="3D1E06B7"/>
    <w:rsid w:val="3D1E3D0C"/>
    <w:rsid w:val="3D2637C6"/>
    <w:rsid w:val="3D271C45"/>
    <w:rsid w:val="3D280AAE"/>
    <w:rsid w:val="3D2C1009"/>
    <w:rsid w:val="3D343432"/>
    <w:rsid w:val="3D347EBE"/>
    <w:rsid w:val="3D3B2FFA"/>
    <w:rsid w:val="3D3C6E6B"/>
    <w:rsid w:val="3D3E6AB5"/>
    <w:rsid w:val="3D4D4509"/>
    <w:rsid w:val="3D536596"/>
    <w:rsid w:val="3D590EA1"/>
    <w:rsid w:val="3D5E7801"/>
    <w:rsid w:val="3D69118F"/>
    <w:rsid w:val="3D6E5A2C"/>
    <w:rsid w:val="3D723580"/>
    <w:rsid w:val="3D76781B"/>
    <w:rsid w:val="3D7A2739"/>
    <w:rsid w:val="3D8C611A"/>
    <w:rsid w:val="3D9372DA"/>
    <w:rsid w:val="3D951A4B"/>
    <w:rsid w:val="3D9B43F8"/>
    <w:rsid w:val="3D9D235A"/>
    <w:rsid w:val="3DA275D4"/>
    <w:rsid w:val="3DAB63D2"/>
    <w:rsid w:val="3DB1150E"/>
    <w:rsid w:val="3DB17760"/>
    <w:rsid w:val="3DB42DAD"/>
    <w:rsid w:val="3DBB01D5"/>
    <w:rsid w:val="3DBC4BD1"/>
    <w:rsid w:val="3DC254CA"/>
    <w:rsid w:val="3DC72AE0"/>
    <w:rsid w:val="3DCD12AD"/>
    <w:rsid w:val="3DD91FDF"/>
    <w:rsid w:val="3DDD0555"/>
    <w:rsid w:val="3DE0078A"/>
    <w:rsid w:val="3DE90504"/>
    <w:rsid w:val="3DEB5606"/>
    <w:rsid w:val="3DF23EF9"/>
    <w:rsid w:val="3DF62E84"/>
    <w:rsid w:val="3DF77869"/>
    <w:rsid w:val="3DFA00D6"/>
    <w:rsid w:val="3DFD4754"/>
    <w:rsid w:val="3DFE0FA2"/>
    <w:rsid w:val="3E030A32"/>
    <w:rsid w:val="3E065DA3"/>
    <w:rsid w:val="3E07197F"/>
    <w:rsid w:val="3E0B5AD9"/>
    <w:rsid w:val="3E0D35E4"/>
    <w:rsid w:val="3E104487"/>
    <w:rsid w:val="3E120A87"/>
    <w:rsid w:val="3E1C0F2E"/>
    <w:rsid w:val="3E1D6678"/>
    <w:rsid w:val="3E2719BA"/>
    <w:rsid w:val="3E2874A1"/>
    <w:rsid w:val="3E3068D7"/>
    <w:rsid w:val="3E371A14"/>
    <w:rsid w:val="3E391AAE"/>
    <w:rsid w:val="3E3F11CB"/>
    <w:rsid w:val="3E45657B"/>
    <w:rsid w:val="3E500CD2"/>
    <w:rsid w:val="3E502AD5"/>
    <w:rsid w:val="3E563120"/>
    <w:rsid w:val="3E566A68"/>
    <w:rsid w:val="3E5B3DE7"/>
    <w:rsid w:val="3E5E13C3"/>
    <w:rsid w:val="3E6032F5"/>
    <w:rsid w:val="3E614CE2"/>
    <w:rsid w:val="3E651BA0"/>
    <w:rsid w:val="3E72445E"/>
    <w:rsid w:val="3E7908D1"/>
    <w:rsid w:val="3E7A2241"/>
    <w:rsid w:val="3E7F562E"/>
    <w:rsid w:val="3E895293"/>
    <w:rsid w:val="3E8B5CBD"/>
    <w:rsid w:val="3E94330A"/>
    <w:rsid w:val="3E990920"/>
    <w:rsid w:val="3E9A0C3B"/>
    <w:rsid w:val="3EA15F66"/>
    <w:rsid w:val="3EA23C71"/>
    <w:rsid w:val="3EA41EBB"/>
    <w:rsid w:val="3EA64DEB"/>
    <w:rsid w:val="3EA959BD"/>
    <w:rsid w:val="3EAD4FE8"/>
    <w:rsid w:val="3EAE54A3"/>
    <w:rsid w:val="3EAF22E3"/>
    <w:rsid w:val="3EBC467D"/>
    <w:rsid w:val="3EBE3993"/>
    <w:rsid w:val="3ECA6D2C"/>
    <w:rsid w:val="3ECF0775"/>
    <w:rsid w:val="3ED10177"/>
    <w:rsid w:val="3ED11604"/>
    <w:rsid w:val="3ED61844"/>
    <w:rsid w:val="3EDA0523"/>
    <w:rsid w:val="3EDB0FDC"/>
    <w:rsid w:val="3EDD3B43"/>
    <w:rsid w:val="3EE31345"/>
    <w:rsid w:val="3EE477CA"/>
    <w:rsid w:val="3EE80F60"/>
    <w:rsid w:val="3F023159"/>
    <w:rsid w:val="3F0266EF"/>
    <w:rsid w:val="3F0A537A"/>
    <w:rsid w:val="3F0D0E04"/>
    <w:rsid w:val="3F0E399C"/>
    <w:rsid w:val="3F0E66D3"/>
    <w:rsid w:val="3F0F2990"/>
    <w:rsid w:val="3F125160"/>
    <w:rsid w:val="3F1955BD"/>
    <w:rsid w:val="3F1B0955"/>
    <w:rsid w:val="3F2648C7"/>
    <w:rsid w:val="3F285800"/>
    <w:rsid w:val="3F3D736D"/>
    <w:rsid w:val="3F443A4E"/>
    <w:rsid w:val="3F463CE0"/>
    <w:rsid w:val="3F4723DE"/>
    <w:rsid w:val="3F485A1E"/>
    <w:rsid w:val="3F487C50"/>
    <w:rsid w:val="3F4F3C54"/>
    <w:rsid w:val="3F593C0C"/>
    <w:rsid w:val="3F5D2347"/>
    <w:rsid w:val="3F5D7BA0"/>
    <w:rsid w:val="3F6566FB"/>
    <w:rsid w:val="3F721E1D"/>
    <w:rsid w:val="3F743534"/>
    <w:rsid w:val="3F747261"/>
    <w:rsid w:val="3F777E00"/>
    <w:rsid w:val="3F793D2C"/>
    <w:rsid w:val="3F7B0026"/>
    <w:rsid w:val="3F80388E"/>
    <w:rsid w:val="3F810087"/>
    <w:rsid w:val="3F811E9F"/>
    <w:rsid w:val="3F8857AA"/>
    <w:rsid w:val="3F8D4B70"/>
    <w:rsid w:val="3F8F5EAE"/>
    <w:rsid w:val="3FA043B5"/>
    <w:rsid w:val="3FA255B3"/>
    <w:rsid w:val="3FA75DF8"/>
    <w:rsid w:val="3FB1365E"/>
    <w:rsid w:val="3FB700BE"/>
    <w:rsid w:val="3FC27A03"/>
    <w:rsid w:val="3FC41290"/>
    <w:rsid w:val="3FC9457D"/>
    <w:rsid w:val="3FCC3B3A"/>
    <w:rsid w:val="3FD01F04"/>
    <w:rsid w:val="3FD040A6"/>
    <w:rsid w:val="3FDC2A83"/>
    <w:rsid w:val="3FE0175A"/>
    <w:rsid w:val="3FE02F06"/>
    <w:rsid w:val="3FE1257F"/>
    <w:rsid w:val="3FE55404"/>
    <w:rsid w:val="3FEC0F24"/>
    <w:rsid w:val="3FED6002"/>
    <w:rsid w:val="3FEF3AB0"/>
    <w:rsid w:val="3FF43934"/>
    <w:rsid w:val="400749EE"/>
    <w:rsid w:val="40095632"/>
    <w:rsid w:val="4012665A"/>
    <w:rsid w:val="40167D4F"/>
    <w:rsid w:val="401F7FA5"/>
    <w:rsid w:val="403542CB"/>
    <w:rsid w:val="40454BCA"/>
    <w:rsid w:val="40460634"/>
    <w:rsid w:val="40473801"/>
    <w:rsid w:val="40532457"/>
    <w:rsid w:val="40592B6E"/>
    <w:rsid w:val="406125C6"/>
    <w:rsid w:val="4068147C"/>
    <w:rsid w:val="40692574"/>
    <w:rsid w:val="40694322"/>
    <w:rsid w:val="406960D0"/>
    <w:rsid w:val="406A38B2"/>
    <w:rsid w:val="406B21FF"/>
    <w:rsid w:val="406D6BDC"/>
    <w:rsid w:val="40713AD5"/>
    <w:rsid w:val="407A6407"/>
    <w:rsid w:val="40841220"/>
    <w:rsid w:val="4095280D"/>
    <w:rsid w:val="40972C3D"/>
    <w:rsid w:val="409C0758"/>
    <w:rsid w:val="40A435AC"/>
    <w:rsid w:val="40A806BA"/>
    <w:rsid w:val="40C64C4D"/>
    <w:rsid w:val="40C854ED"/>
    <w:rsid w:val="40C90468"/>
    <w:rsid w:val="40CD43BD"/>
    <w:rsid w:val="40CF687B"/>
    <w:rsid w:val="40D043A1"/>
    <w:rsid w:val="40D71723"/>
    <w:rsid w:val="40DB72D5"/>
    <w:rsid w:val="40DC4AF4"/>
    <w:rsid w:val="40E5089E"/>
    <w:rsid w:val="40E73979"/>
    <w:rsid w:val="40F557A3"/>
    <w:rsid w:val="40F62000"/>
    <w:rsid w:val="4108058C"/>
    <w:rsid w:val="410A4A61"/>
    <w:rsid w:val="411B386E"/>
    <w:rsid w:val="411C2E9C"/>
    <w:rsid w:val="41285F8B"/>
    <w:rsid w:val="41314E40"/>
    <w:rsid w:val="413B4B95"/>
    <w:rsid w:val="41423935"/>
    <w:rsid w:val="41426A04"/>
    <w:rsid w:val="41462FE5"/>
    <w:rsid w:val="41466E80"/>
    <w:rsid w:val="414724DD"/>
    <w:rsid w:val="41492110"/>
    <w:rsid w:val="414E282B"/>
    <w:rsid w:val="4151103E"/>
    <w:rsid w:val="415C79E3"/>
    <w:rsid w:val="415E14BF"/>
    <w:rsid w:val="416166E5"/>
    <w:rsid w:val="41637E13"/>
    <w:rsid w:val="416D2590"/>
    <w:rsid w:val="416D6975"/>
    <w:rsid w:val="41703F20"/>
    <w:rsid w:val="41784B0C"/>
    <w:rsid w:val="41790595"/>
    <w:rsid w:val="417C5389"/>
    <w:rsid w:val="417E7959"/>
    <w:rsid w:val="417F3FA3"/>
    <w:rsid w:val="418166F5"/>
    <w:rsid w:val="41896177"/>
    <w:rsid w:val="418E1C36"/>
    <w:rsid w:val="418F72B8"/>
    <w:rsid w:val="418F7465"/>
    <w:rsid w:val="41913B31"/>
    <w:rsid w:val="419C0947"/>
    <w:rsid w:val="419C135A"/>
    <w:rsid w:val="419E2D81"/>
    <w:rsid w:val="41A2478F"/>
    <w:rsid w:val="41BB6E00"/>
    <w:rsid w:val="41BE7CC1"/>
    <w:rsid w:val="41C0544A"/>
    <w:rsid w:val="41C52DDB"/>
    <w:rsid w:val="41CB4852"/>
    <w:rsid w:val="41E724A8"/>
    <w:rsid w:val="41EA6D52"/>
    <w:rsid w:val="41EB1715"/>
    <w:rsid w:val="4200449D"/>
    <w:rsid w:val="42010CB6"/>
    <w:rsid w:val="42094AAD"/>
    <w:rsid w:val="42125E06"/>
    <w:rsid w:val="421B33FA"/>
    <w:rsid w:val="421B6D40"/>
    <w:rsid w:val="421F1170"/>
    <w:rsid w:val="42204EB5"/>
    <w:rsid w:val="42211F98"/>
    <w:rsid w:val="42226F2E"/>
    <w:rsid w:val="422B07CD"/>
    <w:rsid w:val="422F0993"/>
    <w:rsid w:val="42321742"/>
    <w:rsid w:val="423A3BCC"/>
    <w:rsid w:val="423F533B"/>
    <w:rsid w:val="4240029A"/>
    <w:rsid w:val="424E57D2"/>
    <w:rsid w:val="42503E13"/>
    <w:rsid w:val="425948B4"/>
    <w:rsid w:val="425B44EE"/>
    <w:rsid w:val="425E2DCE"/>
    <w:rsid w:val="425F056A"/>
    <w:rsid w:val="426623FD"/>
    <w:rsid w:val="426B5D0D"/>
    <w:rsid w:val="426D60E3"/>
    <w:rsid w:val="42717AE6"/>
    <w:rsid w:val="42723962"/>
    <w:rsid w:val="42756FAE"/>
    <w:rsid w:val="4276608B"/>
    <w:rsid w:val="42772D26"/>
    <w:rsid w:val="427F64E4"/>
    <w:rsid w:val="42880FD5"/>
    <w:rsid w:val="428C42F8"/>
    <w:rsid w:val="428E4F75"/>
    <w:rsid w:val="42976F25"/>
    <w:rsid w:val="4298550D"/>
    <w:rsid w:val="429A6A15"/>
    <w:rsid w:val="429A6B0D"/>
    <w:rsid w:val="429F42BC"/>
    <w:rsid w:val="42A11C9B"/>
    <w:rsid w:val="42A4441E"/>
    <w:rsid w:val="42A902DD"/>
    <w:rsid w:val="42AD01D7"/>
    <w:rsid w:val="42AE370E"/>
    <w:rsid w:val="42AF7E87"/>
    <w:rsid w:val="42B26C49"/>
    <w:rsid w:val="42B55CBC"/>
    <w:rsid w:val="42B60D1B"/>
    <w:rsid w:val="42BC6B8F"/>
    <w:rsid w:val="42D2420B"/>
    <w:rsid w:val="42D57A4D"/>
    <w:rsid w:val="42DC527F"/>
    <w:rsid w:val="42DD1A70"/>
    <w:rsid w:val="42DD6902"/>
    <w:rsid w:val="42E43E62"/>
    <w:rsid w:val="42E83D4C"/>
    <w:rsid w:val="42EA61D2"/>
    <w:rsid w:val="42EB256B"/>
    <w:rsid w:val="42ED4847"/>
    <w:rsid w:val="42F053B6"/>
    <w:rsid w:val="42F07AAF"/>
    <w:rsid w:val="42F33EDD"/>
    <w:rsid w:val="42F703B3"/>
    <w:rsid w:val="42FA74B4"/>
    <w:rsid w:val="42FF2F48"/>
    <w:rsid w:val="43066393"/>
    <w:rsid w:val="430B3B50"/>
    <w:rsid w:val="43192016"/>
    <w:rsid w:val="43193DDE"/>
    <w:rsid w:val="431B1111"/>
    <w:rsid w:val="431F2800"/>
    <w:rsid w:val="43266270"/>
    <w:rsid w:val="432D4943"/>
    <w:rsid w:val="4334069B"/>
    <w:rsid w:val="433A3D54"/>
    <w:rsid w:val="433A6FE6"/>
    <w:rsid w:val="43480868"/>
    <w:rsid w:val="43496A2C"/>
    <w:rsid w:val="434B590B"/>
    <w:rsid w:val="4350713C"/>
    <w:rsid w:val="435F7C53"/>
    <w:rsid w:val="43650DD1"/>
    <w:rsid w:val="436653E0"/>
    <w:rsid w:val="437454B8"/>
    <w:rsid w:val="43784FA8"/>
    <w:rsid w:val="4379739F"/>
    <w:rsid w:val="43803E5D"/>
    <w:rsid w:val="43870D3C"/>
    <w:rsid w:val="439040DF"/>
    <w:rsid w:val="43966024"/>
    <w:rsid w:val="43A13CDB"/>
    <w:rsid w:val="43A713E9"/>
    <w:rsid w:val="43AC5423"/>
    <w:rsid w:val="43AE72DF"/>
    <w:rsid w:val="43B1408D"/>
    <w:rsid w:val="43BA0A15"/>
    <w:rsid w:val="43C31F9B"/>
    <w:rsid w:val="43C4431A"/>
    <w:rsid w:val="43C50DD2"/>
    <w:rsid w:val="43C87B0B"/>
    <w:rsid w:val="43D27208"/>
    <w:rsid w:val="43D7004B"/>
    <w:rsid w:val="43D77F9E"/>
    <w:rsid w:val="43DD608C"/>
    <w:rsid w:val="43FA52C5"/>
    <w:rsid w:val="44067AFE"/>
    <w:rsid w:val="441A5B60"/>
    <w:rsid w:val="443125EB"/>
    <w:rsid w:val="4435717C"/>
    <w:rsid w:val="44443836"/>
    <w:rsid w:val="44540C9E"/>
    <w:rsid w:val="445C754E"/>
    <w:rsid w:val="445F2A94"/>
    <w:rsid w:val="446908D4"/>
    <w:rsid w:val="447C4368"/>
    <w:rsid w:val="447D7880"/>
    <w:rsid w:val="44812557"/>
    <w:rsid w:val="44830350"/>
    <w:rsid w:val="44835684"/>
    <w:rsid w:val="44845550"/>
    <w:rsid w:val="44865886"/>
    <w:rsid w:val="4488458E"/>
    <w:rsid w:val="448A6E6A"/>
    <w:rsid w:val="448F2D9C"/>
    <w:rsid w:val="44983FC9"/>
    <w:rsid w:val="44AE550C"/>
    <w:rsid w:val="44B813D4"/>
    <w:rsid w:val="44B951CC"/>
    <w:rsid w:val="44BC3610"/>
    <w:rsid w:val="44BD5244"/>
    <w:rsid w:val="44C10289"/>
    <w:rsid w:val="44C939C2"/>
    <w:rsid w:val="44CD14E0"/>
    <w:rsid w:val="44CD7F11"/>
    <w:rsid w:val="44D426B2"/>
    <w:rsid w:val="44E51A60"/>
    <w:rsid w:val="44E64EEA"/>
    <w:rsid w:val="44EA2615"/>
    <w:rsid w:val="44EF40F8"/>
    <w:rsid w:val="44F20B0B"/>
    <w:rsid w:val="44FD27C6"/>
    <w:rsid w:val="45063EBA"/>
    <w:rsid w:val="45066D2D"/>
    <w:rsid w:val="45066E3B"/>
    <w:rsid w:val="450B23E9"/>
    <w:rsid w:val="45114E6C"/>
    <w:rsid w:val="45196317"/>
    <w:rsid w:val="452B429C"/>
    <w:rsid w:val="452E5F4C"/>
    <w:rsid w:val="45320DBA"/>
    <w:rsid w:val="453A5A1D"/>
    <w:rsid w:val="454430FE"/>
    <w:rsid w:val="454B2456"/>
    <w:rsid w:val="454D7DA6"/>
    <w:rsid w:val="45502011"/>
    <w:rsid w:val="45506CFE"/>
    <w:rsid w:val="45513D03"/>
    <w:rsid w:val="45561D3F"/>
    <w:rsid w:val="45566A0B"/>
    <w:rsid w:val="455D70B3"/>
    <w:rsid w:val="45612018"/>
    <w:rsid w:val="456D6663"/>
    <w:rsid w:val="45725278"/>
    <w:rsid w:val="4575196F"/>
    <w:rsid w:val="457E261E"/>
    <w:rsid w:val="45861F5A"/>
    <w:rsid w:val="458808C7"/>
    <w:rsid w:val="458946E9"/>
    <w:rsid w:val="458C2FAF"/>
    <w:rsid w:val="459024F9"/>
    <w:rsid w:val="45971E73"/>
    <w:rsid w:val="459A2DBA"/>
    <w:rsid w:val="459D5786"/>
    <w:rsid w:val="45A2051E"/>
    <w:rsid w:val="45A47C0E"/>
    <w:rsid w:val="45AB132D"/>
    <w:rsid w:val="45AD256B"/>
    <w:rsid w:val="45B002FD"/>
    <w:rsid w:val="45B73B2D"/>
    <w:rsid w:val="45BF6450"/>
    <w:rsid w:val="45C06792"/>
    <w:rsid w:val="45C344D5"/>
    <w:rsid w:val="45C82568"/>
    <w:rsid w:val="45CC2C85"/>
    <w:rsid w:val="45D020F4"/>
    <w:rsid w:val="45D35D56"/>
    <w:rsid w:val="45D61808"/>
    <w:rsid w:val="45D84EEA"/>
    <w:rsid w:val="45DA236F"/>
    <w:rsid w:val="45DC5978"/>
    <w:rsid w:val="45E54C0F"/>
    <w:rsid w:val="45E62D80"/>
    <w:rsid w:val="45E67E85"/>
    <w:rsid w:val="45EB6DBA"/>
    <w:rsid w:val="45EC03C2"/>
    <w:rsid w:val="45FD1795"/>
    <w:rsid w:val="460074D7"/>
    <w:rsid w:val="46017AB9"/>
    <w:rsid w:val="46080139"/>
    <w:rsid w:val="460828DC"/>
    <w:rsid w:val="460D6349"/>
    <w:rsid w:val="46165AA8"/>
    <w:rsid w:val="461D0E35"/>
    <w:rsid w:val="461D5993"/>
    <w:rsid w:val="46211EEF"/>
    <w:rsid w:val="462E185A"/>
    <w:rsid w:val="463D6035"/>
    <w:rsid w:val="4642364B"/>
    <w:rsid w:val="46545F39"/>
    <w:rsid w:val="46577FD6"/>
    <w:rsid w:val="465D3D75"/>
    <w:rsid w:val="46600D7F"/>
    <w:rsid w:val="46601667"/>
    <w:rsid w:val="466476EC"/>
    <w:rsid w:val="466567D3"/>
    <w:rsid w:val="4667014E"/>
    <w:rsid w:val="467305FD"/>
    <w:rsid w:val="4674757D"/>
    <w:rsid w:val="467C4DAF"/>
    <w:rsid w:val="467F1621"/>
    <w:rsid w:val="467F1981"/>
    <w:rsid w:val="468531C2"/>
    <w:rsid w:val="468635AE"/>
    <w:rsid w:val="468769F3"/>
    <w:rsid w:val="468F244B"/>
    <w:rsid w:val="46955812"/>
    <w:rsid w:val="46975DE7"/>
    <w:rsid w:val="469960E3"/>
    <w:rsid w:val="469D0F94"/>
    <w:rsid w:val="469D2F78"/>
    <w:rsid w:val="46A05D92"/>
    <w:rsid w:val="46A16B88"/>
    <w:rsid w:val="46A77C72"/>
    <w:rsid w:val="46B1432D"/>
    <w:rsid w:val="46B30DE6"/>
    <w:rsid w:val="46B356EC"/>
    <w:rsid w:val="46B74193"/>
    <w:rsid w:val="46BE69A6"/>
    <w:rsid w:val="46C33BD6"/>
    <w:rsid w:val="46C47640"/>
    <w:rsid w:val="46CB5AC2"/>
    <w:rsid w:val="46CE3131"/>
    <w:rsid w:val="46D2705D"/>
    <w:rsid w:val="46D955A7"/>
    <w:rsid w:val="46D97434"/>
    <w:rsid w:val="46E21B98"/>
    <w:rsid w:val="46E24CF5"/>
    <w:rsid w:val="46E84510"/>
    <w:rsid w:val="46E903D6"/>
    <w:rsid w:val="46EA7C4A"/>
    <w:rsid w:val="46FA5E5E"/>
    <w:rsid w:val="46FC25CF"/>
    <w:rsid w:val="47012F88"/>
    <w:rsid w:val="47044DA5"/>
    <w:rsid w:val="470457CF"/>
    <w:rsid w:val="47071FDF"/>
    <w:rsid w:val="470E5183"/>
    <w:rsid w:val="47133957"/>
    <w:rsid w:val="4715430D"/>
    <w:rsid w:val="47156C85"/>
    <w:rsid w:val="47186B04"/>
    <w:rsid w:val="471A5A05"/>
    <w:rsid w:val="47212F2D"/>
    <w:rsid w:val="472718B4"/>
    <w:rsid w:val="47297A89"/>
    <w:rsid w:val="473236C0"/>
    <w:rsid w:val="47371115"/>
    <w:rsid w:val="47406852"/>
    <w:rsid w:val="474270CE"/>
    <w:rsid w:val="47466B3E"/>
    <w:rsid w:val="474A276A"/>
    <w:rsid w:val="474B1993"/>
    <w:rsid w:val="474B2E15"/>
    <w:rsid w:val="474C47B8"/>
    <w:rsid w:val="474D22A8"/>
    <w:rsid w:val="474F47DA"/>
    <w:rsid w:val="47502369"/>
    <w:rsid w:val="47503AA9"/>
    <w:rsid w:val="47542A80"/>
    <w:rsid w:val="4755115C"/>
    <w:rsid w:val="475C68B0"/>
    <w:rsid w:val="47655A2A"/>
    <w:rsid w:val="47694C08"/>
    <w:rsid w:val="47782798"/>
    <w:rsid w:val="47785842"/>
    <w:rsid w:val="477C436F"/>
    <w:rsid w:val="477E46F8"/>
    <w:rsid w:val="478567BD"/>
    <w:rsid w:val="4786048C"/>
    <w:rsid w:val="479D440F"/>
    <w:rsid w:val="47A07E0C"/>
    <w:rsid w:val="47AB3DF9"/>
    <w:rsid w:val="47B22EBA"/>
    <w:rsid w:val="47BA6E97"/>
    <w:rsid w:val="47C02A7A"/>
    <w:rsid w:val="47C46750"/>
    <w:rsid w:val="47C66A46"/>
    <w:rsid w:val="47CC71D2"/>
    <w:rsid w:val="47D11CFA"/>
    <w:rsid w:val="47DA59FB"/>
    <w:rsid w:val="47DF50F4"/>
    <w:rsid w:val="47E145F7"/>
    <w:rsid w:val="47E63B40"/>
    <w:rsid w:val="47E86474"/>
    <w:rsid w:val="47F44724"/>
    <w:rsid w:val="47F60B91"/>
    <w:rsid w:val="47F70466"/>
    <w:rsid w:val="47F95BF5"/>
    <w:rsid w:val="480351CF"/>
    <w:rsid w:val="480B2136"/>
    <w:rsid w:val="480C6C1B"/>
    <w:rsid w:val="4815288D"/>
    <w:rsid w:val="481D55A5"/>
    <w:rsid w:val="48272AF9"/>
    <w:rsid w:val="4836121B"/>
    <w:rsid w:val="485B7B4F"/>
    <w:rsid w:val="48605D72"/>
    <w:rsid w:val="4861133B"/>
    <w:rsid w:val="4861140D"/>
    <w:rsid w:val="48615203"/>
    <w:rsid w:val="48667F57"/>
    <w:rsid w:val="4870272E"/>
    <w:rsid w:val="487E1D66"/>
    <w:rsid w:val="487F6B4F"/>
    <w:rsid w:val="48823A88"/>
    <w:rsid w:val="48912EFC"/>
    <w:rsid w:val="48A15860"/>
    <w:rsid w:val="48AB6946"/>
    <w:rsid w:val="48B34623"/>
    <w:rsid w:val="48BB461C"/>
    <w:rsid w:val="48BC488B"/>
    <w:rsid w:val="48C326F2"/>
    <w:rsid w:val="48C540C0"/>
    <w:rsid w:val="48CD4E52"/>
    <w:rsid w:val="48D5496B"/>
    <w:rsid w:val="48D72771"/>
    <w:rsid w:val="48D81C75"/>
    <w:rsid w:val="48DB1EBA"/>
    <w:rsid w:val="48DC7D87"/>
    <w:rsid w:val="48DE35FD"/>
    <w:rsid w:val="48DE7934"/>
    <w:rsid w:val="48E50C36"/>
    <w:rsid w:val="48EB7FCA"/>
    <w:rsid w:val="4904108C"/>
    <w:rsid w:val="49073472"/>
    <w:rsid w:val="49080B7C"/>
    <w:rsid w:val="490862DF"/>
    <w:rsid w:val="490C388F"/>
    <w:rsid w:val="490E3CB9"/>
    <w:rsid w:val="491767DC"/>
    <w:rsid w:val="491867F3"/>
    <w:rsid w:val="49221944"/>
    <w:rsid w:val="49277C97"/>
    <w:rsid w:val="492931DA"/>
    <w:rsid w:val="492A443F"/>
    <w:rsid w:val="492E6F7B"/>
    <w:rsid w:val="493515A4"/>
    <w:rsid w:val="493F7084"/>
    <w:rsid w:val="49467FBD"/>
    <w:rsid w:val="494C71C3"/>
    <w:rsid w:val="494F288F"/>
    <w:rsid w:val="49584F34"/>
    <w:rsid w:val="495C6E3B"/>
    <w:rsid w:val="495D72B2"/>
    <w:rsid w:val="496171DA"/>
    <w:rsid w:val="496C7872"/>
    <w:rsid w:val="496E6505"/>
    <w:rsid w:val="49730F71"/>
    <w:rsid w:val="49747FC0"/>
    <w:rsid w:val="49836EBA"/>
    <w:rsid w:val="49883DE4"/>
    <w:rsid w:val="498B2BE2"/>
    <w:rsid w:val="49920C6C"/>
    <w:rsid w:val="49937C0B"/>
    <w:rsid w:val="49A32653"/>
    <w:rsid w:val="49A44966"/>
    <w:rsid w:val="49A669AB"/>
    <w:rsid w:val="49A66E57"/>
    <w:rsid w:val="49AA5A22"/>
    <w:rsid w:val="49B00F56"/>
    <w:rsid w:val="49B13FDC"/>
    <w:rsid w:val="49B303BC"/>
    <w:rsid w:val="49B32EE2"/>
    <w:rsid w:val="49B3362A"/>
    <w:rsid w:val="49B90CB2"/>
    <w:rsid w:val="49BC04FA"/>
    <w:rsid w:val="49BC0C8A"/>
    <w:rsid w:val="49C12466"/>
    <w:rsid w:val="49C144F7"/>
    <w:rsid w:val="49C34AA3"/>
    <w:rsid w:val="49C54C83"/>
    <w:rsid w:val="49CF51F6"/>
    <w:rsid w:val="49D642F4"/>
    <w:rsid w:val="49DC7715"/>
    <w:rsid w:val="49E36EF3"/>
    <w:rsid w:val="49F25388"/>
    <w:rsid w:val="49F56777"/>
    <w:rsid w:val="49FD44BB"/>
    <w:rsid w:val="49FE289D"/>
    <w:rsid w:val="49FF1E51"/>
    <w:rsid w:val="4A023139"/>
    <w:rsid w:val="4A0550BC"/>
    <w:rsid w:val="4A0A4480"/>
    <w:rsid w:val="4A135E9C"/>
    <w:rsid w:val="4A136062"/>
    <w:rsid w:val="4A1532B9"/>
    <w:rsid w:val="4A171AF3"/>
    <w:rsid w:val="4A17392F"/>
    <w:rsid w:val="4A1E74A2"/>
    <w:rsid w:val="4A220582"/>
    <w:rsid w:val="4A2328F7"/>
    <w:rsid w:val="4A2A7770"/>
    <w:rsid w:val="4A2F4723"/>
    <w:rsid w:val="4A3E6CD8"/>
    <w:rsid w:val="4A413C1A"/>
    <w:rsid w:val="4A4A0D21"/>
    <w:rsid w:val="4A4A3C21"/>
    <w:rsid w:val="4A4B658B"/>
    <w:rsid w:val="4A4F506F"/>
    <w:rsid w:val="4A5D1D49"/>
    <w:rsid w:val="4A632ADB"/>
    <w:rsid w:val="4A69564B"/>
    <w:rsid w:val="4A6E17F6"/>
    <w:rsid w:val="4A7721F0"/>
    <w:rsid w:val="4A7B576F"/>
    <w:rsid w:val="4A7D4C52"/>
    <w:rsid w:val="4A842484"/>
    <w:rsid w:val="4A857AC4"/>
    <w:rsid w:val="4A8E0D3A"/>
    <w:rsid w:val="4A902820"/>
    <w:rsid w:val="4A95285A"/>
    <w:rsid w:val="4A9F0092"/>
    <w:rsid w:val="4AB242B5"/>
    <w:rsid w:val="4AB34B18"/>
    <w:rsid w:val="4AB412A5"/>
    <w:rsid w:val="4ABA22D4"/>
    <w:rsid w:val="4AD21AC2"/>
    <w:rsid w:val="4AD24659"/>
    <w:rsid w:val="4AD36F68"/>
    <w:rsid w:val="4AD4763C"/>
    <w:rsid w:val="4ADF0297"/>
    <w:rsid w:val="4AEF6BED"/>
    <w:rsid w:val="4AF01898"/>
    <w:rsid w:val="4AF13892"/>
    <w:rsid w:val="4AF561A9"/>
    <w:rsid w:val="4AF87040"/>
    <w:rsid w:val="4AFF5F31"/>
    <w:rsid w:val="4B004E37"/>
    <w:rsid w:val="4B0615B6"/>
    <w:rsid w:val="4B08477A"/>
    <w:rsid w:val="4B150F16"/>
    <w:rsid w:val="4B155BCD"/>
    <w:rsid w:val="4B187071"/>
    <w:rsid w:val="4B2F700D"/>
    <w:rsid w:val="4B3F2946"/>
    <w:rsid w:val="4B447565"/>
    <w:rsid w:val="4B487CBB"/>
    <w:rsid w:val="4B4B7415"/>
    <w:rsid w:val="4B4E65EF"/>
    <w:rsid w:val="4B5517BD"/>
    <w:rsid w:val="4B577B99"/>
    <w:rsid w:val="4B584CCB"/>
    <w:rsid w:val="4B5D4A84"/>
    <w:rsid w:val="4B5D6B2D"/>
    <w:rsid w:val="4B5F71BA"/>
    <w:rsid w:val="4B620B1A"/>
    <w:rsid w:val="4B68369B"/>
    <w:rsid w:val="4B6867AC"/>
    <w:rsid w:val="4B695E6D"/>
    <w:rsid w:val="4B6A7992"/>
    <w:rsid w:val="4B6C7334"/>
    <w:rsid w:val="4B6E6C91"/>
    <w:rsid w:val="4B6F431C"/>
    <w:rsid w:val="4B706F9C"/>
    <w:rsid w:val="4B7D79A0"/>
    <w:rsid w:val="4B8A7B2D"/>
    <w:rsid w:val="4B904E59"/>
    <w:rsid w:val="4BA10E14"/>
    <w:rsid w:val="4BAE4D4E"/>
    <w:rsid w:val="4BB24DCF"/>
    <w:rsid w:val="4BB723E6"/>
    <w:rsid w:val="4BB903E1"/>
    <w:rsid w:val="4BBA1943"/>
    <w:rsid w:val="4BBC5C4E"/>
    <w:rsid w:val="4BBD078F"/>
    <w:rsid w:val="4BC13264"/>
    <w:rsid w:val="4BCD4886"/>
    <w:rsid w:val="4BD05255"/>
    <w:rsid w:val="4BD20C32"/>
    <w:rsid w:val="4BE132FB"/>
    <w:rsid w:val="4BEA4569"/>
    <w:rsid w:val="4BF0137D"/>
    <w:rsid w:val="4BF43CCE"/>
    <w:rsid w:val="4BFD4A5B"/>
    <w:rsid w:val="4C013661"/>
    <w:rsid w:val="4C030BE7"/>
    <w:rsid w:val="4C06511B"/>
    <w:rsid w:val="4C0914E3"/>
    <w:rsid w:val="4C113325"/>
    <w:rsid w:val="4C1E5229"/>
    <w:rsid w:val="4C1F586E"/>
    <w:rsid w:val="4C205E0D"/>
    <w:rsid w:val="4C3B3017"/>
    <w:rsid w:val="4C413D80"/>
    <w:rsid w:val="4C44549F"/>
    <w:rsid w:val="4C46484D"/>
    <w:rsid w:val="4C4A0649"/>
    <w:rsid w:val="4C4F1127"/>
    <w:rsid w:val="4C583BC9"/>
    <w:rsid w:val="4C5B0A89"/>
    <w:rsid w:val="4C5D5CF6"/>
    <w:rsid w:val="4C601102"/>
    <w:rsid w:val="4C640128"/>
    <w:rsid w:val="4C6B2B11"/>
    <w:rsid w:val="4C7A4E4C"/>
    <w:rsid w:val="4C7E5ECA"/>
    <w:rsid w:val="4C7F5B6C"/>
    <w:rsid w:val="4C876AA5"/>
    <w:rsid w:val="4C8E043C"/>
    <w:rsid w:val="4C913940"/>
    <w:rsid w:val="4C9B1ABB"/>
    <w:rsid w:val="4C9D0B46"/>
    <w:rsid w:val="4CA26D23"/>
    <w:rsid w:val="4CA36438"/>
    <w:rsid w:val="4CA82404"/>
    <w:rsid w:val="4CA95865"/>
    <w:rsid w:val="4CAD675D"/>
    <w:rsid w:val="4CB9218D"/>
    <w:rsid w:val="4CC206DB"/>
    <w:rsid w:val="4CC5411B"/>
    <w:rsid w:val="4CCD443F"/>
    <w:rsid w:val="4CCF0687"/>
    <w:rsid w:val="4CD421C1"/>
    <w:rsid w:val="4CDA54A1"/>
    <w:rsid w:val="4CDC10F0"/>
    <w:rsid w:val="4CDD61E1"/>
    <w:rsid w:val="4CE40C4D"/>
    <w:rsid w:val="4CE5417A"/>
    <w:rsid w:val="4CE74F4D"/>
    <w:rsid w:val="4CE76CFB"/>
    <w:rsid w:val="4CEA67EB"/>
    <w:rsid w:val="4CEC2ED5"/>
    <w:rsid w:val="4CEC60BF"/>
    <w:rsid w:val="4CEE0089"/>
    <w:rsid w:val="4CF431C6"/>
    <w:rsid w:val="4CF61263"/>
    <w:rsid w:val="4CFB24FB"/>
    <w:rsid w:val="4CFF4AFF"/>
    <w:rsid w:val="4D023B34"/>
    <w:rsid w:val="4D0553D3"/>
    <w:rsid w:val="4D07114B"/>
    <w:rsid w:val="4D082F28"/>
    <w:rsid w:val="4D0E00FB"/>
    <w:rsid w:val="4D0E072B"/>
    <w:rsid w:val="4D0E2F17"/>
    <w:rsid w:val="4D0E37D3"/>
    <w:rsid w:val="4D1144B3"/>
    <w:rsid w:val="4D14664A"/>
    <w:rsid w:val="4D176606"/>
    <w:rsid w:val="4D185106"/>
    <w:rsid w:val="4D193749"/>
    <w:rsid w:val="4D1C7022"/>
    <w:rsid w:val="4D1E17AD"/>
    <w:rsid w:val="4D1E1C9E"/>
    <w:rsid w:val="4D297313"/>
    <w:rsid w:val="4D4B2525"/>
    <w:rsid w:val="4D4C29AF"/>
    <w:rsid w:val="4D4F17D8"/>
    <w:rsid w:val="4D4F46CB"/>
    <w:rsid w:val="4D586F55"/>
    <w:rsid w:val="4D6910D9"/>
    <w:rsid w:val="4D700A9E"/>
    <w:rsid w:val="4D7270BA"/>
    <w:rsid w:val="4D743C99"/>
    <w:rsid w:val="4D745676"/>
    <w:rsid w:val="4D787FAC"/>
    <w:rsid w:val="4D8C3B2A"/>
    <w:rsid w:val="4D942E5A"/>
    <w:rsid w:val="4D9B47A5"/>
    <w:rsid w:val="4D9B61E3"/>
    <w:rsid w:val="4D9D6F07"/>
    <w:rsid w:val="4DA1334D"/>
    <w:rsid w:val="4DA8267D"/>
    <w:rsid w:val="4DAE55FF"/>
    <w:rsid w:val="4DB72B71"/>
    <w:rsid w:val="4DC26919"/>
    <w:rsid w:val="4DC67D78"/>
    <w:rsid w:val="4DC83331"/>
    <w:rsid w:val="4DCB4E5A"/>
    <w:rsid w:val="4DCB5BFA"/>
    <w:rsid w:val="4DCC0E28"/>
    <w:rsid w:val="4DCE7F16"/>
    <w:rsid w:val="4DD252B5"/>
    <w:rsid w:val="4DD646D6"/>
    <w:rsid w:val="4DDA7481"/>
    <w:rsid w:val="4DEB15FA"/>
    <w:rsid w:val="4DEC4FB0"/>
    <w:rsid w:val="4DED0272"/>
    <w:rsid w:val="4DF04039"/>
    <w:rsid w:val="4DF10658"/>
    <w:rsid w:val="4DF571F5"/>
    <w:rsid w:val="4DF7010D"/>
    <w:rsid w:val="4DFB7E90"/>
    <w:rsid w:val="4E0568D0"/>
    <w:rsid w:val="4E075D8A"/>
    <w:rsid w:val="4E091AD6"/>
    <w:rsid w:val="4E0B504E"/>
    <w:rsid w:val="4E110DFC"/>
    <w:rsid w:val="4E12067E"/>
    <w:rsid w:val="4E130246"/>
    <w:rsid w:val="4E1458CD"/>
    <w:rsid w:val="4E204B55"/>
    <w:rsid w:val="4E255D2C"/>
    <w:rsid w:val="4E2A6D86"/>
    <w:rsid w:val="4E347D58"/>
    <w:rsid w:val="4E3B72FE"/>
    <w:rsid w:val="4E3C7A36"/>
    <w:rsid w:val="4E423E15"/>
    <w:rsid w:val="4E4837C9"/>
    <w:rsid w:val="4E485577"/>
    <w:rsid w:val="4E5008D0"/>
    <w:rsid w:val="4E500F98"/>
    <w:rsid w:val="4E68458B"/>
    <w:rsid w:val="4E694EF2"/>
    <w:rsid w:val="4E6956D2"/>
    <w:rsid w:val="4E6C382B"/>
    <w:rsid w:val="4E7135F2"/>
    <w:rsid w:val="4E742810"/>
    <w:rsid w:val="4E797E26"/>
    <w:rsid w:val="4E805A91"/>
    <w:rsid w:val="4E8C3CA1"/>
    <w:rsid w:val="4E9407BC"/>
    <w:rsid w:val="4E9B49F1"/>
    <w:rsid w:val="4E9D6CF6"/>
    <w:rsid w:val="4E9E646A"/>
    <w:rsid w:val="4EA443A6"/>
    <w:rsid w:val="4EA52CE9"/>
    <w:rsid w:val="4EAD211D"/>
    <w:rsid w:val="4EAF49E0"/>
    <w:rsid w:val="4EAF5DF5"/>
    <w:rsid w:val="4EB04235"/>
    <w:rsid w:val="4EB42325"/>
    <w:rsid w:val="4EB765AE"/>
    <w:rsid w:val="4EC00FAD"/>
    <w:rsid w:val="4EC10539"/>
    <w:rsid w:val="4EC637CD"/>
    <w:rsid w:val="4ED44E77"/>
    <w:rsid w:val="4ED93EF6"/>
    <w:rsid w:val="4EDB52D4"/>
    <w:rsid w:val="4EE338BE"/>
    <w:rsid w:val="4EEB146F"/>
    <w:rsid w:val="4EED4604"/>
    <w:rsid w:val="4EED6FDC"/>
    <w:rsid w:val="4EEF00E8"/>
    <w:rsid w:val="4EEF38AF"/>
    <w:rsid w:val="4EF00710"/>
    <w:rsid w:val="4EF17342"/>
    <w:rsid w:val="4EF636FB"/>
    <w:rsid w:val="4EFD4585"/>
    <w:rsid w:val="4EFE0DEE"/>
    <w:rsid w:val="4F063BE1"/>
    <w:rsid w:val="4F0D65C6"/>
    <w:rsid w:val="4F1162B1"/>
    <w:rsid w:val="4F250303"/>
    <w:rsid w:val="4F26672E"/>
    <w:rsid w:val="4F280823"/>
    <w:rsid w:val="4F3062A5"/>
    <w:rsid w:val="4F390EE0"/>
    <w:rsid w:val="4F3D60E4"/>
    <w:rsid w:val="4F4140F1"/>
    <w:rsid w:val="4F49585B"/>
    <w:rsid w:val="4F4D3561"/>
    <w:rsid w:val="4F517F97"/>
    <w:rsid w:val="4F603B59"/>
    <w:rsid w:val="4F6125E7"/>
    <w:rsid w:val="4F614E0C"/>
    <w:rsid w:val="4F6C34E7"/>
    <w:rsid w:val="4F6E3703"/>
    <w:rsid w:val="4F7079D7"/>
    <w:rsid w:val="4F735774"/>
    <w:rsid w:val="4F7725B8"/>
    <w:rsid w:val="4F7817A4"/>
    <w:rsid w:val="4F790CE5"/>
    <w:rsid w:val="4F7B46E3"/>
    <w:rsid w:val="4F832294"/>
    <w:rsid w:val="4F8E6068"/>
    <w:rsid w:val="4F9355B7"/>
    <w:rsid w:val="4F946BF2"/>
    <w:rsid w:val="4F952A3E"/>
    <w:rsid w:val="4F9843DC"/>
    <w:rsid w:val="4F9F39D5"/>
    <w:rsid w:val="4FA00831"/>
    <w:rsid w:val="4FB35463"/>
    <w:rsid w:val="4FC13E1A"/>
    <w:rsid w:val="4FC43323"/>
    <w:rsid w:val="4FC62A8C"/>
    <w:rsid w:val="4FC94F9C"/>
    <w:rsid w:val="4FCE5F50"/>
    <w:rsid w:val="4FCE61C8"/>
    <w:rsid w:val="4FD00C22"/>
    <w:rsid w:val="4FD03A76"/>
    <w:rsid w:val="4FE20F0D"/>
    <w:rsid w:val="4FE51552"/>
    <w:rsid w:val="4FF63A93"/>
    <w:rsid w:val="500100D3"/>
    <w:rsid w:val="50010B90"/>
    <w:rsid w:val="50033095"/>
    <w:rsid w:val="50041363"/>
    <w:rsid w:val="500C5EDF"/>
    <w:rsid w:val="501615C9"/>
    <w:rsid w:val="502334C1"/>
    <w:rsid w:val="50262CD9"/>
    <w:rsid w:val="502816FF"/>
    <w:rsid w:val="502F619C"/>
    <w:rsid w:val="503C4A4A"/>
    <w:rsid w:val="503C5FBD"/>
    <w:rsid w:val="50456BF2"/>
    <w:rsid w:val="50465EFE"/>
    <w:rsid w:val="504C2826"/>
    <w:rsid w:val="50504C4B"/>
    <w:rsid w:val="5054598A"/>
    <w:rsid w:val="505830DB"/>
    <w:rsid w:val="5058366F"/>
    <w:rsid w:val="505C355C"/>
    <w:rsid w:val="505E1C0F"/>
    <w:rsid w:val="50661B0C"/>
    <w:rsid w:val="506A211C"/>
    <w:rsid w:val="506A78E8"/>
    <w:rsid w:val="506B19F1"/>
    <w:rsid w:val="506B5248"/>
    <w:rsid w:val="506C5379"/>
    <w:rsid w:val="506E0DB9"/>
    <w:rsid w:val="50713BE2"/>
    <w:rsid w:val="50715259"/>
    <w:rsid w:val="507B7E86"/>
    <w:rsid w:val="508A5859"/>
    <w:rsid w:val="508D7BB9"/>
    <w:rsid w:val="509321E6"/>
    <w:rsid w:val="50977A51"/>
    <w:rsid w:val="509C6E7C"/>
    <w:rsid w:val="50A925E2"/>
    <w:rsid w:val="50B05655"/>
    <w:rsid w:val="50B329F8"/>
    <w:rsid w:val="50B36DBB"/>
    <w:rsid w:val="50B60EBE"/>
    <w:rsid w:val="50B96090"/>
    <w:rsid w:val="50BA7B57"/>
    <w:rsid w:val="50C6128B"/>
    <w:rsid w:val="50CC0B5F"/>
    <w:rsid w:val="50D00B6A"/>
    <w:rsid w:val="50DC6894"/>
    <w:rsid w:val="50DF62FA"/>
    <w:rsid w:val="50E8071F"/>
    <w:rsid w:val="50E83041"/>
    <w:rsid w:val="50E861AA"/>
    <w:rsid w:val="50EE3D38"/>
    <w:rsid w:val="50EE68AA"/>
    <w:rsid w:val="50EF239B"/>
    <w:rsid w:val="50EF43D0"/>
    <w:rsid w:val="50F56451"/>
    <w:rsid w:val="50F67C10"/>
    <w:rsid w:val="50FF5BE7"/>
    <w:rsid w:val="510330F7"/>
    <w:rsid w:val="510F2A0C"/>
    <w:rsid w:val="51145CBB"/>
    <w:rsid w:val="511C373B"/>
    <w:rsid w:val="511F145F"/>
    <w:rsid w:val="5121190B"/>
    <w:rsid w:val="51237385"/>
    <w:rsid w:val="51256476"/>
    <w:rsid w:val="51310276"/>
    <w:rsid w:val="51382590"/>
    <w:rsid w:val="513D37CF"/>
    <w:rsid w:val="5147420C"/>
    <w:rsid w:val="51494371"/>
    <w:rsid w:val="5155020A"/>
    <w:rsid w:val="51593AB8"/>
    <w:rsid w:val="515F69AE"/>
    <w:rsid w:val="516059AF"/>
    <w:rsid w:val="516140B5"/>
    <w:rsid w:val="5162104E"/>
    <w:rsid w:val="516730F2"/>
    <w:rsid w:val="516A1CA8"/>
    <w:rsid w:val="516A7DEE"/>
    <w:rsid w:val="516B5880"/>
    <w:rsid w:val="51793D25"/>
    <w:rsid w:val="517F39A6"/>
    <w:rsid w:val="51840331"/>
    <w:rsid w:val="51856AE2"/>
    <w:rsid w:val="51A5230E"/>
    <w:rsid w:val="51A52CE0"/>
    <w:rsid w:val="51A60B93"/>
    <w:rsid w:val="51A927D1"/>
    <w:rsid w:val="51B01DB1"/>
    <w:rsid w:val="51B31F5E"/>
    <w:rsid w:val="51C22D34"/>
    <w:rsid w:val="51C63239"/>
    <w:rsid w:val="51CB0999"/>
    <w:rsid w:val="51D6105F"/>
    <w:rsid w:val="51D929CA"/>
    <w:rsid w:val="51E34330"/>
    <w:rsid w:val="51F7568B"/>
    <w:rsid w:val="52014570"/>
    <w:rsid w:val="5204528D"/>
    <w:rsid w:val="52065E75"/>
    <w:rsid w:val="5210302F"/>
    <w:rsid w:val="521047DC"/>
    <w:rsid w:val="52120376"/>
    <w:rsid w:val="522B0134"/>
    <w:rsid w:val="522E59AA"/>
    <w:rsid w:val="52366001"/>
    <w:rsid w:val="523F2991"/>
    <w:rsid w:val="5241210C"/>
    <w:rsid w:val="52426944"/>
    <w:rsid w:val="52451DC1"/>
    <w:rsid w:val="525F10E1"/>
    <w:rsid w:val="52660E86"/>
    <w:rsid w:val="52662900"/>
    <w:rsid w:val="526C0B98"/>
    <w:rsid w:val="526D3132"/>
    <w:rsid w:val="52707385"/>
    <w:rsid w:val="52750905"/>
    <w:rsid w:val="527E5A0B"/>
    <w:rsid w:val="52840DD5"/>
    <w:rsid w:val="5286166A"/>
    <w:rsid w:val="52AA2CA4"/>
    <w:rsid w:val="52B36D1E"/>
    <w:rsid w:val="52B473B5"/>
    <w:rsid w:val="52B96D4A"/>
    <w:rsid w:val="52C227D3"/>
    <w:rsid w:val="52C5363A"/>
    <w:rsid w:val="52CE635A"/>
    <w:rsid w:val="52D10231"/>
    <w:rsid w:val="52D945B5"/>
    <w:rsid w:val="52EA56DB"/>
    <w:rsid w:val="52ED493F"/>
    <w:rsid w:val="52EE361E"/>
    <w:rsid w:val="53000B16"/>
    <w:rsid w:val="53010FA5"/>
    <w:rsid w:val="53032F5F"/>
    <w:rsid w:val="53057EDB"/>
    <w:rsid w:val="53141638"/>
    <w:rsid w:val="531D1407"/>
    <w:rsid w:val="531E4A1F"/>
    <w:rsid w:val="53285977"/>
    <w:rsid w:val="533A42F2"/>
    <w:rsid w:val="533C4C92"/>
    <w:rsid w:val="53465375"/>
    <w:rsid w:val="534D108E"/>
    <w:rsid w:val="534E0025"/>
    <w:rsid w:val="535348A7"/>
    <w:rsid w:val="53535297"/>
    <w:rsid w:val="53560584"/>
    <w:rsid w:val="535C0EDF"/>
    <w:rsid w:val="535D02E8"/>
    <w:rsid w:val="53617770"/>
    <w:rsid w:val="5363019F"/>
    <w:rsid w:val="53655096"/>
    <w:rsid w:val="536746F1"/>
    <w:rsid w:val="536C4488"/>
    <w:rsid w:val="536F455A"/>
    <w:rsid w:val="537121EE"/>
    <w:rsid w:val="537806AC"/>
    <w:rsid w:val="53803A05"/>
    <w:rsid w:val="538418DC"/>
    <w:rsid w:val="53850680"/>
    <w:rsid w:val="538928BA"/>
    <w:rsid w:val="539004A1"/>
    <w:rsid w:val="53934F96"/>
    <w:rsid w:val="539354E6"/>
    <w:rsid w:val="5394125E"/>
    <w:rsid w:val="53A039CC"/>
    <w:rsid w:val="53A1505A"/>
    <w:rsid w:val="53A63861"/>
    <w:rsid w:val="53A66B8A"/>
    <w:rsid w:val="53A952B7"/>
    <w:rsid w:val="53A96706"/>
    <w:rsid w:val="53B11E10"/>
    <w:rsid w:val="53B20651"/>
    <w:rsid w:val="53B27A5C"/>
    <w:rsid w:val="53B30A84"/>
    <w:rsid w:val="53BC2C8F"/>
    <w:rsid w:val="53BD6A07"/>
    <w:rsid w:val="53C26C8D"/>
    <w:rsid w:val="53CB62C5"/>
    <w:rsid w:val="53D64EF1"/>
    <w:rsid w:val="53D82545"/>
    <w:rsid w:val="53DA51C6"/>
    <w:rsid w:val="53E065A9"/>
    <w:rsid w:val="53E61ABA"/>
    <w:rsid w:val="53F24D97"/>
    <w:rsid w:val="53F35F85"/>
    <w:rsid w:val="53F92F28"/>
    <w:rsid w:val="53FA1B24"/>
    <w:rsid w:val="53FC1CAE"/>
    <w:rsid w:val="540006A2"/>
    <w:rsid w:val="54063E08"/>
    <w:rsid w:val="54090647"/>
    <w:rsid w:val="540E5BD4"/>
    <w:rsid w:val="54106B37"/>
    <w:rsid w:val="542F7C62"/>
    <w:rsid w:val="543071D9"/>
    <w:rsid w:val="543136A8"/>
    <w:rsid w:val="54315BB7"/>
    <w:rsid w:val="543437E8"/>
    <w:rsid w:val="54413194"/>
    <w:rsid w:val="54431836"/>
    <w:rsid w:val="54432903"/>
    <w:rsid w:val="54461F42"/>
    <w:rsid w:val="544E6E66"/>
    <w:rsid w:val="545509EE"/>
    <w:rsid w:val="54551127"/>
    <w:rsid w:val="54583802"/>
    <w:rsid w:val="5458398E"/>
    <w:rsid w:val="545D36CA"/>
    <w:rsid w:val="54682819"/>
    <w:rsid w:val="546C7A88"/>
    <w:rsid w:val="546E055B"/>
    <w:rsid w:val="54782EF4"/>
    <w:rsid w:val="547E043F"/>
    <w:rsid w:val="547E7F44"/>
    <w:rsid w:val="54834C53"/>
    <w:rsid w:val="54837EFF"/>
    <w:rsid w:val="54841023"/>
    <w:rsid w:val="54864C6A"/>
    <w:rsid w:val="54873255"/>
    <w:rsid w:val="548979FD"/>
    <w:rsid w:val="548D462B"/>
    <w:rsid w:val="548F7B23"/>
    <w:rsid w:val="549A0285"/>
    <w:rsid w:val="549A504E"/>
    <w:rsid w:val="549B7544"/>
    <w:rsid w:val="54A0435F"/>
    <w:rsid w:val="54A97595"/>
    <w:rsid w:val="54AB124C"/>
    <w:rsid w:val="54AD6A7C"/>
    <w:rsid w:val="54B35714"/>
    <w:rsid w:val="54BA5F6C"/>
    <w:rsid w:val="54BA6AA3"/>
    <w:rsid w:val="54BB76A0"/>
    <w:rsid w:val="54C806C5"/>
    <w:rsid w:val="54C83597"/>
    <w:rsid w:val="54CC7BFF"/>
    <w:rsid w:val="54CF04B1"/>
    <w:rsid w:val="54CF3E74"/>
    <w:rsid w:val="54D20926"/>
    <w:rsid w:val="54DB69F2"/>
    <w:rsid w:val="54DE6FFA"/>
    <w:rsid w:val="54EF45FD"/>
    <w:rsid w:val="54F73313"/>
    <w:rsid w:val="54F80955"/>
    <w:rsid w:val="54F961C6"/>
    <w:rsid w:val="54FF236D"/>
    <w:rsid w:val="550571E8"/>
    <w:rsid w:val="550A17D8"/>
    <w:rsid w:val="551036E7"/>
    <w:rsid w:val="55114594"/>
    <w:rsid w:val="551412D5"/>
    <w:rsid w:val="551A6E7D"/>
    <w:rsid w:val="551D5F31"/>
    <w:rsid w:val="551F124E"/>
    <w:rsid w:val="5520724E"/>
    <w:rsid w:val="55207DE4"/>
    <w:rsid w:val="55306D65"/>
    <w:rsid w:val="5535135C"/>
    <w:rsid w:val="55376345"/>
    <w:rsid w:val="55483F6F"/>
    <w:rsid w:val="55500B7A"/>
    <w:rsid w:val="555170A7"/>
    <w:rsid w:val="5556750C"/>
    <w:rsid w:val="555A687A"/>
    <w:rsid w:val="555C15BA"/>
    <w:rsid w:val="55604B59"/>
    <w:rsid w:val="55633930"/>
    <w:rsid w:val="556841B1"/>
    <w:rsid w:val="556B29DE"/>
    <w:rsid w:val="557B26D6"/>
    <w:rsid w:val="55822DAE"/>
    <w:rsid w:val="5587536D"/>
    <w:rsid w:val="55914D9D"/>
    <w:rsid w:val="559612BE"/>
    <w:rsid w:val="559B174B"/>
    <w:rsid w:val="559E27BE"/>
    <w:rsid w:val="55A61974"/>
    <w:rsid w:val="55A97243"/>
    <w:rsid w:val="55AA305E"/>
    <w:rsid w:val="55B055F7"/>
    <w:rsid w:val="55B129A5"/>
    <w:rsid w:val="55B6463C"/>
    <w:rsid w:val="55C04144"/>
    <w:rsid w:val="55CE0CF4"/>
    <w:rsid w:val="55D16FDC"/>
    <w:rsid w:val="55D77C78"/>
    <w:rsid w:val="55E95892"/>
    <w:rsid w:val="55EA3734"/>
    <w:rsid w:val="55EB13F3"/>
    <w:rsid w:val="55F4166D"/>
    <w:rsid w:val="55F5628B"/>
    <w:rsid w:val="55F7344D"/>
    <w:rsid w:val="55FD3B33"/>
    <w:rsid w:val="56060A55"/>
    <w:rsid w:val="560815E2"/>
    <w:rsid w:val="56085CD7"/>
    <w:rsid w:val="560E52F8"/>
    <w:rsid w:val="560F0994"/>
    <w:rsid w:val="561E2F37"/>
    <w:rsid w:val="562B207D"/>
    <w:rsid w:val="562E4C96"/>
    <w:rsid w:val="56317EAE"/>
    <w:rsid w:val="56334F4E"/>
    <w:rsid w:val="563A60ED"/>
    <w:rsid w:val="56421D78"/>
    <w:rsid w:val="5643314E"/>
    <w:rsid w:val="5645250D"/>
    <w:rsid w:val="564B02FA"/>
    <w:rsid w:val="564C2327"/>
    <w:rsid w:val="564E094D"/>
    <w:rsid w:val="564F7A5E"/>
    <w:rsid w:val="56517637"/>
    <w:rsid w:val="56526385"/>
    <w:rsid w:val="56526DC5"/>
    <w:rsid w:val="565526CE"/>
    <w:rsid w:val="565A3B92"/>
    <w:rsid w:val="56644F18"/>
    <w:rsid w:val="56674A08"/>
    <w:rsid w:val="56680952"/>
    <w:rsid w:val="56682C5A"/>
    <w:rsid w:val="566D15BE"/>
    <w:rsid w:val="56720B63"/>
    <w:rsid w:val="567333AD"/>
    <w:rsid w:val="56765376"/>
    <w:rsid w:val="56787CC6"/>
    <w:rsid w:val="567A298E"/>
    <w:rsid w:val="56837925"/>
    <w:rsid w:val="568D535B"/>
    <w:rsid w:val="5697073A"/>
    <w:rsid w:val="56A966E5"/>
    <w:rsid w:val="56AB7C79"/>
    <w:rsid w:val="56B22A9C"/>
    <w:rsid w:val="56B75990"/>
    <w:rsid w:val="56BA5A33"/>
    <w:rsid w:val="56C37E91"/>
    <w:rsid w:val="56C909CD"/>
    <w:rsid w:val="56CA21E2"/>
    <w:rsid w:val="56CC72A7"/>
    <w:rsid w:val="56DF169C"/>
    <w:rsid w:val="56E64E3E"/>
    <w:rsid w:val="56ED315F"/>
    <w:rsid w:val="56F049FE"/>
    <w:rsid w:val="56F10B03"/>
    <w:rsid w:val="56F90C36"/>
    <w:rsid w:val="56F91B04"/>
    <w:rsid w:val="57004CAE"/>
    <w:rsid w:val="5702549B"/>
    <w:rsid w:val="5705494D"/>
    <w:rsid w:val="570578B4"/>
    <w:rsid w:val="57087F99"/>
    <w:rsid w:val="570A0038"/>
    <w:rsid w:val="571132F2"/>
    <w:rsid w:val="57164F6C"/>
    <w:rsid w:val="571A1A7B"/>
    <w:rsid w:val="571B49CC"/>
    <w:rsid w:val="571D67A8"/>
    <w:rsid w:val="571E62B6"/>
    <w:rsid w:val="572674A9"/>
    <w:rsid w:val="572D5C52"/>
    <w:rsid w:val="572F6D78"/>
    <w:rsid w:val="57364B88"/>
    <w:rsid w:val="57461C5D"/>
    <w:rsid w:val="574B6BB4"/>
    <w:rsid w:val="57515044"/>
    <w:rsid w:val="575A5748"/>
    <w:rsid w:val="575C02E5"/>
    <w:rsid w:val="575E0945"/>
    <w:rsid w:val="575E2D59"/>
    <w:rsid w:val="57633422"/>
    <w:rsid w:val="57671164"/>
    <w:rsid w:val="576C0528"/>
    <w:rsid w:val="576D42A0"/>
    <w:rsid w:val="5770099B"/>
    <w:rsid w:val="577D2735"/>
    <w:rsid w:val="57804890"/>
    <w:rsid w:val="57811AFA"/>
    <w:rsid w:val="578A29A6"/>
    <w:rsid w:val="57906973"/>
    <w:rsid w:val="57926FAC"/>
    <w:rsid w:val="57957C4A"/>
    <w:rsid w:val="579A37D9"/>
    <w:rsid w:val="579E37BC"/>
    <w:rsid w:val="57A0326C"/>
    <w:rsid w:val="57A7278E"/>
    <w:rsid w:val="57AC6D1C"/>
    <w:rsid w:val="57AD653C"/>
    <w:rsid w:val="57B13A5E"/>
    <w:rsid w:val="57B72A76"/>
    <w:rsid w:val="57B9626F"/>
    <w:rsid w:val="57C3426C"/>
    <w:rsid w:val="57C92854"/>
    <w:rsid w:val="57CA63B1"/>
    <w:rsid w:val="57CB175B"/>
    <w:rsid w:val="57CE1F93"/>
    <w:rsid w:val="57CE7E1C"/>
    <w:rsid w:val="57CF461B"/>
    <w:rsid w:val="57D36B15"/>
    <w:rsid w:val="57D814F7"/>
    <w:rsid w:val="57DD31D4"/>
    <w:rsid w:val="57E07751"/>
    <w:rsid w:val="57EE10A0"/>
    <w:rsid w:val="57F4225A"/>
    <w:rsid w:val="580B6A28"/>
    <w:rsid w:val="580E7831"/>
    <w:rsid w:val="5810719A"/>
    <w:rsid w:val="581C0963"/>
    <w:rsid w:val="581F37ED"/>
    <w:rsid w:val="58347D32"/>
    <w:rsid w:val="58355079"/>
    <w:rsid w:val="58366084"/>
    <w:rsid w:val="583B6CB7"/>
    <w:rsid w:val="584C2108"/>
    <w:rsid w:val="584F4D58"/>
    <w:rsid w:val="584F5203"/>
    <w:rsid w:val="58562F86"/>
    <w:rsid w:val="585C237F"/>
    <w:rsid w:val="585C5545"/>
    <w:rsid w:val="58606E7F"/>
    <w:rsid w:val="58690F0C"/>
    <w:rsid w:val="586B6A32"/>
    <w:rsid w:val="586C4558"/>
    <w:rsid w:val="58704048"/>
    <w:rsid w:val="587826B4"/>
    <w:rsid w:val="58782BD5"/>
    <w:rsid w:val="587A1BFA"/>
    <w:rsid w:val="587E7376"/>
    <w:rsid w:val="588743D1"/>
    <w:rsid w:val="5887701A"/>
    <w:rsid w:val="589046EA"/>
    <w:rsid w:val="58984204"/>
    <w:rsid w:val="589C4E3D"/>
    <w:rsid w:val="589E39E1"/>
    <w:rsid w:val="58A26C0C"/>
    <w:rsid w:val="58A600B4"/>
    <w:rsid w:val="58B253F5"/>
    <w:rsid w:val="58BB7B75"/>
    <w:rsid w:val="58C3686E"/>
    <w:rsid w:val="58C83135"/>
    <w:rsid w:val="58C83FBA"/>
    <w:rsid w:val="58CA02F7"/>
    <w:rsid w:val="58D44EFC"/>
    <w:rsid w:val="58DE2695"/>
    <w:rsid w:val="58E30CBE"/>
    <w:rsid w:val="58E777E1"/>
    <w:rsid w:val="58EF1D9D"/>
    <w:rsid w:val="58F210F1"/>
    <w:rsid w:val="58F85DEC"/>
    <w:rsid w:val="58FA7DB6"/>
    <w:rsid w:val="58FC3B2E"/>
    <w:rsid w:val="58FD22C1"/>
    <w:rsid w:val="59030A18"/>
    <w:rsid w:val="5903628D"/>
    <w:rsid w:val="590A624B"/>
    <w:rsid w:val="590B7271"/>
    <w:rsid w:val="590C5CE8"/>
    <w:rsid w:val="590D09EF"/>
    <w:rsid w:val="590F13E3"/>
    <w:rsid w:val="59142C25"/>
    <w:rsid w:val="591B166C"/>
    <w:rsid w:val="59253085"/>
    <w:rsid w:val="592554A0"/>
    <w:rsid w:val="592D7BA2"/>
    <w:rsid w:val="592E06F1"/>
    <w:rsid w:val="59333043"/>
    <w:rsid w:val="593A2D34"/>
    <w:rsid w:val="593E07DB"/>
    <w:rsid w:val="594A2E24"/>
    <w:rsid w:val="594A4899"/>
    <w:rsid w:val="59546EE2"/>
    <w:rsid w:val="595B4CF8"/>
    <w:rsid w:val="595D6BCF"/>
    <w:rsid w:val="5961222A"/>
    <w:rsid w:val="59613991"/>
    <w:rsid w:val="59615A85"/>
    <w:rsid w:val="59700F08"/>
    <w:rsid w:val="597F3D8D"/>
    <w:rsid w:val="598425BF"/>
    <w:rsid w:val="59863343"/>
    <w:rsid w:val="598639DD"/>
    <w:rsid w:val="59872B16"/>
    <w:rsid w:val="5991283D"/>
    <w:rsid w:val="599162BE"/>
    <w:rsid w:val="59981AA8"/>
    <w:rsid w:val="59A0270B"/>
    <w:rsid w:val="59A2105E"/>
    <w:rsid w:val="59A541C5"/>
    <w:rsid w:val="59A87812"/>
    <w:rsid w:val="59AA17DC"/>
    <w:rsid w:val="59AD307A"/>
    <w:rsid w:val="59B30690"/>
    <w:rsid w:val="59B763B7"/>
    <w:rsid w:val="59C0439F"/>
    <w:rsid w:val="59C14156"/>
    <w:rsid w:val="59C253D6"/>
    <w:rsid w:val="59C363FA"/>
    <w:rsid w:val="59C70B27"/>
    <w:rsid w:val="59C954B0"/>
    <w:rsid w:val="59CE2EA6"/>
    <w:rsid w:val="59CF3A54"/>
    <w:rsid w:val="59DD570D"/>
    <w:rsid w:val="59E2506C"/>
    <w:rsid w:val="59E633E2"/>
    <w:rsid w:val="59EB73F0"/>
    <w:rsid w:val="59EE6A9F"/>
    <w:rsid w:val="59F657EC"/>
    <w:rsid w:val="59F71EE8"/>
    <w:rsid w:val="59F835F6"/>
    <w:rsid w:val="59FB5B93"/>
    <w:rsid w:val="59FD7B5D"/>
    <w:rsid w:val="59FF21C1"/>
    <w:rsid w:val="5A025DCE"/>
    <w:rsid w:val="5A094C3D"/>
    <w:rsid w:val="5A0E1C0B"/>
    <w:rsid w:val="5A117165"/>
    <w:rsid w:val="5A1E0981"/>
    <w:rsid w:val="5A215DA6"/>
    <w:rsid w:val="5A2E3F39"/>
    <w:rsid w:val="5A2F7695"/>
    <w:rsid w:val="5A380B96"/>
    <w:rsid w:val="5A3A2B60"/>
    <w:rsid w:val="5A4455AA"/>
    <w:rsid w:val="5A464470"/>
    <w:rsid w:val="5A4C2893"/>
    <w:rsid w:val="5A54388F"/>
    <w:rsid w:val="5A574417"/>
    <w:rsid w:val="5A5D046E"/>
    <w:rsid w:val="5A5D15D8"/>
    <w:rsid w:val="5A5F5191"/>
    <w:rsid w:val="5A6019BB"/>
    <w:rsid w:val="5A6244A7"/>
    <w:rsid w:val="5A663955"/>
    <w:rsid w:val="5A680816"/>
    <w:rsid w:val="5A760F08"/>
    <w:rsid w:val="5A8F6C33"/>
    <w:rsid w:val="5A915736"/>
    <w:rsid w:val="5A932270"/>
    <w:rsid w:val="5A9A31F4"/>
    <w:rsid w:val="5A9B0E80"/>
    <w:rsid w:val="5AA5261D"/>
    <w:rsid w:val="5AB04DB2"/>
    <w:rsid w:val="5ABE2233"/>
    <w:rsid w:val="5ABF3065"/>
    <w:rsid w:val="5AC05783"/>
    <w:rsid w:val="5ACA343C"/>
    <w:rsid w:val="5AD42FAA"/>
    <w:rsid w:val="5ADF3078"/>
    <w:rsid w:val="5AE03DE2"/>
    <w:rsid w:val="5AEB3185"/>
    <w:rsid w:val="5AED368D"/>
    <w:rsid w:val="5AEF41DC"/>
    <w:rsid w:val="5AF113C1"/>
    <w:rsid w:val="5AF32F02"/>
    <w:rsid w:val="5AFC1BC3"/>
    <w:rsid w:val="5AFE6BC0"/>
    <w:rsid w:val="5B022F52"/>
    <w:rsid w:val="5B0642B8"/>
    <w:rsid w:val="5B0942E0"/>
    <w:rsid w:val="5B0B62AA"/>
    <w:rsid w:val="5B0E7B48"/>
    <w:rsid w:val="5B135FA1"/>
    <w:rsid w:val="5B150ED7"/>
    <w:rsid w:val="5B164CCF"/>
    <w:rsid w:val="5B231846"/>
    <w:rsid w:val="5B2630E4"/>
    <w:rsid w:val="5B2B4256"/>
    <w:rsid w:val="5B2C0427"/>
    <w:rsid w:val="5B314042"/>
    <w:rsid w:val="5B3B6835"/>
    <w:rsid w:val="5B3F62DD"/>
    <w:rsid w:val="5B423504"/>
    <w:rsid w:val="5B49424F"/>
    <w:rsid w:val="5B5075CB"/>
    <w:rsid w:val="5B520246"/>
    <w:rsid w:val="5B58626B"/>
    <w:rsid w:val="5B630B19"/>
    <w:rsid w:val="5B6E411E"/>
    <w:rsid w:val="5B7473F0"/>
    <w:rsid w:val="5B790BB1"/>
    <w:rsid w:val="5B835465"/>
    <w:rsid w:val="5B877204"/>
    <w:rsid w:val="5B8B1199"/>
    <w:rsid w:val="5B9F2500"/>
    <w:rsid w:val="5B9F776C"/>
    <w:rsid w:val="5BA25CE6"/>
    <w:rsid w:val="5BA31A54"/>
    <w:rsid w:val="5BA4138E"/>
    <w:rsid w:val="5BA74225"/>
    <w:rsid w:val="5BAB2824"/>
    <w:rsid w:val="5BB44A40"/>
    <w:rsid w:val="5BB53EFB"/>
    <w:rsid w:val="5BB81F56"/>
    <w:rsid w:val="5BBB382C"/>
    <w:rsid w:val="5BD129F2"/>
    <w:rsid w:val="5BD60666"/>
    <w:rsid w:val="5BDE7951"/>
    <w:rsid w:val="5BDF5D95"/>
    <w:rsid w:val="5BE0786C"/>
    <w:rsid w:val="5BE95E21"/>
    <w:rsid w:val="5BFE7528"/>
    <w:rsid w:val="5C02145B"/>
    <w:rsid w:val="5C186774"/>
    <w:rsid w:val="5C190553"/>
    <w:rsid w:val="5C1C48E8"/>
    <w:rsid w:val="5C1C5827"/>
    <w:rsid w:val="5C205D85"/>
    <w:rsid w:val="5C2B0955"/>
    <w:rsid w:val="5C334495"/>
    <w:rsid w:val="5C3D1EC5"/>
    <w:rsid w:val="5C4E28F2"/>
    <w:rsid w:val="5C4F21C6"/>
    <w:rsid w:val="5C530E18"/>
    <w:rsid w:val="5C533A65"/>
    <w:rsid w:val="5C553C81"/>
    <w:rsid w:val="5C5C1B48"/>
    <w:rsid w:val="5C690E30"/>
    <w:rsid w:val="5C6E4D42"/>
    <w:rsid w:val="5C734DB5"/>
    <w:rsid w:val="5C7559A0"/>
    <w:rsid w:val="5C7767DF"/>
    <w:rsid w:val="5C796266"/>
    <w:rsid w:val="5C796835"/>
    <w:rsid w:val="5C837DF9"/>
    <w:rsid w:val="5C8A1451"/>
    <w:rsid w:val="5C9A78E6"/>
    <w:rsid w:val="5C9B686E"/>
    <w:rsid w:val="5C9C0594"/>
    <w:rsid w:val="5C9C2F95"/>
    <w:rsid w:val="5CB32755"/>
    <w:rsid w:val="5CBB65A6"/>
    <w:rsid w:val="5CBD2518"/>
    <w:rsid w:val="5CC92CD1"/>
    <w:rsid w:val="5CCB6F4A"/>
    <w:rsid w:val="5CCC4FFD"/>
    <w:rsid w:val="5CCF4BF9"/>
    <w:rsid w:val="5CD22250"/>
    <w:rsid w:val="5CD31049"/>
    <w:rsid w:val="5CD33DC8"/>
    <w:rsid w:val="5CD83ACA"/>
    <w:rsid w:val="5CDA72D3"/>
    <w:rsid w:val="5CDC1CAC"/>
    <w:rsid w:val="5CF26219"/>
    <w:rsid w:val="5CF314CF"/>
    <w:rsid w:val="5CFA0384"/>
    <w:rsid w:val="5D0A075D"/>
    <w:rsid w:val="5D1318B6"/>
    <w:rsid w:val="5D2278CA"/>
    <w:rsid w:val="5D2331A2"/>
    <w:rsid w:val="5D267F6F"/>
    <w:rsid w:val="5D2D2508"/>
    <w:rsid w:val="5D2F5A22"/>
    <w:rsid w:val="5D3855F4"/>
    <w:rsid w:val="5D3B5C90"/>
    <w:rsid w:val="5D3C274B"/>
    <w:rsid w:val="5D4067D9"/>
    <w:rsid w:val="5D47111D"/>
    <w:rsid w:val="5D4A6EDF"/>
    <w:rsid w:val="5D4F5E28"/>
    <w:rsid w:val="5D55380D"/>
    <w:rsid w:val="5D63119D"/>
    <w:rsid w:val="5D640371"/>
    <w:rsid w:val="5D683540"/>
    <w:rsid w:val="5D6A375C"/>
    <w:rsid w:val="5D6A4A5D"/>
    <w:rsid w:val="5D6D28F7"/>
    <w:rsid w:val="5D6E6E69"/>
    <w:rsid w:val="5D704FCD"/>
    <w:rsid w:val="5D7305DB"/>
    <w:rsid w:val="5D746389"/>
    <w:rsid w:val="5D782E5F"/>
    <w:rsid w:val="5D79666B"/>
    <w:rsid w:val="5D7D374B"/>
    <w:rsid w:val="5D83037A"/>
    <w:rsid w:val="5D8A307F"/>
    <w:rsid w:val="5D8B37C3"/>
    <w:rsid w:val="5D8B3F84"/>
    <w:rsid w:val="5D8E0405"/>
    <w:rsid w:val="5DA97E4D"/>
    <w:rsid w:val="5DB074DC"/>
    <w:rsid w:val="5DB4633B"/>
    <w:rsid w:val="5DB90867"/>
    <w:rsid w:val="5DBA1A99"/>
    <w:rsid w:val="5DC02932"/>
    <w:rsid w:val="5DC04A76"/>
    <w:rsid w:val="5DC15F56"/>
    <w:rsid w:val="5DC93D68"/>
    <w:rsid w:val="5DCD3CEB"/>
    <w:rsid w:val="5DCD53B8"/>
    <w:rsid w:val="5DD11BF7"/>
    <w:rsid w:val="5DD12DA4"/>
    <w:rsid w:val="5DD40BD5"/>
    <w:rsid w:val="5DD77DE3"/>
    <w:rsid w:val="5DD938F3"/>
    <w:rsid w:val="5DE40A68"/>
    <w:rsid w:val="5DEF35FC"/>
    <w:rsid w:val="5DF361DF"/>
    <w:rsid w:val="5DF77954"/>
    <w:rsid w:val="5DFA32E2"/>
    <w:rsid w:val="5DFD273E"/>
    <w:rsid w:val="5E005A13"/>
    <w:rsid w:val="5E0F557C"/>
    <w:rsid w:val="5E143693"/>
    <w:rsid w:val="5E1973BD"/>
    <w:rsid w:val="5E2070EB"/>
    <w:rsid w:val="5E217295"/>
    <w:rsid w:val="5E2467F1"/>
    <w:rsid w:val="5E2751A9"/>
    <w:rsid w:val="5E2B6149"/>
    <w:rsid w:val="5E2F21EE"/>
    <w:rsid w:val="5E397FBE"/>
    <w:rsid w:val="5E455DA7"/>
    <w:rsid w:val="5E4D0988"/>
    <w:rsid w:val="5E4E3220"/>
    <w:rsid w:val="5E503D1E"/>
    <w:rsid w:val="5E5830A7"/>
    <w:rsid w:val="5E590ADE"/>
    <w:rsid w:val="5E6C5080"/>
    <w:rsid w:val="5E6E2DD8"/>
    <w:rsid w:val="5E7471C5"/>
    <w:rsid w:val="5E76511E"/>
    <w:rsid w:val="5E776C6D"/>
    <w:rsid w:val="5E8C5954"/>
    <w:rsid w:val="5E8D77E0"/>
    <w:rsid w:val="5E97163A"/>
    <w:rsid w:val="5E9C496B"/>
    <w:rsid w:val="5E9D7F87"/>
    <w:rsid w:val="5E9F7435"/>
    <w:rsid w:val="5EA66A16"/>
    <w:rsid w:val="5EAA51C2"/>
    <w:rsid w:val="5EB64BBD"/>
    <w:rsid w:val="5EBC76FA"/>
    <w:rsid w:val="5EC0115A"/>
    <w:rsid w:val="5ED052C1"/>
    <w:rsid w:val="5ED74E21"/>
    <w:rsid w:val="5EE237C6"/>
    <w:rsid w:val="5EE50BC0"/>
    <w:rsid w:val="5EE5767C"/>
    <w:rsid w:val="5EE96902"/>
    <w:rsid w:val="5EED7AF3"/>
    <w:rsid w:val="5EF2715C"/>
    <w:rsid w:val="5EF534F9"/>
    <w:rsid w:val="5EF64B7B"/>
    <w:rsid w:val="5EF82690"/>
    <w:rsid w:val="5F013C4C"/>
    <w:rsid w:val="5F020532"/>
    <w:rsid w:val="5F032DEC"/>
    <w:rsid w:val="5F0454EA"/>
    <w:rsid w:val="5F071EFA"/>
    <w:rsid w:val="5F0A6F89"/>
    <w:rsid w:val="5F1A2B43"/>
    <w:rsid w:val="5F20703B"/>
    <w:rsid w:val="5F2B0CC9"/>
    <w:rsid w:val="5F2C7AB3"/>
    <w:rsid w:val="5F2E2070"/>
    <w:rsid w:val="5F344F73"/>
    <w:rsid w:val="5F3603DF"/>
    <w:rsid w:val="5F3E0DAC"/>
    <w:rsid w:val="5F48052B"/>
    <w:rsid w:val="5F591902"/>
    <w:rsid w:val="5F5E0734"/>
    <w:rsid w:val="5F6103B4"/>
    <w:rsid w:val="5F647A09"/>
    <w:rsid w:val="5F695033"/>
    <w:rsid w:val="5F6D7533"/>
    <w:rsid w:val="5F6E1753"/>
    <w:rsid w:val="5F713D25"/>
    <w:rsid w:val="5F75009A"/>
    <w:rsid w:val="5F7D190E"/>
    <w:rsid w:val="5F85513E"/>
    <w:rsid w:val="5F8672E6"/>
    <w:rsid w:val="5F8F423B"/>
    <w:rsid w:val="5F8F5E14"/>
    <w:rsid w:val="5F90505F"/>
    <w:rsid w:val="5F980D4E"/>
    <w:rsid w:val="5FA016B7"/>
    <w:rsid w:val="5FAC73FC"/>
    <w:rsid w:val="5FAD5B82"/>
    <w:rsid w:val="5FAE67A6"/>
    <w:rsid w:val="5FB837BB"/>
    <w:rsid w:val="5FB92779"/>
    <w:rsid w:val="5FBF6806"/>
    <w:rsid w:val="5FC036BA"/>
    <w:rsid w:val="5FC30909"/>
    <w:rsid w:val="5FC657DD"/>
    <w:rsid w:val="5FCE339D"/>
    <w:rsid w:val="5FD2450B"/>
    <w:rsid w:val="5FD72BFF"/>
    <w:rsid w:val="5FDB07B0"/>
    <w:rsid w:val="5FE50F01"/>
    <w:rsid w:val="5FF23595"/>
    <w:rsid w:val="5FF61782"/>
    <w:rsid w:val="6003070C"/>
    <w:rsid w:val="600532C8"/>
    <w:rsid w:val="60082DB8"/>
    <w:rsid w:val="600F4A8D"/>
    <w:rsid w:val="60122565"/>
    <w:rsid w:val="60153803"/>
    <w:rsid w:val="601953F4"/>
    <w:rsid w:val="602245F6"/>
    <w:rsid w:val="602C54E4"/>
    <w:rsid w:val="6037544B"/>
    <w:rsid w:val="603C3249"/>
    <w:rsid w:val="60435AE1"/>
    <w:rsid w:val="604E1BAA"/>
    <w:rsid w:val="604F6C39"/>
    <w:rsid w:val="60530A95"/>
    <w:rsid w:val="60590A97"/>
    <w:rsid w:val="60596D85"/>
    <w:rsid w:val="605C510E"/>
    <w:rsid w:val="60634492"/>
    <w:rsid w:val="60663178"/>
    <w:rsid w:val="60694FBF"/>
    <w:rsid w:val="606C0263"/>
    <w:rsid w:val="607244FB"/>
    <w:rsid w:val="607E3561"/>
    <w:rsid w:val="608347F4"/>
    <w:rsid w:val="60886246"/>
    <w:rsid w:val="608E137D"/>
    <w:rsid w:val="609749F5"/>
    <w:rsid w:val="60AA46CC"/>
    <w:rsid w:val="60AF65CF"/>
    <w:rsid w:val="60B37518"/>
    <w:rsid w:val="60BF604F"/>
    <w:rsid w:val="60C100E6"/>
    <w:rsid w:val="60C82547"/>
    <w:rsid w:val="60C91D59"/>
    <w:rsid w:val="60C922BB"/>
    <w:rsid w:val="60C96807"/>
    <w:rsid w:val="60CC405A"/>
    <w:rsid w:val="60D27C60"/>
    <w:rsid w:val="60D52F16"/>
    <w:rsid w:val="60D75112"/>
    <w:rsid w:val="60D96503"/>
    <w:rsid w:val="60DA1B0F"/>
    <w:rsid w:val="60DD0876"/>
    <w:rsid w:val="60E249A5"/>
    <w:rsid w:val="60E35CD1"/>
    <w:rsid w:val="60E70A4D"/>
    <w:rsid w:val="60F51E7B"/>
    <w:rsid w:val="60F71483"/>
    <w:rsid w:val="60F860BD"/>
    <w:rsid w:val="610069E9"/>
    <w:rsid w:val="61015DB7"/>
    <w:rsid w:val="61045C75"/>
    <w:rsid w:val="610911AF"/>
    <w:rsid w:val="61143F11"/>
    <w:rsid w:val="61181A65"/>
    <w:rsid w:val="611D54D7"/>
    <w:rsid w:val="611F485D"/>
    <w:rsid w:val="6123048F"/>
    <w:rsid w:val="61237324"/>
    <w:rsid w:val="612A53A0"/>
    <w:rsid w:val="612F57E6"/>
    <w:rsid w:val="61320071"/>
    <w:rsid w:val="613219D9"/>
    <w:rsid w:val="613E6260"/>
    <w:rsid w:val="61407226"/>
    <w:rsid w:val="61454C97"/>
    <w:rsid w:val="61551102"/>
    <w:rsid w:val="615606B2"/>
    <w:rsid w:val="616356EC"/>
    <w:rsid w:val="61693D2A"/>
    <w:rsid w:val="61732EBC"/>
    <w:rsid w:val="61873E88"/>
    <w:rsid w:val="61874EE4"/>
    <w:rsid w:val="618A275A"/>
    <w:rsid w:val="61964EA3"/>
    <w:rsid w:val="619B2EEC"/>
    <w:rsid w:val="619E3F23"/>
    <w:rsid w:val="61A82AA5"/>
    <w:rsid w:val="61BC20AC"/>
    <w:rsid w:val="61BC727B"/>
    <w:rsid w:val="61BE0E40"/>
    <w:rsid w:val="61BE14A2"/>
    <w:rsid w:val="61C34F67"/>
    <w:rsid w:val="61CC5EBF"/>
    <w:rsid w:val="61D86D8B"/>
    <w:rsid w:val="61D90EB0"/>
    <w:rsid w:val="61DC62B1"/>
    <w:rsid w:val="61E215D8"/>
    <w:rsid w:val="61E313EC"/>
    <w:rsid w:val="61F07FA8"/>
    <w:rsid w:val="61F8532B"/>
    <w:rsid w:val="61FB7649"/>
    <w:rsid w:val="61FE26C5"/>
    <w:rsid w:val="62002B8C"/>
    <w:rsid w:val="62020CF1"/>
    <w:rsid w:val="62091722"/>
    <w:rsid w:val="620D2908"/>
    <w:rsid w:val="620E5F0D"/>
    <w:rsid w:val="6210776D"/>
    <w:rsid w:val="62112AA0"/>
    <w:rsid w:val="621B3775"/>
    <w:rsid w:val="621C36BA"/>
    <w:rsid w:val="622163B3"/>
    <w:rsid w:val="62220BFC"/>
    <w:rsid w:val="62246966"/>
    <w:rsid w:val="62284ADD"/>
    <w:rsid w:val="622A4379"/>
    <w:rsid w:val="622B55B0"/>
    <w:rsid w:val="62306DDF"/>
    <w:rsid w:val="62315B16"/>
    <w:rsid w:val="623611A7"/>
    <w:rsid w:val="62361B89"/>
    <w:rsid w:val="62364782"/>
    <w:rsid w:val="623E5132"/>
    <w:rsid w:val="62403442"/>
    <w:rsid w:val="624327CD"/>
    <w:rsid w:val="62436A1E"/>
    <w:rsid w:val="624D667E"/>
    <w:rsid w:val="626369CC"/>
    <w:rsid w:val="626C652F"/>
    <w:rsid w:val="62736A8A"/>
    <w:rsid w:val="6286690E"/>
    <w:rsid w:val="62895434"/>
    <w:rsid w:val="629D3C5C"/>
    <w:rsid w:val="62A57C4D"/>
    <w:rsid w:val="62A83543"/>
    <w:rsid w:val="62AE6FB2"/>
    <w:rsid w:val="62AF67D8"/>
    <w:rsid w:val="62B22353"/>
    <w:rsid w:val="62B3538E"/>
    <w:rsid w:val="62BA75F4"/>
    <w:rsid w:val="62C80B48"/>
    <w:rsid w:val="62CA25A7"/>
    <w:rsid w:val="62CC0006"/>
    <w:rsid w:val="62CC64A0"/>
    <w:rsid w:val="62CE0C72"/>
    <w:rsid w:val="62CE6E85"/>
    <w:rsid w:val="62DD1F37"/>
    <w:rsid w:val="62E23D94"/>
    <w:rsid w:val="62E93375"/>
    <w:rsid w:val="62FA7330"/>
    <w:rsid w:val="63010B0B"/>
    <w:rsid w:val="630C7DDB"/>
    <w:rsid w:val="630D4358"/>
    <w:rsid w:val="63112987"/>
    <w:rsid w:val="63160B7F"/>
    <w:rsid w:val="631A3625"/>
    <w:rsid w:val="631B5E4B"/>
    <w:rsid w:val="631B7EE5"/>
    <w:rsid w:val="63260A0C"/>
    <w:rsid w:val="63271802"/>
    <w:rsid w:val="63302D52"/>
    <w:rsid w:val="633D669B"/>
    <w:rsid w:val="63462575"/>
    <w:rsid w:val="634B6533"/>
    <w:rsid w:val="63611187"/>
    <w:rsid w:val="6368244F"/>
    <w:rsid w:val="6374150D"/>
    <w:rsid w:val="6377159A"/>
    <w:rsid w:val="6377447A"/>
    <w:rsid w:val="6379568A"/>
    <w:rsid w:val="637C342C"/>
    <w:rsid w:val="638379E3"/>
    <w:rsid w:val="63840E8B"/>
    <w:rsid w:val="638637AF"/>
    <w:rsid w:val="638B442C"/>
    <w:rsid w:val="6394356A"/>
    <w:rsid w:val="63972DD1"/>
    <w:rsid w:val="63A9193C"/>
    <w:rsid w:val="63B03CB0"/>
    <w:rsid w:val="63B42FF4"/>
    <w:rsid w:val="63B76FCF"/>
    <w:rsid w:val="63B846EA"/>
    <w:rsid w:val="63BD18E0"/>
    <w:rsid w:val="63BF6FD1"/>
    <w:rsid w:val="63C61B2C"/>
    <w:rsid w:val="63CA3DAE"/>
    <w:rsid w:val="63CB4D7A"/>
    <w:rsid w:val="63D40BE9"/>
    <w:rsid w:val="63D90F0E"/>
    <w:rsid w:val="63DA4A6C"/>
    <w:rsid w:val="63DA6A02"/>
    <w:rsid w:val="63E32495"/>
    <w:rsid w:val="63E51BAD"/>
    <w:rsid w:val="63EA36CE"/>
    <w:rsid w:val="63EA7941"/>
    <w:rsid w:val="63ED0C43"/>
    <w:rsid w:val="63F35EC1"/>
    <w:rsid w:val="63F47FDE"/>
    <w:rsid w:val="63FC4707"/>
    <w:rsid w:val="63FC658A"/>
    <w:rsid w:val="63FE4C3D"/>
    <w:rsid w:val="64030466"/>
    <w:rsid w:val="640C666F"/>
    <w:rsid w:val="64102431"/>
    <w:rsid w:val="641066DF"/>
    <w:rsid w:val="64155873"/>
    <w:rsid w:val="641736EA"/>
    <w:rsid w:val="641E0DFC"/>
    <w:rsid w:val="64304BB5"/>
    <w:rsid w:val="6448546D"/>
    <w:rsid w:val="644F3080"/>
    <w:rsid w:val="64597431"/>
    <w:rsid w:val="64626282"/>
    <w:rsid w:val="64662B1A"/>
    <w:rsid w:val="646D5728"/>
    <w:rsid w:val="647142A0"/>
    <w:rsid w:val="6477765C"/>
    <w:rsid w:val="647A3821"/>
    <w:rsid w:val="64855539"/>
    <w:rsid w:val="648869AC"/>
    <w:rsid w:val="648D7CE1"/>
    <w:rsid w:val="649024E6"/>
    <w:rsid w:val="64913CDB"/>
    <w:rsid w:val="64917537"/>
    <w:rsid w:val="649202BA"/>
    <w:rsid w:val="64993E43"/>
    <w:rsid w:val="64A17C4A"/>
    <w:rsid w:val="64A5243A"/>
    <w:rsid w:val="64A82974"/>
    <w:rsid w:val="64AB7118"/>
    <w:rsid w:val="64AB74AE"/>
    <w:rsid w:val="64AD58E2"/>
    <w:rsid w:val="64B2784F"/>
    <w:rsid w:val="64B56CB3"/>
    <w:rsid w:val="64B61035"/>
    <w:rsid w:val="64BE0410"/>
    <w:rsid w:val="64C05957"/>
    <w:rsid w:val="64CD45D0"/>
    <w:rsid w:val="64CD596F"/>
    <w:rsid w:val="64CE1249"/>
    <w:rsid w:val="64D54812"/>
    <w:rsid w:val="64D67929"/>
    <w:rsid w:val="64D91329"/>
    <w:rsid w:val="64D957D2"/>
    <w:rsid w:val="64DE6539"/>
    <w:rsid w:val="64EF55D2"/>
    <w:rsid w:val="64F12CAC"/>
    <w:rsid w:val="64F44BF2"/>
    <w:rsid w:val="64F531DE"/>
    <w:rsid w:val="65077AE2"/>
    <w:rsid w:val="650B7CC1"/>
    <w:rsid w:val="650C50F9"/>
    <w:rsid w:val="650D3934"/>
    <w:rsid w:val="651144BD"/>
    <w:rsid w:val="6513050F"/>
    <w:rsid w:val="65142ED7"/>
    <w:rsid w:val="65146AB2"/>
    <w:rsid w:val="65153134"/>
    <w:rsid w:val="65174593"/>
    <w:rsid w:val="65187AFE"/>
    <w:rsid w:val="65256EAA"/>
    <w:rsid w:val="652D313E"/>
    <w:rsid w:val="65373578"/>
    <w:rsid w:val="653D3A2E"/>
    <w:rsid w:val="654307F0"/>
    <w:rsid w:val="65460142"/>
    <w:rsid w:val="65515F6B"/>
    <w:rsid w:val="65546D24"/>
    <w:rsid w:val="655C7328"/>
    <w:rsid w:val="6566092A"/>
    <w:rsid w:val="65741022"/>
    <w:rsid w:val="65786DF0"/>
    <w:rsid w:val="657A3DA7"/>
    <w:rsid w:val="6589758B"/>
    <w:rsid w:val="658F2B3F"/>
    <w:rsid w:val="6593581A"/>
    <w:rsid w:val="6593777B"/>
    <w:rsid w:val="659847E7"/>
    <w:rsid w:val="659B1574"/>
    <w:rsid w:val="659B60F8"/>
    <w:rsid w:val="65A17F37"/>
    <w:rsid w:val="65A30F31"/>
    <w:rsid w:val="65B054DA"/>
    <w:rsid w:val="65B25CA0"/>
    <w:rsid w:val="65B302F4"/>
    <w:rsid w:val="65B37C6A"/>
    <w:rsid w:val="65B46E8B"/>
    <w:rsid w:val="65C07C91"/>
    <w:rsid w:val="65C25A39"/>
    <w:rsid w:val="65C77FB4"/>
    <w:rsid w:val="65C86D45"/>
    <w:rsid w:val="65CC373E"/>
    <w:rsid w:val="65D97056"/>
    <w:rsid w:val="65DA7C44"/>
    <w:rsid w:val="65E13E40"/>
    <w:rsid w:val="65E43FEA"/>
    <w:rsid w:val="65EE7A0D"/>
    <w:rsid w:val="65FE0EE5"/>
    <w:rsid w:val="660202AA"/>
    <w:rsid w:val="66080753"/>
    <w:rsid w:val="6611190F"/>
    <w:rsid w:val="661307A3"/>
    <w:rsid w:val="66141EEF"/>
    <w:rsid w:val="661B78FF"/>
    <w:rsid w:val="66211689"/>
    <w:rsid w:val="66264AD3"/>
    <w:rsid w:val="663E5660"/>
    <w:rsid w:val="663E5786"/>
    <w:rsid w:val="6650138C"/>
    <w:rsid w:val="66521893"/>
    <w:rsid w:val="66575EC2"/>
    <w:rsid w:val="6663343E"/>
    <w:rsid w:val="6663423B"/>
    <w:rsid w:val="666B28AE"/>
    <w:rsid w:val="666D164D"/>
    <w:rsid w:val="66703465"/>
    <w:rsid w:val="667569E0"/>
    <w:rsid w:val="667B04A3"/>
    <w:rsid w:val="667B6DE0"/>
    <w:rsid w:val="66815672"/>
    <w:rsid w:val="668D074A"/>
    <w:rsid w:val="669657C7"/>
    <w:rsid w:val="669B2A1A"/>
    <w:rsid w:val="669D352A"/>
    <w:rsid w:val="66A07679"/>
    <w:rsid w:val="66A90B9F"/>
    <w:rsid w:val="66AA0E18"/>
    <w:rsid w:val="66AA65DF"/>
    <w:rsid w:val="66B46D86"/>
    <w:rsid w:val="66B93730"/>
    <w:rsid w:val="66B94F27"/>
    <w:rsid w:val="66BA5239"/>
    <w:rsid w:val="66BE742E"/>
    <w:rsid w:val="66C37A39"/>
    <w:rsid w:val="66C4494A"/>
    <w:rsid w:val="66C47A06"/>
    <w:rsid w:val="66C814F3"/>
    <w:rsid w:val="66CA69C2"/>
    <w:rsid w:val="66CD1845"/>
    <w:rsid w:val="66D456B1"/>
    <w:rsid w:val="66D47E98"/>
    <w:rsid w:val="66D47FB9"/>
    <w:rsid w:val="66DD0F05"/>
    <w:rsid w:val="66E108E6"/>
    <w:rsid w:val="66E979C9"/>
    <w:rsid w:val="66EF082E"/>
    <w:rsid w:val="66F314D4"/>
    <w:rsid w:val="66F6096B"/>
    <w:rsid w:val="66F72299"/>
    <w:rsid w:val="66F92D54"/>
    <w:rsid w:val="670621DF"/>
    <w:rsid w:val="670E2D2E"/>
    <w:rsid w:val="6712276E"/>
    <w:rsid w:val="671F124A"/>
    <w:rsid w:val="672506F4"/>
    <w:rsid w:val="672666B9"/>
    <w:rsid w:val="672A5D0A"/>
    <w:rsid w:val="672C1A82"/>
    <w:rsid w:val="673426E5"/>
    <w:rsid w:val="67353748"/>
    <w:rsid w:val="67355F85"/>
    <w:rsid w:val="674032C8"/>
    <w:rsid w:val="674E19F8"/>
    <w:rsid w:val="674E69AD"/>
    <w:rsid w:val="674E7F26"/>
    <w:rsid w:val="675A4A5A"/>
    <w:rsid w:val="675D1C3B"/>
    <w:rsid w:val="675F691A"/>
    <w:rsid w:val="676254A4"/>
    <w:rsid w:val="676905E0"/>
    <w:rsid w:val="676C6E71"/>
    <w:rsid w:val="676E3652"/>
    <w:rsid w:val="676E546C"/>
    <w:rsid w:val="677232C5"/>
    <w:rsid w:val="677448AC"/>
    <w:rsid w:val="67746EA7"/>
    <w:rsid w:val="677A33C6"/>
    <w:rsid w:val="678227EC"/>
    <w:rsid w:val="678622E4"/>
    <w:rsid w:val="67872DBE"/>
    <w:rsid w:val="679413D5"/>
    <w:rsid w:val="67975364"/>
    <w:rsid w:val="67981009"/>
    <w:rsid w:val="679A298C"/>
    <w:rsid w:val="67A93929"/>
    <w:rsid w:val="67AD1EEB"/>
    <w:rsid w:val="67B20BAC"/>
    <w:rsid w:val="67B332B3"/>
    <w:rsid w:val="67B37493"/>
    <w:rsid w:val="67BB31DF"/>
    <w:rsid w:val="67C04BAB"/>
    <w:rsid w:val="67C12E69"/>
    <w:rsid w:val="67C24AC9"/>
    <w:rsid w:val="67D61813"/>
    <w:rsid w:val="67D65F42"/>
    <w:rsid w:val="67D926CF"/>
    <w:rsid w:val="67DB7004"/>
    <w:rsid w:val="67DD2D7C"/>
    <w:rsid w:val="67E47E72"/>
    <w:rsid w:val="67E81E4D"/>
    <w:rsid w:val="67E9461A"/>
    <w:rsid w:val="67EE4F80"/>
    <w:rsid w:val="67F238F0"/>
    <w:rsid w:val="67F500C6"/>
    <w:rsid w:val="68014829"/>
    <w:rsid w:val="6808604B"/>
    <w:rsid w:val="680D3517"/>
    <w:rsid w:val="680E3783"/>
    <w:rsid w:val="681432BF"/>
    <w:rsid w:val="68160EA4"/>
    <w:rsid w:val="681B408B"/>
    <w:rsid w:val="681F6961"/>
    <w:rsid w:val="68232E85"/>
    <w:rsid w:val="682524F7"/>
    <w:rsid w:val="68296EAF"/>
    <w:rsid w:val="682C5D96"/>
    <w:rsid w:val="682E35D8"/>
    <w:rsid w:val="68330BEE"/>
    <w:rsid w:val="68386205"/>
    <w:rsid w:val="683C5CF5"/>
    <w:rsid w:val="68460921"/>
    <w:rsid w:val="6848469A"/>
    <w:rsid w:val="684C4F95"/>
    <w:rsid w:val="68535825"/>
    <w:rsid w:val="685F7C35"/>
    <w:rsid w:val="68610A2F"/>
    <w:rsid w:val="68684D3C"/>
    <w:rsid w:val="68687559"/>
    <w:rsid w:val="686C4352"/>
    <w:rsid w:val="68770D33"/>
    <w:rsid w:val="68805514"/>
    <w:rsid w:val="68893373"/>
    <w:rsid w:val="688A5F83"/>
    <w:rsid w:val="68953657"/>
    <w:rsid w:val="689C52CA"/>
    <w:rsid w:val="68A9590F"/>
    <w:rsid w:val="68AA5354"/>
    <w:rsid w:val="68AF67A5"/>
    <w:rsid w:val="68B36970"/>
    <w:rsid w:val="68B44124"/>
    <w:rsid w:val="68C46F5F"/>
    <w:rsid w:val="68CF3383"/>
    <w:rsid w:val="68D03EE2"/>
    <w:rsid w:val="68D2796A"/>
    <w:rsid w:val="68DC276A"/>
    <w:rsid w:val="68E25512"/>
    <w:rsid w:val="68ED22ED"/>
    <w:rsid w:val="68F4750D"/>
    <w:rsid w:val="68F6116F"/>
    <w:rsid w:val="68F66499"/>
    <w:rsid w:val="68FB170C"/>
    <w:rsid w:val="69081E65"/>
    <w:rsid w:val="690860DF"/>
    <w:rsid w:val="690A26A9"/>
    <w:rsid w:val="690C5C0F"/>
    <w:rsid w:val="69187F79"/>
    <w:rsid w:val="691B1DAE"/>
    <w:rsid w:val="691C1682"/>
    <w:rsid w:val="69316E2F"/>
    <w:rsid w:val="69364F61"/>
    <w:rsid w:val="693756FC"/>
    <w:rsid w:val="69392234"/>
    <w:rsid w:val="693F1236"/>
    <w:rsid w:val="694109F5"/>
    <w:rsid w:val="694E2071"/>
    <w:rsid w:val="69521D58"/>
    <w:rsid w:val="695623E8"/>
    <w:rsid w:val="69581B85"/>
    <w:rsid w:val="695E4DEB"/>
    <w:rsid w:val="695F613F"/>
    <w:rsid w:val="696077C1"/>
    <w:rsid w:val="69686D58"/>
    <w:rsid w:val="697138A5"/>
    <w:rsid w:val="69733998"/>
    <w:rsid w:val="69766163"/>
    <w:rsid w:val="697A3B33"/>
    <w:rsid w:val="697B49F0"/>
    <w:rsid w:val="697E311D"/>
    <w:rsid w:val="69823580"/>
    <w:rsid w:val="6985204A"/>
    <w:rsid w:val="698C6D3D"/>
    <w:rsid w:val="69982FEE"/>
    <w:rsid w:val="699937E6"/>
    <w:rsid w:val="699E3F96"/>
    <w:rsid w:val="69A25543"/>
    <w:rsid w:val="69A302A4"/>
    <w:rsid w:val="69B12D73"/>
    <w:rsid w:val="69C2047C"/>
    <w:rsid w:val="69C462D7"/>
    <w:rsid w:val="69CA5D94"/>
    <w:rsid w:val="69CF579A"/>
    <w:rsid w:val="69D44760"/>
    <w:rsid w:val="69D45077"/>
    <w:rsid w:val="69D67644"/>
    <w:rsid w:val="69D837FB"/>
    <w:rsid w:val="69DD1CAE"/>
    <w:rsid w:val="69DE1648"/>
    <w:rsid w:val="69E81F34"/>
    <w:rsid w:val="69F53509"/>
    <w:rsid w:val="69FC4B9D"/>
    <w:rsid w:val="69FF50CC"/>
    <w:rsid w:val="6A024D1C"/>
    <w:rsid w:val="6A046995"/>
    <w:rsid w:val="6A0C01F6"/>
    <w:rsid w:val="6A105FCC"/>
    <w:rsid w:val="6A161408"/>
    <w:rsid w:val="6A17586A"/>
    <w:rsid w:val="6A181F01"/>
    <w:rsid w:val="6A1C1757"/>
    <w:rsid w:val="6A1D2B9D"/>
    <w:rsid w:val="6A1E20CB"/>
    <w:rsid w:val="6A245933"/>
    <w:rsid w:val="6A262679"/>
    <w:rsid w:val="6A386531"/>
    <w:rsid w:val="6A520EC7"/>
    <w:rsid w:val="6A627569"/>
    <w:rsid w:val="6A630EB6"/>
    <w:rsid w:val="6A682AA6"/>
    <w:rsid w:val="6A6D6639"/>
    <w:rsid w:val="6A6D73F4"/>
    <w:rsid w:val="6A740722"/>
    <w:rsid w:val="6A75693F"/>
    <w:rsid w:val="6A7B13C8"/>
    <w:rsid w:val="6A7E561B"/>
    <w:rsid w:val="6A7E6664"/>
    <w:rsid w:val="6A7F45BF"/>
    <w:rsid w:val="6A8A3B04"/>
    <w:rsid w:val="6A8A3E6E"/>
    <w:rsid w:val="6A8B6AC0"/>
    <w:rsid w:val="6A917F6B"/>
    <w:rsid w:val="6A95643F"/>
    <w:rsid w:val="6A986D66"/>
    <w:rsid w:val="6A9F256B"/>
    <w:rsid w:val="6AA30F4C"/>
    <w:rsid w:val="6AAB7162"/>
    <w:rsid w:val="6AC03BED"/>
    <w:rsid w:val="6AC9421B"/>
    <w:rsid w:val="6ACA3A8C"/>
    <w:rsid w:val="6AD06BC8"/>
    <w:rsid w:val="6AD16ECB"/>
    <w:rsid w:val="6AD919B4"/>
    <w:rsid w:val="6AD95A7D"/>
    <w:rsid w:val="6AEF704E"/>
    <w:rsid w:val="6AF87E20"/>
    <w:rsid w:val="6AF93A8C"/>
    <w:rsid w:val="6B0C560A"/>
    <w:rsid w:val="6B0E2514"/>
    <w:rsid w:val="6B1545EF"/>
    <w:rsid w:val="6B1C3BBC"/>
    <w:rsid w:val="6B20554B"/>
    <w:rsid w:val="6B273F8C"/>
    <w:rsid w:val="6B2A277C"/>
    <w:rsid w:val="6B2F3089"/>
    <w:rsid w:val="6B322639"/>
    <w:rsid w:val="6B38327E"/>
    <w:rsid w:val="6B395A78"/>
    <w:rsid w:val="6B3B0E11"/>
    <w:rsid w:val="6B4002AF"/>
    <w:rsid w:val="6B44347E"/>
    <w:rsid w:val="6B4870D4"/>
    <w:rsid w:val="6B4C26F3"/>
    <w:rsid w:val="6B504DD7"/>
    <w:rsid w:val="6B61159C"/>
    <w:rsid w:val="6B637A3C"/>
    <w:rsid w:val="6B6712DB"/>
    <w:rsid w:val="6B6A79F8"/>
    <w:rsid w:val="6B731183"/>
    <w:rsid w:val="6B79100E"/>
    <w:rsid w:val="6B8227E1"/>
    <w:rsid w:val="6B8579B3"/>
    <w:rsid w:val="6B8B77E1"/>
    <w:rsid w:val="6B8C7F8A"/>
    <w:rsid w:val="6B9A256C"/>
    <w:rsid w:val="6BA24227"/>
    <w:rsid w:val="6BA256BC"/>
    <w:rsid w:val="6BAD0180"/>
    <w:rsid w:val="6BB326AF"/>
    <w:rsid w:val="6BBD4800"/>
    <w:rsid w:val="6BBE4C73"/>
    <w:rsid w:val="6BC056A6"/>
    <w:rsid w:val="6BC32929"/>
    <w:rsid w:val="6BC73B27"/>
    <w:rsid w:val="6BCC4937"/>
    <w:rsid w:val="6BD12BF8"/>
    <w:rsid w:val="6BD55290"/>
    <w:rsid w:val="6BE0016D"/>
    <w:rsid w:val="6BE30CBA"/>
    <w:rsid w:val="6BE35B73"/>
    <w:rsid w:val="6BE474E1"/>
    <w:rsid w:val="6BE623C0"/>
    <w:rsid w:val="6BF11ED7"/>
    <w:rsid w:val="6BF20FCD"/>
    <w:rsid w:val="6BFE5A28"/>
    <w:rsid w:val="6C002B2C"/>
    <w:rsid w:val="6C0074BF"/>
    <w:rsid w:val="6C027255"/>
    <w:rsid w:val="6C05489E"/>
    <w:rsid w:val="6C085FAD"/>
    <w:rsid w:val="6C0A319D"/>
    <w:rsid w:val="6C0C59DE"/>
    <w:rsid w:val="6C0E5BFA"/>
    <w:rsid w:val="6C0F54CE"/>
    <w:rsid w:val="6C1E7194"/>
    <w:rsid w:val="6C200151"/>
    <w:rsid w:val="6C2170FA"/>
    <w:rsid w:val="6C2422E9"/>
    <w:rsid w:val="6C2947E2"/>
    <w:rsid w:val="6C381208"/>
    <w:rsid w:val="6C425C58"/>
    <w:rsid w:val="6C4401DC"/>
    <w:rsid w:val="6C44786E"/>
    <w:rsid w:val="6C4547ED"/>
    <w:rsid w:val="6C565081"/>
    <w:rsid w:val="6C5A0E3F"/>
    <w:rsid w:val="6C5C3403"/>
    <w:rsid w:val="6C5E2254"/>
    <w:rsid w:val="6C5F3041"/>
    <w:rsid w:val="6C636C38"/>
    <w:rsid w:val="6C6460CC"/>
    <w:rsid w:val="6C6E6699"/>
    <w:rsid w:val="6C740892"/>
    <w:rsid w:val="6C7424B3"/>
    <w:rsid w:val="6C81770F"/>
    <w:rsid w:val="6C824AA3"/>
    <w:rsid w:val="6C863717"/>
    <w:rsid w:val="6C8A616E"/>
    <w:rsid w:val="6C8B724B"/>
    <w:rsid w:val="6C9902B9"/>
    <w:rsid w:val="6C9B7BBF"/>
    <w:rsid w:val="6C9D0D2C"/>
    <w:rsid w:val="6CA200F0"/>
    <w:rsid w:val="6CA9147F"/>
    <w:rsid w:val="6CB26C66"/>
    <w:rsid w:val="6CB26F15"/>
    <w:rsid w:val="6CB30FA0"/>
    <w:rsid w:val="6CB53936"/>
    <w:rsid w:val="6CBA6E76"/>
    <w:rsid w:val="6CC30C03"/>
    <w:rsid w:val="6CD40BF2"/>
    <w:rsid w:val="6CE16E6B"/>
    <w:rsid w:val="6CE611D0"/>
    <w:rsid w:val="6CEC5E54"/>
    <w:rsid w:val="6CED277C"/>
    <w:rsid w:val="6CEE1600"/>
    <w:rsid w:val="6CF0373E"/>
    <w:rsid w:val="6CF85E00"/>
    <w:rsid w:val="6D01279B"/>
    <w:rsid w:val="6D0506ED"/>
    <w:rsid w:val="6D102048"/>
    <w:rsid w:val="6D163792"/>
    <w:rsid w:val="6D18699E"/>
    <w:rsid w:val="6D19188A"/>
    <w:rsid w:val="6D1B5985"/>
    <w:rsid w:val="6D1C4347"/>
    <w:rsid w:val="6D326DE0"/>
    <w:rsid w:val="6D34343E"/>
    <w:rsid w:val="6D3450DB"/>
    <w:rsid w:val="6D401DE3"/>
    <w:rsid w:val="6D423DF5"/>
    <w:rsid w:val="6D557F33"/>
    <w:rsid w:val="6D56004B"/>
    <w:rsid w:val="6D5A2D83"/>
    <w:rsid w:val="6D5F52DA"/>
    <w:rsid w:val="6D6C3BC5"/>
    <w:rsid w:val="6D6C4E17"/>
    <w:rsid w:val="6D741B94"/>
    <w:rsid w:val="6D800726"/>
    <w:rsid w:val="6D8505E5"/>
    <w:rsid w:val="6D8927CA"/>
    <w:rsid w:val="6D910891"/>
    <w:rsid w:val="6D9503B7"/>
    <w:rsid w:val="6D963A08"/>
    <w:rsid w:val="6D9A550F"/>
    <w:rsid w:val="6D9E357A"/>
    <w:rsid w:val="6D9F7084"/>
    <w:rsid w:val="6DAA3701"/>
    <w:rsid w:val="6DAF7CE4"/>
    <w:rsid w:val="6DB27AD4"/>
    <w:rsid w:val="6DB34098"/>
    <w:rsid w:val="6DB545B6"/>
    <w:rsid w:val="6DB950CD"/>
    <w:rsid w:val="6DBA0186"/>
    <w:rsid w:val="6DBB3515"/>
    <w:rsid w:val="6DBC2D7B"/>
    <w:rsid w:val="6DBD1686"/>
    <w:rsid w:val="6DBD781E"/>
    <w:rsid w:val="6DC621DF"/>
    <w:rsid w:val="6DD16EDF"/>
    <w:rsid w:val="6DD35943"/>
    <w:rsid w:val="6DD74542"/>
    <w:rsid w:val="6DDB5FB0"/>
    <w:rsid w:val="6DDD068F"/>
    <w:rsid w:val="6DE02FB4"/>
    <w:rsid w:val="6DE24CDE"/>
    <w:rsid w:val="6E043B72"/>
    <w:rsid w:val="6E0A23F1"/>
    <w:rsid w:val="6E153FB5"/>
    <w:rsid w:val="6E18665E"/>
    <w:rsid w:val="6E1A0886"/>
    <w:rsid w:val="6E1E7249"/>
    <w:rsid w:val="6E240944"/>
    <w:rsid w:val="6E260A53"/>
    <w:rsid w:val="6E28413B"/>
    <w:rsid w:val="6E3556C0"/>
    <w:rsid w:val="6E3D0320"/>
    <w:rsid w:val="6E3D233E"/>
    <w:rsid w:val="6E4F1C28"/>
    <w:rsid w:val="6E511DCE"/>
    <w:rsid w:val="6E514CED"/>
    <w:rsid w:val="6E536227"/>
    <w:rsid w:val="6E5C34D4"/>
    <w:rsid w:val="6E5C397C"/>
    <w:rsid w:val="6E69536A"/>
    <w:rsid w:val="6E713DD4"/>
    <w:rsid w:val="6E715AEC"/>
    <w:rsid w:val="6E754E3F"/>
    <w:rsid w:val="6E771B8F"/>
    <w:rsid w:val="6E8757F0"/>
    <w:rsid w:val="6E891568"/>
    <w:rsid w:val="6E906D9A"/>
    <w:rsid w:val="6E9C4A6C"/>
    <w:rsid w:val="6EAD34A8"/>
    <w:rsid w:val="6EB00E7F"/>
    <w:rsid w:val="6EB10C80"/>
    <w:rsid w:val="6EB563D5"/>
    <w:rsid w:val="6EB74327"/>
    <w:rsid w:val="6EBF4F8A"/>
    <w:rsid w:val="6EBF78EC"/>
    <w:rsid w:val="6EC002FA"/>
    <w:rsid w:val="6EC57703"/>
    <w:rsid w:val="6EC84A46"/>
    <w:rsid w:val="6ED07197"/>
    <w:rsid w:val="6ED15704"/>
    <w:rsid w:val="6ED31685"/>
    <w:rsid w:val="6ED92677"/>
    <w:rsid w:val="6EDC5B3C"/>
    <w:rsid w:val="6EF13547"/>
    <w:rsid w:val="6EF74724"/>
    <w:rsid w:val="6EFF5A43"/>
    <w:rsid w:val="6F070DCF"/>
    <w:rsid w:val="6F0873C4"/>
    <w:rsid w:val="6F094457"/>
    <w:rsid w:val="6F0F5F1F"/>
    <w:rsid w:val="6F110A10"/>
    <w:rsid w:val="6F11354B"/>
    <w:rsid w:val="6F12155D"/>
    <w:rsid w:val="6F141779"/>
    <w:rsid w:val="6F14221F"/>
    <w:rsid w:val="6F155E60"/>
    <w:rsid w:val="6F1B640F"/>
    <w:rsid w:val="6F1B698E"/>
    <w:rsid w:val="6F1F7BBE"/>
    <w:rsid w:val="6F202C6E"/>
    <w:rsid w:val="6F225983"/>
    <w:rsid w:val="6F2B6098"/>
    <w:rsid w:val="6F2D628D"/>
    <w:rsid w:val="6F345978"/>
    <w:rsid w:val="6F3E67F6"/>
    <w:rsid w:val="6F41371A"/>
    <w:rsid w:val="6F4356A2"/>
    <w:rsid w:val="6F4638FD"/>
    <w:rsid w:val="6F4661F8"/>
    <w:rsid w:val="6F49568B"/>
    <w:rsid w:val="6F4A6F49"/>
    <w:rsid w:val="6F4B2CC1"/>
    <w:rsid w:val="6F627807"/>
    <w:rsid w:val="6F63000B"/>
    <w:rsid w:val="6F670940"/>
    <w:rsid w:val="6F6A4D73"/>
    <w:rsid w:val="6F7044D6"/>
    <w:rsid w:val="6F7F4B0C"/>
    <w:rsid w:val="6F8545BB"/>
    <w:rsid w:val="6F8C7562"/>
    <w:rsid w:val="6F8E1A63"/>
    <w:rsid w:val="6F917A0E"/>
    <w:rsid w:val="6F9A5386"/>
    <w:rsid w:val="6F9E7295"/>
    <w:rsid w:val="6FAA5FFD"/>
    <w:rsid w:val="6FB152E0"/>
    <w:rsid w:val="6FB73628"/>
    <w:rsid w:val="6FC1496C"/>
    <w:rsid w:val="6FC22F83"/>
    <w:rsid w:val="6FC37D97"/>
    <w:rsid w:val="6FC565D0"/>
    <w:rsid w:val="6FC7306B"/>
    <w:rsid w:val="6FC767EC"/>
    <w:rsid w:val="6FC90A3A"/>
    <w:rsid w:val="6FCF3AAC"/>
    <w:rsid w:val="6FD57803"/>
    <w:rsid w:val="6FD95705"/>
    <w:rsid w:val="6FE44E1B"/>
    <w:rsid w:val="6FE56C72"/>
    <w:rsid w:val="6FF36580"/>
    <w:rsid w:val="6FF45107"/>
    <w:rsid w:val="6FF84AE4"/>
    <w:rsid w:val="6FFC5590"/>
    <w:rsid w:val="70006B53"/>
    <w:rsid w:val="700417EE"/>
    <w:rsid w:val="70066E1D"/>
    <w:rsid w:val="70077C9B"/>
    <w:rsid w:val="700F2C74"/>
    <w:rsid w:val="7016507D"/>
    <w:rsid w:val="70176B00"/>
    <w:rsid w:val="701A60BD"/>
    <w:rsid w:val="701A625D"/>
    <w:rsid w:val="70207CAA"/>
    <w:rsid w:val="7024232F"/>
    <w:rsid w:val="70246BD1"/>
    <w:rsid w:val="702C2ECC"/>
    <w:rsid w:val="702D0DF1"/>
    <w:rsid w:val="703419A7"/>
    <w:rsid w:val="704710EF"/>
    <w:rsid w:val="704E68A9"/>
    <w:rsid w:val="705772E7"/>
    <w:rsid w:val="705B0CE2"/>
    <w:rsid w:val="70667FCC"/>
    <w:rsid w:val="706D0E75"/>
    <w:rsid w:val="706D1DD0"/>
    <w:rsid w:val="70757FF6"/>
    <w:rsid w:val="707A439D"/>
    <w:rsid w:val="707A560C"/>
    <w:rsid w:val="70856B87"/>
    <w:rsid w:val="709140FD"/>
    <w:rsid w:val="70952446"/>
    <w:rsid w:val="709B5583"/>
    <w:rsid w:val="709D754D"/>
    <w:rsid w:val="709F5073"/>
    <w:rsid w:val="709F57E7"/>
    <w:rsid w:val="70A22755"/>
    <w:rsid w:val="70A24B63"/>
    <w:rsid w:val="70A40BCF"/>
    <w:rsid w:val="70B30B1E"/>
    <w:rsid w:val="70B84386"/>
    <w:rsid w:val="70BC11DC"/>
    <w:rsid w:val="70BD686D"/>
    <w:rsid w:val="70C46D83"/>
    <w:rsid w:val="70C61839"/>
    <w:rsid w:val="70D0347E"/>
    <w:rsid w:val="70D43A7C"/>
    <w:rsid w:val="70D527EE"/>
    <w:rsid w:val="70E46F2A"/>
    <w:rsid w:val="70EF6DAB"/>
    <w:rsid w:val="70F13180"/>
    <w:rsid w:val="70F255F9"/>
    <w:rsid w:val="70F31EEC"/>
    <w:rsid w:val="71060F45"/>
    <w:rsid w:val="710B23EA"/>
    <w:rsid w:val="710C3860"/>
    <w:rsid w:val="710D7D5C"/>
    <w:rsid w:val="71174EB4"/>
    <w:rsid w:val="71202BA5"/>
    <w:rsid w:val="71211228"/>
    <w:rsid w:val="71233EF6"/>
    <w:rsid w:val="7126343E"/>
    <w:rsid w:val="71267542"/>
    <w:rsid w:val="712775EE"/>
    <w:rsid w:val="7128128D"/>
    <w:rsid w:val="712D6B22"/>
    <w:rsid w:val="71347EB1"/>
    <w:rsid w:val="71387DC3"/>
    <w:rsid w:val="713E15F0"/>
    <w:rsid w:val="713F23B2"/>
    <w:rsid w:val="714108CF"/>
    <w:rsid w:val="714473A5"/>
    <w:rsid w:val="71494BA2"/>
    <w:rsid w:val="714B36AC"/>
    <w:rsid w:val="714B6FA9"/>
    <w:rsid w:val="714B7A67"/>
    <w:rsid w:val="715256E4"/>
    <w:rsid w:val="71526F91"/>
    <w:rsid w:val="71553388"/>
    <w:rsid w:val="715B5300"/>
    <w:rsid w:val="71685655"/>
    <w:rsid w:val="716B012B"/>
    <w:rsid w:val="716C3796"/>
    <w:rsid w:val="716D5171"/>
    <w:rsid w:val="716F2578"/>
    <w:rsid w:val="71710739"/>
    <w:rsid w:val="7171208C"/>
    <w:rsid w:val="717C7155"/>
    <w:rsid w:val="718129CA"/>
    <w:rsid w:val="71825C81"/>
    <w:rsid w:val="71880AA7"/>
    <w:rsid w:val="71914519"/>
    <w:rsid w:val="719170B1"/>
    <w:rsid w:val="71983907"/>
    <w:rsid w:val="71995F66"/>
    <w:rsid w:val="719C64C8"/>
    <w:rsid w:val="719D21B7"/>
    <w:rsid w:val="719E16ED"/>
    <w:rsid w:val="71A35F1E"/>
    <w:rsid w:val="71B94BD3"/>
    <w:rsid w:val="71BC663C"/>
    <w:rsid w:val="71C11B1B"/>
    <w:rsid w:val="71C33897"/>
    <w:rsid w:val="71C41481"/>
    <w:rsid w:val="71CC085C"/>
    <w:rsid w:val="71CE7EEC"/>
    <w:rsid w:val="71D27F8A"/>
    <w:rsid w:val="71DD2D6F"/>
    <w:rsid w:val="71DF7668"/>
    <w:rsid w:val="71EE0A1A"/>
    <w:rsid w:val="71F53DF6"/>
    <w:rsid w:val="71F8472A"/>
    <w:rsid w:val="71FD7328"/>
    <w:rsid w:val="72053A20"/>
    <w:rsid w:val="720553A9"/>
    <w:rsid w:val="720A44AC"/>
    <w:rsid w:val="720F02FF"/>
    <w:rsid w:val="721119BA"/>
    <w:rsid w:val="722312C2"/>
    <w:rsid w:val="72231757"/>
    <w:rsid w:val="72257894"/>
    <w:rsid w:val="72265841"/>
    <w:rsid w:val="72301F16"/>
    <w:rsid w:val="723247C0"/>
    <w:rsid w:val="723A7D3A"/>
    <w:rsid w:val="723C62EB"/>
    <w:rsid w:val="723E4C53"/>
    <w:rsid w:val="72406E13"/>
    <w:rsid w:val="72520748"/>
    <w:rsid w:val="72553024"/>
    <w:rsid w:val="72575AC4"/>
    <w:rsid w:val="725B1366"/>
    <w:rsid w:val="726456AF"/>
    <w:rsid w:val="726F6CC7"/>
    <w:rsid w:val="7274704B"/>
    <w:rsid w:val="72760055"/>
    <w:rsid w:val="728A58AF"/>
    <w:rsid w:val="728D3D7E"/>
    <w:rsid w:val="729A17FF"/>
    <w:rsid w:val="729A1F96"/>
    <w:rsid w:val="729B6D42"/>
    <w:rsid w:val="729C260C"/>
    <w:rsid w:val="729D3834"/>
    <w:rsid w:val="729F5682"/>
    <w:rsid w:val="72A9383C"/>
    <w:rsid w:val="72AA493F"/>
    <w:rsid w:val="72AC3A77"/>
    <w:rsid w:val="72B0266E"/>
    <w:rsid w:val="72B172DF"/>
    <w:rsid w:val="72B654DE"/>
    <w:rsid w:val="72C241D7"/>
    <w:rsid w:val="72C25048"/>
    <w:rsid w:val="72C543B2"/>
    <w:rsid w:val="72C61335"/>
    <w:rsid w:val="72CF7590"/>
    <w:rsid w:val="72D562BE"/>
    <w:rsid w:val="72D8486C"/>
    <w:rsid w:val="72E17BC5"/>
    <w:rsid w:val="72EE1F48"/>
    <w:rsid w:val="72F25567"/>
    <w:rsid w:val="72FE412D"/>
    <w:rsid w:val="73104F88"/>
    <w:rsid w:val="73122968"/>
    <w:rsid w:val="73131D48"/>
    <w:rsid w:val="73171838"/>
    <w:rsid w:val="7318129F"/>
    <w:rsid w:val="731C0BFD"/>
    <w:rsid w:val="731F1F0A"/>
    <w:rsid w:val="731F5D5E"/>
    <w:rsid w:val="73217534"/>
    <w:rsid w:val="73277640"/>
    <w:rsid w:val="732B52E4"/>
    <w:rsid w:val="732E17AA"/>
    <w:rsid w:val="73310FF5"/>
    <w:rsid w:val="73334198"/>
    <w:rsid w:val="7335217D"/>
    <w:rsid w:val="733F48EB"/>
    <w:rsid w:val="734406C2"/>
    <w:rsid w:val="7349117E"/>
    <w:rsid w:val="734A20E3"/>
    <w:rsid w:val="734C1B53"/>
    <w:rsid w:val="73535EAF"/>
    <w:rsid w:val="73573A3C"/>
    <w:rsid w:val="735919E8"/>
    <w:rsid w:val="73591C63"/>
    <w:rsid w:val="735A1BBD"/>
    <w:rsid w:val="73621D19"/>
    <w:rsid w:val="73665F8F"/>
    <w:rsid w:val="736D3D7A"/>
    <w:rsid w:val="737A54A1"/>
    <w:rsid w:val="737F118B"/>
    <w:rsid w:val="738635F8"/>
    <w:rsid w:val="738667B2"/>
    <w:rsid w:val="73922C6D"/>
    <w:rsid w:val="739269E7"/>
    <w:rsid w:val="73930642"/>
    <w:rsid w:val="739376BD"/>
    <w:rsid w:val="739817DB"/>
    <w:rsid w:val="73A51066"/>
    <w:rsid w:val="73AA0F95"/>
    <w:rsid w:val="73AB6C53"/>
    <w:rsid w:val="73AD7AA7"/>
    <w:rsid w:val="73B0192A"/>
    <w:rsid w:val="73B2330F"/>
    <w:rsid w:val="73B74BBB"/>
    <w:rsid w:val="73BB0416"/>
    <w:rsid w:val="73BC23E0"/>
    <w:rsid w:val="73C1731B"/>
    <w:rsid w:val="73C40A0C"/>
    <w:rsid w:val="73C51AD5"/>
    <w:rsid w:val="73CB3648"/>
    <w:rsid w:val="73D15FD8"/>
    <w:rsid w:val="73D249CA"/>
    <w:rsid w:val="73D4588D"/>
    <w:rsid w:val="73D74052"/>
    <w:rsid w:val="73D96AEE"/>
    <w:rsid w:val="73DC038C"/>
    <w:rsid w:val="73E0177E"/>
    <w:rsid w:val="73E37D45"/>
    <w:rsid w:val="73EB5998"/>
    <w:rsid w:val="73EC454B"/>
    <w:rsid w:val="73ED63CB"/>
    <w:rsid w:val="73F531FC"/>
    <w:rsid w:val="73F66A45"/>
    <w:rsid w:val="73F97190"/>
    <w:rsid w:val="740578E3"/>
    <w:rsid w:val="7406165C"/>
    <w:rsid w:val="74077E17"/>
    <w:rsid w:val="74086835"/>
    <w:rsid w:val="740F5947"/>
    <w:rsid w:val="74105A7B"/>
    <w:rsid w:val="741130C2"/>
    <w:rsid w:val="74130252"/>
    <w:rsid w:val="741E793C"/>
    <w:rsid w:val="74235EE9"/>
    <w:rsid w:val="742658AF"/>
    <w:rsid w:val="74333AEA"/>
    <w:rsid w:val="74354DE7"/>
    <w:rsid w:val="74437176"/>
    <w:rsid w:val="744D62DD"/>
    <w:rsid w:val="744F2080"/>
    <w:rsid w:val="745E3944"/>
    <w:rsid w:val="7464044B"/>
    <w:rsid w:val="7468064F"/>
    <w:rsid w:val="746A5998"/>
    <w:rsid w:val="746C2AF3"/>
    <w:rsid w:val="74753ED1"/>
    <w:rsid w:val="747C21A6"/>
    <w:rsid w:val="747E49DC"/>
    <w:rsid w:val="747F300B"/>
    <w:rsid w:val="74845D7A"/>
    <w:rsid w:val="74847D67"/>
    <w:rsid w:val="748E5B2A"/>
    <w:rsid w:val="748F3650"/>
    <w:rsid w:val="748F53FE"/>
    <w:rsid w:val="74913CDB"/>
    <w:rsid w:val="74A215D5"/>
    <w:rsid w:val="74A504FB"/>
    <w:rsid w:val="74A7099A"/>
    <w:rsid w:val="74AF138B"/>
    <w:rsid w:val="74B25CE4"/>
    <w:rsid w:val="74B41381"/>
    <w:rsid w:val="74B549A6"/>
    <w:rsid w:val="74B952D1"/>
    <w:rsid w:val="74BB2697"/>
    <w:rsid w:val="74C538E2"/>
    <w:rsid w:val="74CE598A"/>
    <w:rsid w:val="74D10E5E"/>
    <w:rsid w:val="74D6302D"/>
    <w:rsid w:val="74E53270"/>
    <w:rsid w:val="74EC0A46"/>
    <w:rsid w:val="74F00593"/>
    <w:rsid w:val="74F03DA5"/>
    <w:rsid w:val="74F05224"/>
    <w:rsid w:val="74F17E67"/>
    <w:rsid w:val="74F24240"/>
    <w:rsid w:val="74F3767F"/>
    <w:rsid w:val="74F8039F"/>
    <w:rsid w:val="74F84384"/>
    <w:rsid w:val="74FB6305"/>
    <w:rsid w:val="74FC4CBF"/>
    <w:rsid w:val="74FD2A1F"/>
    <w:rsid w:val="74FF4D62"/>
    <w:rsid w:val="750162FC"/>
    <w:rsid w:val="7511521F"/>
    <w:rsid w:val="7513602F"/>
    <w:rsid w:val="751B6869"/>
    <w:rsid w:val="751C7025"/>
    <w:rsid w:val="752C70F1"/>
    <w:rsid w:val="7534043B"/>
    <w:rsid w:val="753A35BC"/>
    <w:rsid w:val="753B008D"/>
    <w:rsid w:val="753C37D8"/>
    <w:rsid w:val="753F6E24"/>
    <w:rsid w:val="75412B9C"/>
    <w:rsid w:val="754B070D"/>
    <w:rsid w:val="75510906"/>
    <w:rsid w:val="75593AE0"/>
    <w:rsid w:val="755A7620"/>
    <w:rsid w:val="755E430D"/>
    <w:rsid w:val="75616D9B"/>
    <w:rsid w:val="75631380"/>
    <w:rsid w:val="75687088"/>
    <w:rsid w:val="75780187"/>
    <w:rsid w:val="75793595"/>
    <w:rsid w:val="75882579"/>
    <w:rsid w:val="75904EFD"/>
    <w:rsid w:val="75A90DBF"/>
    <w:rsid w:val="75B6497C"/>
    <w:rsid w:val="75C44A3F"/>
    <w:rsid w:val="75CE5AB7"/>
    <w:rsid w:val="75D25EEA"/>
    <w:rsid w:val="75DA202D"/>
    <w:rsid w:val="75E5336E"/>
    <w:rsid w:val="75E638AD"/>
    <w:rsid w:val="75F7471B"/>
    <w:rsid w:val="75FC5D5F"/>
    <w:rsid w:val="75FE2CE0"/>
    <w:rsid w:val="760140DA"/>
    <w:rsid w:val="760B1329"/>
    <w:rsid w:val="760B7EA1"/>
    <w:rsid w:val="760C26F5"/>
    <w:rsid w:val="760E3B60"/>
    <w:rsid w:val="76124539"/>
    <w:rsid w:val="761429BF"/>
    <w:rsid w:val="7614520D"/>
    <w:rsid w:val="76174892"/>
    <w:rsid w:val="761F0F50"/>
    <w:rsid w:val="762532FA"/>
    <w:rsid w:val="76343691"/>
    <w:rsid w:val="7635099D"/>
    <w:rsid w:val="763D2262"/>
    <w:rsid w:val="763E156A"/>
    <w:rsid w:val="764176B6"/>
    <w:rsid w:val="76427114"/>
    <w:rsid w:val="764B30A7"/>
    <w:rsid w:val="764C0E19"/>
    <w:rsid w:val="764E40FB"/>
    <w:rsid w:val="76543952"/>
    <w:rsid w:val="765E5DE1"/>
    <w:rsid w:val="766275E4"/>
    <w:rsid w:val="766723EC"/>
    <w:rsid w:val="766763B9"/>
    <w:rsid w:val="76692FDA"/>
    <w:rsid w:val="766B2A9C"/>
    <w:rsid w:val="766D0137"/>
    <w:rsid w:val="76701109"/>
    <w:rsid w:val="76765BDA"/>
    <w:rsid w:val="76790114"/>
    <w:rsid w:val="767E179B"/>
    <w:rsid w:val="7691418B"/>
    <w:rsid w:val="76AE32B2"/>
    <w:rsid w:val="76AE410D"/>
    <w:rsid w:val="76B06540"/>
    <w:rsid w:val="76BD3E98"/>
    <w:rsid w:val="76CB6D8E"/>
    <w:rsid w:val="76CF7FE3"/>
    <w:rsid w:val="76D11704"/>
    <w:rsid w:val="76D14277"/>
    <w:rsid w:val="76D17F50"/>
    <w:rsid w:val="76DA5EF6"/>
    <w:rsid w:val="76DB14E4"/>
    <w:rsid w:val="76DB6325"/>
    <w:rsid w:val="77001CCC"/>
    <w:rsid w:val="770138D0"/>
    <w:rsid w:val="77106CCA"/>
    <w:rsid w:val="77194B93"/>
    <w:rsid w:val="771C7050"/>
    <w:rsid w:val="77297D8C"/>
    <w:rsid w:val="77335758"/>
    <w:rsid w:val="774A5A26"/>
    <w:rsid w:val="77556255"/>
    <w:rsid w:val="77613082"/>
    <w:rsid w:val="776A0B8D"/>
    <w:rsid w:val="777617F1"/>
    <w:rsid w:val="77762421"/>
    <w:rsid w:val="777C4360"/>
    <w:rsid w:val="777D6FE5"/>
    <w:rsid w:val="778B00FF"/>
    <w:rsid w:val="778E54E5"/>
    <w:rsid w:val="779813BC"/>
    <w:rsid w:val="779A73D7"/>
    <w:rsid w:val="77AF37B4"/>
    <w:rsid w:val="77B26E63"/>
    <w:rsid w:val="77B43AFA"/>
    <w:rsid w:val="77B56B1F"/>
    <w:rsid w:val="77BB00B2"/>
    <w:rsid w:val="77BE61CE"/>
    <w:rsid w:val="77C13E3B"/>
    <w:rsid w:val="77C16289"/>
    <w:rsid w:val="77CA513A"/>
    <w:rsid w:val="77CB733A"/>
    <w:rsid w:val="77D575CC"/>
    <w:rsid w:val="77D72A16"/>
    <w:rsid w:val="77D84AA6"/>
    <w:rsid w:val="77DB6516"/>
    <w:rsid w:val="77E76CF1"/>
    <w:rsid w:val="77E96C2B"/>
    <w:rsid w:val="77F54ECD"/>
    <w:rsid w:val="77F66C0A"/>
    <w:rsid w:val="77FA2FB1"/>
    <w:rsid w:val="78006A99"/>
    <w:rsid w:val="780660FE"/>
    <w:rsid w:val="78076BBD"/>
    <w:rsid w:val="780F09F4"/>
    <w:rsid w:val="780F44FF"/>
    <w:rsid w:val="78182F2B"/>
    <w:rsid w:val="78195C06"/>
    <w:rsid w:val="781A4199"/>
    <w:rsid w:val="7828485B"/>
    <w:rsid w:val="782F5514"/>
    <w:rsid w:val="783152AD"/>
    <w:rsid w:val="78364152"/>
    <w:rsid w:val="784015DF"/>
    <w:rsid w:val="784052C2"/>
    <w:rsid w:val="78410BAE"/>
    <w:rsid w:val="78443B11"/>
    <w:rsid w:val="78463D4B"/>
    <w:rsid w:val="78552DAB"/>
    <w:rsid w:val="78564BB1"/>
    <w:rsid w:val="785901FD"/>
    <w:rsid w:val="785B0036"/>
    <w:rsid w:val="78632AB8"/>
    <w:rsid w:val="786819F4"/>
    <w:rsid w:val="78683339"/>
    <w:rsid w:val="78713799"/>
    <w:rsid w:val="78727511"/>
    <w:rsid w:val="7875421F"/>
    <w:rsid w:val="78766A58"/>
    <w:rsid w:val="787A3AFF"/>
    <w:rsid w:val="788334CC"/>
    <w:rsid w:val="788D7852"/>
    <w:rsid w:val="789631FF"/>
    <w:rsid w:val="78A90480"/>
    <w:rsid w:val="78C36CEF"/>
    <w:rsid w:val="78C6652F"/>
    <w:rsid w:val="78C733B9"/>
    <w:rsid w:val="78C93005"/>
    <w:rsid w:val="78CA10FB"/>
    <w:rsid w:val="78CB1691"/>
    <w:rsid w:val="78CE2353"/>
    <w:rsid w:val="78D21D5D"/>
    <w:rsid w:val="78D4544A"/>
    <w:rsid w:val="78DC5206"/>
    <w:rsid w:val="78F62B70"/>
    <w:rsid w:val="78F743CB"/>
    <w:rsid w:val="78FC70FD"/>
    <w:rsid w:val="79023CAC"/>
    <w:rsid w:val="790B332C"/>
    <w:rsid w:val="790C4793"/>
    <w:rsid w:val="79167E9C"/>
    <w:rsid w:val="791A3E30"/>
    <w:rsid w:val="79262756"/>
    <w:rsid w:val="792F3A2C"/>
    <w:rsid w:val="792F72FA"/>
    <w:rsid w:val="79305402"/>
    <w:rsid w:val="79311314"/>
    <w:rsid w:val="793131C9"/>
    <w:rsid w:val="79315CE5"/>
    <w:rsid w:val="79366790"/>
    <w:rsid w:val="79432739"/>
    <w:rsid w:val="79476FC3"/>
    <w:rsid w:val="794A3440"/>
    <w:rsid w:val="794C0F3F"/>
    <w:rsid w:val="794E3B0E"/>
    <w:rsid w:val="794F0ED7"/>
    <w:rsid w:val="79500D88"/>
    <w:rsid w:val="79555700"/>
    <w:rsid w:val="79611BE6"/>
    <w:rsid w:val="796230E1"/>
    <w:rsid w:val="79623FAF"/>
    <w:rsid w:val="79624D62"/>
    <w:rsid w:val="79661B64"/>
    <w:rsid w:val="79667794"/>
    <w:rsid w:val="797C7439"/>
    <w:rsid w:val="797E7C8C"/>
    <w:rsid w:val="79891228"/>
    <w:rsid w:val="798A6E87"/>
    <w:rsid w:val="798E588D"/>
    <w:rsid w:val="79903729"/>
    <w:rsid w:val="79906ADF"/>
    <w:rsid w:val="79A0417F"/>
    <w:rsid w:val="79A14E1B"/>
    <w:rsid w:val="79AA31AA"/>
    <w:rsid w:val="79AE4C9F"/>
    <w:rsid w:val="79B31ACC"/>
    <w:rsid w:val="79B871A5"/>
    <w:rsid w:val="79B966E4"/>
    <w:rsid w:val="79C33452"/>
    <w:rsid w:val="79C915BA"/>
    <w:rsid w:val="79CB29D0"/>
    <w:rsid w:val="79D25452"/>
    <w:rsid w:val="79E8796C"/>
    <w:rsid w:val="79F24465"/>
    <w:rsid w:val="79F67462"/>
    <w:rsid w:val="79FA0EC6"/>
    <w:rsid w:val="7A04331F"/>
    <w:rsid w:val="7A064BE3"/>
    <w:rsid w:val="7A072B13"/>
    <w:rsid w:val="7A195E96"/>
    <w:rsid w:val="7A1D26C5"/>
    <w:rsid w:val="7A1D29C9"/>
    <w:rsid w:val="7A242CD6"/>
    <w:rsid w:val="7A2D69E0"/>
    <w:rsid w:val="7A364017"/>
    <w:rsid w:val="7A407E45"/>
    <w:rsid w:val="7A42603D"/>
    <w:rsid w:val="7A440A39"/>
    <w:rsid w:val="7A440F08"/>
    <w:rsid w:val="7A461F44"/>
    <w:rsid w:val="7A483021"/>
    <w:rsid w:val="7A4B1DA0"/>
    <w:rsid w:val="7A666C01"/>
    <w:rsid w:val="7A700F87"/>
    <w:rsid w:val="7A7C6B54"/>
    <w:rsid w:val="7A7F1A0A"/>
    <w:rsid w:val="7A8265E1"/>
    <w:rsid w:val="7A840B20"/>
    <w:rsid w:val="7A8E3857"/>
    <w:rsid w:val="7A910122"/>
    <w:rsid w:val="7A9279F6"/>
    <w:rsid w:val="7A9453D2"/>
    <w:rsid w:val="7A982167"/>
    <w:rsid w:val="7AA17C39"/>
    <w:rsid w:val="7AA5597C"/>
    <w:rsid w:val="7AA6235C"/>
    <w:rsid w:val="7AAD7E72"/>
    <w:rsid w:val="7AB02B68"/>
    <w:rsid w:val="7AB20447"/>
    <w:rsid w:val="7AB80DF1"/>
    <w:rsid w:val="7AB94F83"/>
    <w:rsid w:val="7ABE4881"/>
    <w:rsid w:val="7AC5601E"/>
    <w:rsid w:val="7AD40EB3"/>
    <w:rsid w:val="7AD74A7D"/>
    <w:rsid w:val="7AD92BC6"/>
    <w:rsid w:val="7AE03DFA"/>
    <w:rsid w:val="7AE34E80"/>
    <w:rsid w:val="7AEC48E5"/>
    <w:rsid w:val="7AEC500C"/>
    <w:rsid w:val="7AED49B8"/>
    <w:rsid w:val="7AEF1740"/>
    <w:rsid w:val="7AFA6EEF"/>
    <w:rsid w:val="7B0F3CC0"/>
    <w:rsid w:val="7B114DBF"/>
    <w:rsid w:val="7B191C40"/>
    <w:rsid w:val="7B1A6954"/>
    <w:rsid w:val="7B277E6E"/>
    <w:rsid w:val="7B2E6262"/>
    <w:rsid w:val="7B335DA0"/>
    <w:rsid w:val="7B4F1153"/>
    <w:rsid w:val="7B5022EF"/>
    <w:rsid w:val="7B5171F4"/>
    <w:rsid w:val="7B563466"/>
    <w:rsid w:val="7B56391E"/>
    <w:rsid w:val="7B5657B2"/>
    <w:rsid w:val="7B57736A"/>
    <w:rsid w:val="7B683A21"/>
    <w:rsid w:val="7B686D42"/>
    <w:rsid w:val="7B7419DE"/>
    <w:rsid w:val="7B753EA6"/>
    <w:rsid w:val="7B7E49BA"/>
    <w:rsid w:val="7B83269F"/>
    <w:rsid w:val="7B841746"/>
    <w:rsid w:val="7B875081"/>
    <w:rsid w:val="7B8E01BE"/>
    <w:rsid w:val="7B9300CC"/>
    <w:rsid w:val="7B944376"/>
    <w:rsid w:val="7B9E3DD4"/>
    <w:rsid w:val="7B9E5D2E"/>
    <w:rsid w:val="7BB221E0"/>
    <w:rsid w:val="7BB65339"/>
    <w:rsid w:val="7BC0087A"/>
    <w:rsid w:val="7BC850D1"/>
    <w:rsid w:val="7BCB1190"/>
    <w:rsid w:val="7BD17534"/>
    <w:rsid w:val="7BD21935"/>
    <w:rsid w:val="7BD5390A"/>
    <w:rsid w:val="7BD61030"/>
    <w:rsid w:val="7BDD1E8F"/>
    <w:rsid w:val="7BF96096"/>
    <w:rsid w:val="7BFC152D"/>
    <w:rsid w:val="7BFC41D8"/>
    <w:rsid w:val="7C0121E8"/>
    <w:rsid w:val="7C0F5C02"/>
    <w:rsid w:val="7C1209D2"/>
    <w:rsid w:val="7C15268D"/>
    <w:rsid w:val="7C1911D7"/>
    <w:rsid w:val="7C1F350C"/>
    <w:rsid w:val="7C296138"/>
    <w:rsid w:val="7C2A3CF7"/>
    <w:rsid w:val="7C361B41"/>
    <w:rsid w:val="7C376AA7"/>
    <w:rsid w:val="7C3A7DD2"/>
    <w:rsid w:val="7C3D63F2"/>
    <w:rsid w:val="7C3F02CE"/>
    <w:rsid w:val="7C41563C"/>
    <w:rsid w:val="7C4D2775"/>
    <w:rsid w:val="7C4F208D"/>
    <w:rsid w:val="7C50697D"/>
    <w:rsid w:val="7C536F1D"/>
    <w:rsid w:val="7C544ED6"/>
    <w:rsid w:val="7C55299D"/>
    <w:rsid w:val="7C5A2E49"/>
    <w:rsid w:val="7C5D270E"/>
    <w:rsid w:val="7C5F7DAC"/>
    <w:rsid w:val="7C611D76"/>
    <w:rsid w:val="7C650718"/>
    <w:rsid w:val="7C6C5AC7"/>
    <w:rsid w:val="7C6D4277"/>
    <w:rsid w:val="7C6E6B8A"/>
    <w:rsid w:val="7C7A5C40"/>
    <w:rsid w:val="7C7D5428"/>
    <w:rsid w:val="7C90434B"/>
    <w:rsid w:val="7C9A4184"/>
    <w:rsid w:val="7C9A581B"/>
    <w:rsid w:val="7C9B7036"/>
    <w:rsid w:val="7C9C658A"/>
    <w:rsid w:val="7CA26617"/>
    <w:rsid w:val="7CA552F2"/>
    <w:rsid w:val="7CA57EB5"/>
    <w:rsid w:val="7CA73C2D"/>
    <w:rsid w:val="7CAF2AE1"/>
    <w:rsid w:val="7CB523D5"/>
    <w:rsid w:val="7CC106FD"/>
    <w:rsid w:val="7CC31340"/>
    <w:rsid w:val="7CC6544B"/>
    <w:rsid w:val="7CCB71F0"/>
    <w:rsid w:val="7CD15BBF"/>
    <w:rsid w:val="7CE4244F"/>
    <w:rsid w:val="7CE90426"/>
    <w:rsid w:val="7CE92583"/>
    <w:rsid w:val="7CF93F03"/>
    <w:rsid w:val="7CFB46B2"/>
    <w:rsid w:val="7D020E63"/>
    <w:rsid w:val="7D0239FF"/>
    <w:rsid w:val="7D056BA5"/>
    <w:rsid w:val="7D094564"/>
    <w:rsid w:val="7D0B72D7"/>
    <w:rsid w:val="7D0C1CE2"/>
    <w:rsid w:val="7D101D52"/>
    <w:rsid w:val="7D106346"/>
    <w:rsid w:val="7D16490F"/>
    <w:rsid w:val="7D1B3CD3"/>
    <w:rsid w:val="7D276B1C"/>
    <w:rsid w:val="7D2B08E9"/>
    <w:rsid w:val="7D32101D"/>
    <w:rsid w:val="7D397B0B"/>
    <w:rsid w:val="7D532676"/>
    <w:rsid w:val="7D553689"/>
    <w:rsid w:val="7D593F03"/>
    <w:rsid w:val="7D5D253D"/>
    <w:rsid w:val="7D5E40CD"/>
    <w:rsid w:val="7D600537"/>
    <w:rsid w:val="7D617D5B"/>
    <w:rsid w:val="7D6531A0"/>
    <w:rsid w:val="7D6E0CAE"/>
    <w:rsid w:val="7D6E2861"/>
    <w:rsid w:val="7D851DEF"/>
    <w:rsid w:val="7D8A2C07"/>
    <w:rsid w:val="7D8E07D5"/>
    <w:rsid w:val="7D8F4523"/>
    <w:rsid w:val="7D943A85"/>
    <w:rsid w:val="7D9A5540"/>
    <w:rsid w:val="7D9A565E"/>
    <w:rsid w:val="7D9D1B22"/>
    <w:rsid w:val="7D9F2B56"/>
    <w:rsid w:val="7D9F4FD9"/>
    <w:rsid w:val="7DA20010"/>
    <w:rsid w:val="7DA61EDB"/>
    <w:rsid w:val="7DAA24A1"/>
    <w:rsid w:val="7DAC0DCF"/>
    <w:rsid w:val="7DB13B00"/>
    <w:rsid w:val="7DB94214"/>
    <w:rsid w:val="7DC1441A"/>
    <w:rsid w:val="7DCD56F2"/>
    <w:rsid w:val="7DD42C77"/>
    <w:rsid w:val="7DD44C5B"/>
    <w:rsid w:val="7DD6268E"/>
    <w:rsid w:val="7DD91C4A"/>
    <w:rsid w:val="7DDA0125"/>
    <w:rsid w:val="7DDA1DE0"/>
    <w:rsid w:val="7DE5284B"/>
    <w:rsid w:val="7DE72D57"/>
    <w:rsid w:val="7DEB5D9B"/>
    <w:rsid w:val="7DEC566F"/>
    <w:rsid w:val="7E0209DC"/>
    <w:rsid w:val="7E024E93"/>
    <w:rsid w:val="7E033FF9"/>
    <w:rsid w:val="7E03553F"/>
    <w:rsid w:val="7E0A1FE8"/>
    <w:rsid w:val="7E0A340A"/>
    <w:rsid w:val="7E0D5D12"/>
    <w:rsid w:val="7E1C016D"/>
    <w:rsid w:val="7E306BB0"/>
    <w:rsid w:val="7E37177C"/>
    <w:rsid w:val="7E372D8F"/>
    <w:rsid w:val="7E392DF0"/>
    <w:rsid w:val="7E410CCE"/>
    <w:rsid w:val="7E551527"/>
    <w:rsid w:val="7E6915DF"/>
    <w:rsid w:val="7E76313D"/>
    <w:rsid w:val="7E782429"/>
    <w:rsid w:val="7E894EB5"/>
    <w:rsid w:val="7E8A123F"/>
    <w:rsid w:val="7E91373E"/>
    <w:rsid w:val="7E944892"/>
    <w:rsid w:val="7E9C40F0"/>
    <w:rsid w:val="7E9D4C4B"/>
    <w:rsid w:val="7EAD6283"/>
    <w:rsid w:val="7EAF49DC"/>
    <w:rsid w:val="7EB443DF"/>
    <w:rsid w:val="7EB74D84"/>
    <w:rsid w:val="7EC00FD6"/>
    <w:rsid w:val="7EC95B89"/>
    <w:rsid w:val="7ECF2AA6"/>
    <w:rsid w:val="7ED61786"/>
    <w:rsid w:val="7ED82BB8"/>
    <w:rsid w:val="7EDF40D3"/>
    <w:rsid w:val="7EDF6FBE"/>
    <w:rsid w:val="7EE0457D"/>
    <w:rsid w:val="7EE53156"/>
    <w:rsid w:val="7EE60B91"/>
    <w:rsid w:val="7EE771E5"/>
    <w:rsid w:val="7EE822DB"/>
    <w:rsid w:val="7EEA06DB"/>
    <w:rsid w:val="7EEB5653"/>
    <w:rsid w:val="7EEE75E6"/>
    <w:rsid w:val="7EF01082"/>
    <w:rsid w:val="7F001CE7"/>
    <w:rsid w:val="7F012A78"/>
    <w:rsid w:val="7F07702A"/>
    <w:rsid w:val="7F096CEA"/>
    <w:rsid w:val="7F0A046A"/>
    <w:rsid w:val="7F0E1A63"/>
    <w:rsid w:val="7F1135E0"/>
    <w:rsid w:val="7F15031C"/>
    <w:rsid w:val="7F16586C"/>
    <w:rsid w:val="7F186083"/>
    <w:rsid w:val="7F1B6FEC"/>
    <w:rsid w:val="7F1C37ED"/>
    <w:rsid w:val="7F2A6313"/>
    <w:rsid w:val="7F2F7F0A"/>
    <w:rsid w:val="7F3217A8"/>
    <w:rsid w:val="7F370B6C"/>
    <w:rsid w:val="7F385010"/>
    <w:rsid w:val="7F3B240A"/>
    <w:rsid w:val="7F4039CC"/>
    <w:rsid w:val="7F464B70"/>
    <w:rsid w:val="7F511C2E"/>
    <w:rsid w:val="7F513528"/>
    <w:rsid w:val="7F596D35"/>
    <w:rsid w:val="7F5B221B"/>
    <w:rsid w:val="7F6C2F0C"/>
    <w:rsid w:val="7F6E1A2A"/>
    <w:rsid w:val="7F6E56CC"/>
    <w:rsid w:val="7F7324E1"/>
    <w:rsid w:val="7F743B6E"/>
    <w:rsid w:val="7F7B09F4"/>
    <w:rsid w:val="7F861AB3"/>
    <w:rsid w:val="7F8F7C24"/>
    <w:rsid w:val="7F9A1D82"/>
    <w:rsid w:val="7F9B3D14"/>
    <w:rsid w:val="7FA6194A"/>
    <w:rsid w:val="7FA97CBC"/>
    <w:rsid w:val="7FAA3D8F"/>
    <w:rsid w:val="7FAA77C4"/>
    <w:rsid w:val="7FB94F07"/>
    <w:rsid w:val="7FB95316"/>
    <w:rsid w:val="7FC05959"/>
    <w:rsid w:val="7FC55B14"/>
    <w:rsid w:val="7FC73101"/>
    <w:rsid w:val="7FC96B48"/>
    <w:rsid w:val="7FCC7A47"/>
    <w:rsid w:val="7FD36D34"/>
    <w:rsid w:val="7FD445BD"/>
    <w:rsid w:val="7FD50933"/>
    <w:rsid w:val="7FDE351B"/>
    <w:rsid w:val="7FE47E50"/>
    <w:rsid w:val="7FE64A6C"/>
    <w:rsid w:val="7FF2453E"/>
    <w:rsid w:val="7FF515A3"/>
    <w:rsid w:val="7FF72A04"/>
    <w:rsid w:val="7FF73220"/>
    <w:rsid w:val="7FF74A1C"/>
    <w:rsid w:val="7FFC3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qFormat="1" w:unhideWhenUsed="0" w:uiPriority="39" w:semiHidden="0" w:name="toc 1" w:locked="1"/>
    <w:lsdException w:uiPriority="0" w:name="toc 2" w:locked="1"/>
    <w:lsdException w:qFormat="1" w:unhideWhenUsed="0" w:uiPriority="0"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ocked="1"/>
    <w:lsdException w:uiPriority="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ocked="1"/>
    <w:lsdException w:qFormat="1" w:unhideWhenUsed="0" w:uiPriority="0" w:semiHidden="0"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0" w:name="annotation reference"/>
    <w:lsdException w:uiPriority="0" w:name="line number" w:locked="1"/>
    <w:lsdException w:qFormat="1" w:unhideWhenUsed="0" w:uiPriority="0" w:semiHidden="0" w:name="page number" w:locked="1"/>
    <w:lsdException w:uiPriority="0" w:name="endnote reference" w:locked="1"/>
    <w:lsdException w:uiPriority="0" w:name="endnote text" w:locked="1"/>
    <w:lsdException w:uiPriority="0" w:name="table of authorities" w:locked="1"/>
    <w:lsdException w:unhideWhenUsed="0" w:uiPriority="0" w:semiHidden="0" w:name="macro" w:locked="1"/>
    <w:lsdException w:uiPriority="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qFormat="1" w:unhideWhenUsed="0" w:uiPriority="0" w:semiHidden="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uiPriority="0"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ocked="1"/>
    <w:lsdException w:uiPriority="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iPriority="0" w:name="Salutation" w:locked="1"/>
    <w:lsdException w:qFormat="1" w:unhideWhenUsed="0" w:uiPriority="0" w:semiHidden="0" w:name="Date"/>
    <w:lsdException w:qFormat="1" w:unhideWhenUsed="0" w:uiPriority="0" w:semiHidden="0" w:name="Body Text First Indent" w:locked="1"/>
    <w:lsdException w:qFormat="1" w:uiPriority="99" w:semiHidden="0" w:name="Body Text First Indent 2" w:locked="1"/>
    <w:lsdException w:uiPriority="0" w:name="Note Heading" w:locked="1"/>
    <w:lsdException w:qFormat="1" w:uiPriority="99" w:semiHidden="0" w:name="Body Text 2" w:locked="1"/>
    <w:lsdException w:uiPriority="0" w:name="Body Text 3" w:locked="1"/>
    <w:lsdException w:qFormat="1" w:unhideWhenUsed="0" w:uiPriority="0" w:semiHidden="0" w:name="Body Text Indent 2" w:locked="1"/>
    <w:lsdException w:qFormat="1" w:unhideWhenUsed="0" w:uiPriority="0" w:semiHidden="0" w:name="Body Text Indent 3" w:locked="1"/>
    <w:lsdException w:uiPriority="0" w:name="Block Text" w:locked="1"/>
    <w:lsdException w:qFormat="1" w:unhideWhenUsed="0" w:uiPriority="99" w:semiHidden="0" w:name="Hyperlink" w:locked="1"/>
    <w:lsdException w:uiPriority="99" w:name="FollowedHyperlink" w:locked="1"/>
    <w:lsdException w:qFormat="1" w:unhideWhenUsed="0" w:uiPriority="22"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uiPriority="0" w:name="E-mail Signature" w:locked="1"/>
    <w:lsdException w:qFormat="1" w:unhideWhenUsed="0" w:uiPriority="0"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autoRedefine/>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autoRedefine/>
    <w:qFormat/>
    <w:locked/>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autoRedefine/>
    <w:qFormat/>
    <w:locked/>
    <w:uiPriority w:val="0"/>
    <w:pPr>
      <w:numPr>
        <w:ilvl w:val="2"/>
        <w:numId w:val="1"/>
      </w:numPr>
      <w:outlineLvl w:val="2"/>
    </w:pPr>
    <w:rPr>
      <w:rFonts w:ascii="黑体" w:hAnsi="Cambria" w:eastAsia="黑体"/>
      <w:bCs/>
      <w:color w:val="000000"/>
      <w:kern w:val="28"/>
      <w:sz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link w:val="39"/>
    <w:qFormat/>
    <w:locked/>
    <w:uiPriority w:val="0"/>
    <w:pPr>
      <w:snapToGrid w:val="0"/>
      <w:spacing w:line="480" w:lineRule="exact"/>
      <w:ind w:firstLine="482" w:firstLineChars="200"/>
    </w:pPr>
    <w:rPr>
      <w:b/>
      <w:color w:val="FF0000"/>
      <w:szCs w:val="21"/>
    </w:rPr>
  </w:style>
  <w:style w:type="paragraph" w:customStyle="1" w:styleId="6">
    <w:name w:val="正文首行缩进2个字 Char"/>
    <w:basedOn w:val="1"/>
    <w:qFormat/>
    <w:uiPriority w:val="0"/>
    <w:pPr>
      <w:ind w:firstLine="480" w:firstLineChars="200"/>
    </w:pPr>
    <w:rPr>
      <w:rFonts w:eastAsia="楷体"/>
    </w:rPr>
  </w:style>
  <w:style w:type="paragraph" w:styleId="7">
    <w:name w:val="caption"/>
    <w:basedOn w:val="1"/>
    <w:next w:val="1"/>
    <w:link w:val="40"/>
    <w:autoRedefine/>
    <w:qFormat/>
    <w:locked/>
    <w:uiPriority w:val="0"/>
    <w:pPr>
      <w:overflowPunct w:val="0"/>
      <w:topLinePunct/>
      <w:autoSpaceDN w:val="0"/>
      <w:adjustRightInd w:val="0"/>
    </w:pPr>
    <w:rPr>
      <w:bCs/>
      <w:szCs w:val="20"/>
    </w:rPr>
  </w:style>
  <w:style w:type="paragraph" w:styleId="8">
    <w:name w:val="Document Map"/>
    <w:basedOn w:val="1"/>
    <w:link w:val="130"/>
    <w:qFormat/>
    <w:locked/>
    <w:uiPriority w:val="0"/>
    <w:rPr>
      <w:rFonts w:ascii="宋体"/>
      <w:sz w:val="18"/>
      <w:szCs w:val="18"/>
    </w:rPr>
  </w:style>
  <w:style w:type="paragraph" w:styleId="9">
    <w:name w:val="annotation text"/>
    <w:basedOn w:val="1"/>
    <w:link w:val="41"/>
    <w:autoRedefine/>
    <w:semiHidden/>
    <w:qFormat/>
    <w:uiPriority w:val="0"/>
    <w:pPr>
      <w:jc w:val="left"/>
    </w:pPr>
    <w:rPr>
      <w:kern w:val="0"/>
      <w:szCs w:val="20"/>
    </w:rPr>
  </w:style>
  <w:style w:type="paragraph" w:styleId="10">
    <w:name w:val="Body Text"/>
    <w:basedOn w:val="1"/>
    <w:link w:val="42"/>
    <w:autoRedefine/>
    <w:qFormat/>
    <w:uiPriority w:val="0"/>
    <w:pPr>
      <w:widowControl/>
      <w:snapToGrid w:val="0"/>
      <w:spacing w:before="60" w:after="160" w:line="259" w:lineRule="auto"/>
      <w:ind w:right="113"/>
    </w:pPr>
    <w:rPr>
      <w:kern w:val="0"/>
      <w:sz w:val="18"/>
      <w:szCs w:val="20"/>
    </w:rPr>
  </w:style>
  <w:style w:type="paragraph" w:styleId="11">
    <w:name w:val="Body Text Indent"/>
    <w:basedOn w:val="1"/>
    <w:link w:val="43"/>
    <w:autoRedefine/>
    <w:qFormat/>
    <w:uiPriority w:val="0"/>
    <w:pPr>
      <w:spacing w:after="120"/>
      <w:ind w:left="420" w:leftChars="200"/>
    </w:pPr>
  </w:style>
  <w:style w:type="paragraph" w:styleId="12">
    <w:name w:val="toc 3"/>
    <w:basedOn w:val="1"/>
    <w:next w:val="1"/>
    <w:autoRedefine/>
    <w:qFormat/>
    <w:locked/>
    <w:uiPriority w:val="0"/>
    <w:pPr>
      <w:ind w:left="420"/>
      <w:jc w:val="left"/>
    </w:pPr>
    <w:rPr>
      <w:i/>
      <w:sz w:val="20"/>
      <w:szCs w:val="20"/>
    </w:rPr>
  </w:style>
  <w:style w:type="paragraph" w:styleId="13">
    <w:name w:val="Plain Text"/>
    <w:basedOn w:val="1"/>
    <w:link w:val="44"/>
    <w:autoRedefine/>
    <w:qFormat/>
    <w:locked/>
    <w:uiPriority w:val="0"/>
    <w:rPr>
      <w:rFonts w:ascii="宋体" w:hAnsi="Courier New"/>
      <w:szCs w:val="20"/>
    </w:rPr>
  </w:style>
  <w:style w:type="paragraph" w:styleId="14">
    <w:name w:val="List Bullet 5"/>
    <w:basedOn w:val="1"/>
    <w:autoRedefine/>
    <w:qFormat/>
    <w:locked/>
    <w:uiPriority w:val="0"/>
    <w:pPr>
      <w:numPr>
        <w:ilvl w:val="0"/>
        <w:numId w:val="2"/>
      </w:numPr>
    </w:pPr>
  </w:style>
  <w:style w:type="paragraph" w:styleId="15">
    <w:name w:val="Date"/>
    <w:basedOn w:val="1"/>
    <w:next w:val="1"/>
    <w:link w:val="45"/>
    <w:autoRedefine/>
    <w:qFormat/>
    <w:uiPriority w:val="0"/>
    <w:pPr>
      <w:ind w:left="100" w:leftChars="2500"/>
    </w:pPr>
    <w:rPr>
      <w:kern w:val="0"/>
      <w:szCs w:val="20"/>
    </w:rPr>
  </w:style>
  <w:style w:type="paragraph" w:styleId="16">
    <w:name w:val="Body Text Indent 2"/>
    <w:basedOn w:val="1"/>
    <w:autoRedefine/>
    <w:qFormat/>
    <w:locked/>
    <w:uiPriority w:val="0"/>
    <w:pPr>
      <w:spacing w:before="240" w:line="360" w:lineRule="auto"/>
      <w:ind w:firstLine="560" w:firstLineChars="200"/>
    </w:pPr>
    <w:rPr>
      <w:sz w:val="28"/>
    </w:rPr>
  </w:style>
  <w:style w:type="paragraph" w:styleId="17">
    <w:name w:val="Balloon Text"/>
    <w:basedOn w:val="1"/>
    <w:link w:val="46"/>
    <w:autoRedefine/>
    <w:semiHidden/>
    <w:qFormat/>
    <w:uiPriority w:val="0"/>
    <w:rPr>
      <w:kern w:val="0"/>
      <w:sz w:val="18"/>
      <w:szCs w:val="20"/>
    </w:rPr>
  </w:style>
  <w:style w:type="paragraph" w:styleId="18">
    <w:name w:val="footer"/>
    <w:basedOn w:val="1"/>
    <w:link w:val="47"/>
    <w:autoRedefine/>
    <w:qFormat/>
    <w:uiPriority w:val="99"/>
    <w:pPr>
      <w:tabs>
        <w:tab w:val="center" w:pos="4153"/>
        <w:tab w:val="right" w:pos="8306"/>
      </w:tabs>
      <w:snapToGrid w:val="0"/>
      <w:jc w:val="center"/>
    </w:pPr>
    <w:rPr>
      <w:kern w:val="0"/>
      <w:szCs w:val="20"/>
    </w:rPr>
  </w:style>
  <w:style w:type="paragraph" w:styleId="19">
    <w:name w:val="header"/>
    <w:basedOn w:val="1"/>
    <w:next w:val="20"/>
    <w:link w:val="48"/>
    <w:autoRedefine/>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0">
    <w:name w:val="样式5"/>
    <w:basedOn w:val="21"/>
    <w:next w:val="1"/>
    <w:autoRedefine/>
    <w:qFormat/>
    <w:uiPriority w:val="0"/>
    <w:pPr>
      <w:spacing w:beforeLines="20" w:afterLines="20" w:line="480" w:lineRule="exact"/>
      <w:ind w:firstLine="523" w:firstLineChars="218"/>
    </w:pPr>
    <w:rPr>
      <w:i/>
      <w:iCs/>
      <w:sz w:val="24"/>
    </w:rPr>
  </w:style>
  <w:style w:type="paragraph" w:customStyle="1" w:styleId="21">
    <w:name w:val="正文1"/>
    <w:basedOn w:val="22"/>
    <w:next w:val="1"/>
    <w:autoRedefine/>
    <w:qFormat/>
    <w:uiPriority w:val="0"/>
    <w:pPr>
      <w:adjustRightInd w:val="0"/>
      <w:snapToGrid w:val="0"/>
      <w:spacing w:line="500" w:lineRule="atLeast"/>
      <w:ind w:firstLine="567"/>
    </w:pPr>
    <w:rPr>
      <w:sz w:val="28"/>
    </w:rPr>
  </w:style>
  <w:style w:type="paragraph" w:styleId="22">
    <w:name w:val="Body Text 2"/>
    <w:basedOn w:val="1"/>
    <w:autoRedefine/>
    <w:unhideWhenUsed/>
    <w:qFormat/>
    <w:locked/>
    <w:uiPriority w:val="99"/>
    <w:pPr>
      <w:spacing w:line="420" w:lineRule="auto"/>
      <w:jc w:val="center"/>
    </w:pPr>
    <w:rPr>
      <w:rFonts w:ascii="楷体_GB2312" w:eastAsia="楷体_GB2312"/>
      <w:szCs w:val="20"/>
    </w:rPr>
  </w:style>
  <w:style w:type="paragraph" w:styleId="23">
    <w:name w:val="toc 1"/>
    <w:basedOn w:val="1"/>
    <w:next w:val="1"/>
    <w:autoRedefine/>
    <w:qFormat/>
    <w:locked/>
    <w:uiPriority w:val="39"/>
  </w:style>
  <w:style w:type="paragraph" w:styleId="24">
    <w:name w:val="List"/>
    <w:basedOn w:val="1"/>
    <w:autoRedefine/>
    <w:qFormat/>
    <w:locked/>
    <w:uiPriority w:val="0"/>
    <w:pPr>
      <w:adjustRightInd w:val="0"/>
      <w:spacing w:line="560" w:lineRule="atLeast"/>
      <w:ind w:left="420" w:hanging="420"/>
    </w:pPr>
    <w:rPr>
      <w:rFonts w:hint="eastAsia" w:ascii="仿宋_GB2312" w:eastAsia="仿宋_GB2312"/>
      <w:color w:val="000000"/>
      <w:kern w:val="0"/>
      <w:sz w:val="32"/>
      <w:szCs w:val="20"/>
    </w:rPr>
  </w:style>
  <w:style w:type="paragraph" w:styleId="25">
    <w:name w:val="Body Text Indent 3"/>
    <w:basedOn w:val="1"/>
    <w:autoRedefine/>
    <w:qFormat/>
    <w:locked/>
    <w:uiPriority w:val="0"/>
    <w:pPr>
      <w:ind w:firstLine="480"/>
    </w:pPr>
    <w:rPr>
      <w:rFonts w:ascii="新宋体" w:hAnsi="新宋体" w:eastAsia="新宋体"/>
      <w:kern w:val="0"/>
    </w:rPr>
  </w:style>
  <w:style w:type="paragraph" w:styleId="26">
    <w:name w:val="Normal (Web)"/>
    <w:basedOn w:val="1"/>
    <w:link w:val="49"/>
    <w:qFormat/>
    <w:uiPriority w:val="0"/>
    <w:pPr>
      <w:widowControl/>
      <w:spacing w:before="100" w:beforeAutospacing="1" w:after="100" w:afterAutospacing="1"/>
      <w:jc w:val="center"/>
      <w:outlineLvl w:val="0"/>
    </w:pPr>
    <w:rPr>
      <w:rFonts w:ascii="宋体" w:hAnsi="宋体"/>
      <w:snapToGrid w:val="0"/>
      <w:kern w:val="0"/>
      <w:szCs w:val="20"/>
    </w:rPr>
  </w:style>
  <w:style w:type="paragraph" w:styleId="27">
    <w:name w:val="annotation subject"/>
    <w:basedOn w:val="9"/>
    <w:next w:val="9"/>
    <w:link w:val="50"/>
    <w:autoRedefine/>
    <w:semiHidden/>
    <w:qFormat/>
    <w:uiPriority w:val="0"/>
    <w:rPr>
      <w:b/>
    </w:rPr>
  </w:style>
  <w:style w:type="paragraph" w:styleId="28">
    <w:name w:val="Body Text First Indent"/>
    <w:basedOn w:val="10"/>
    <w:next w:val="5"/>
    <w:autoRedefine/>
    <w:qFormat/>
    <w:locked/>
    <w:uiPriority w:val="0"/>
    <w:pPr>
      <w:spacing w:after="120" w:line="240" w:lineRule="auto"/>
      <w:ind w:firstLine="420" w:firstLineChars="100"/>
    </w:pPr>
    <w:rPr>
      <w:sz w:val="21"/>
    </w:rPr>
  </w:style>
  <w:style w:type="paragraph" w:styleId="29">
    <w:name w:val="Body Text First Indent 2"/>
    <w:basedOn w:val="11"/>
    <w:link w:val="51"/>
    <w:autoRedefine/>
    <w:unhideWhenUsed/>
    <w:qFormat/>
    <w:locked/>
    <w:uiPriority w:val="99"/>
    <w:pPr>
      <w:spacing w:after="0"/>
      <w:ind w:left="0" w:leftChars="0"/>
    </w:pPr>
    <w:rPr>
      <w:kern w:val="0"/>
    </w:rPr>
  </w:style>
  <w:style w:type="table" w:styleId="31">
    <w:name w:val="Table Grid"/>
    <w:basedOn w:val="3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locked/>
    <w:uiPriority w:val="22"/>
    <w:rPr>
      <w:b/>
      <w:bCs/>
    </w:rPr>
  </w:style>
  <w:style w:type="character" w:styleId="34">
    <w:name w:val="page number"/>
    <w:basedOn w:val="32"/>
    <w:autoRedefine/>
    <w:qFormat/>
    <w:locked/>
    <w:uiPriority w:val="0"/>
  </w:style>
  <w:style w:type="character" w:styleId="35">
    <w:name w:val="Hyperlink"/>
    <w:basedOn w:val="32"/>
    <w:autoRedefine/>
    <w:qFormat/>
    <w:locked/>
    <w:uiPriority w:val="99"/>
    <w:rPr>
      <w:color w:val="0000FF"/>
      <w:u w:val="single"/>
    </w:rPr>
  </w:style>
  <w:style w:type="character" w:styleId="36">
    <w:name w:val="annotation reference"/>
    <w:autoRedefine/>
    <w:semiHidden/>
    <w:qFormat/>
    <w:uiPriority w:val="0"/>
    <w:rPr>
      <w:sz w:val="21"/>
    </w:rPr>
  </w:style>
  <w:style w:type="paragraph" w:customStyle="1" w:styleId="37">
    <w:name w:val="样式 正文文本缩进 + 行距: 1.5 倍行距"/>
    <w:basedOn w:val="38"/>
    <w:next w:val="1"/>
    <w:autoRedefine/>
    <w:qFormat/>
    <w:uiPriority w:val="0"/>
    <w:pPr>
      <w:spacing w:line="360" w:lineRule="auto"/>
      <w:ind w:left="90" w:leftChars="32" w:firstLine="560" w:firstLineChars="200"/>
    </w:pPr>
    <w:rPr>
      <w:rFonts w:cs="宋体"/>
    </w:rPr>
  </w:style>
  <w:style w:type="paragraph" w:customStyle="1" w:styleId="38">
    <w:name w:val="正文文本缩进1"/>
    <w:basedOn w:val="1"/>
    <w:next w:val="37"/>
    <w:autoRedefine/>
    <w:qFormat/>
    <w:uiPriority w:val="0"/>
    <w:pPr>
      <w:spacing w:after="120"/>
      <w:ind w:left="420" w:leftChars="200"/>
    </w:pPr>
  </w:style>
  <w:style w:type="character" w:customStyle="1" w:styleId="39">
    <w:name w:val="正文缩进 字符"/>
    <w:link w:val="5"/>
    <w:qFormat/>
    <w:uiPriority w:val="0"/>
    <w:rPr>
      <w:b/>
      <w:color w:val="FF0000"/>
      <w:kern w:val="2"/>
      <w:sz w:val="24"/>
      <w:szCs w:val="21"/>
    </w:rPr>
  </w:style>
  <w:style w:type="character" w:customStyle="1" w:styleId="40">
    <w:name w:val="题注 字符"/>
    <w:link w:val="7"/>
    <w:qFormat/>
    <w:uiPriority w:val="0"/>
    <w:rPr>
      <w:bCs/>
      <w:kern w:val="2"/>
      <w:sz w:val="24"/>
    </w:rPr>
  </w:style>
  <w:style w:type="character" w:customStyle="1" w:styleId="41">
    <w:name w:val="批注文字 字符"/>
    <w:link w:val="9"/>
    <w:autoRedefine/>
    <w:qFormat/>
    <w:locked/>
    <w:uiPriority w:val="0"/>
    <w:rPr>
      <w:rFonts w:ascii="Times New Roman" w:hAnsi="Times New Roman" w:eastAsia="宋体"/>
      <w:sz w:val="24"/>
    </w:rPr>
  </w:style>
  <w:style w:type="character" w:customStyle="1" w:styleId="42">
    <w:name w:val="正文文本 字符"/>
    <w:link w:val="10"/>
    <w:autoRedefine/>
    <w:qFormat/>
    <w:locked/>
    <w:uiPriority w:val="0"/>
    <w:rPr>
      <w:sz w:val="18"/>
    </w:rPr>
  </w:style>
  <w:style w:type="character" w:customStyle="1" w:styleId="43">
    <w:name w:val="正文文本缩进 字符"/>
    <w:basedOn w:val="32"/>
    <w:link w:val="11"/>
    <w:autoRedefine/>
    <w:semiHidden/>
    <w:qFormat/>
    <w:locked/>
    <w:uiPriority w:val="0"/>
    <w:rPr>
      <w:rFonts w:ascii="Times New Roman" w:hAnsi="Times New Roman" w:eastAsia="宋体"/>
      <w:sz w:val="24"/>
    </w:rPr>
  </w:style>
  <w:style w:type="character" w:customStyle="1" w:styleId="44">
    <w:name w:val="纯文本 字符"/>
    <w:link w:val="13"/>
    <w:qFormat/>
    <w:uiPriority w:val="0"/>
    <w:rPr>
      <w:rFonts w:ascii="宋体" w:hAnsi="Courier New"/>
      <w:kern w:val="2"/>
      <w:sz w:val="24"/>
    </w:rPr>
  </w:style>
  <w:style w:type="character" w:customStyle="1" w:styleId="45">
    <w:name w:val="日期 字符1"/>
    <w:link w:val="15"/>
    <w:autoRedefine/>
    <w:qFormat/>
    <w:locked/>
    <w:uiPriority w:val="0"/>
    <w:rPr>
      <w:rFonts w:ascii="Times New Roman" w:hAnsi="Times New Roman" w:eastAsia="宋体"/>
      <w:sz w:val="24"/>
    </w:rPr>
  </w:style>
  <w:style w:type="character" w:customStyle="1" w:styleId="46">
    <w:name w:val="批注框文本 字符"/>
    <w:link w:val="17"/>
    <w:autoRedefine/>
    <w:semiHidden/>
    <w:qFormat/>
    <w:locked/>
    <w:uiPriority w:val="0"/>
    <w:rPr>
      <w:rFonts w:ascii="Times New Roman" w:hAnsi="Times New Roman" w:eastAsia="宋体"/>
      <w:sz w:val="18"/>
    </w:rPr>
  </w:style>
  <w:style w:type="character" w:customStyle="1" w:styleId="47">
    <w:name w:val="页脚 字符1"/>
    <w:link w:val="18"/>
    <w:autoRedefine/>
    <w:qFormat/>
    <w:locked/>
    <w:uiPriority w:val="99"/>
    <w:rPr>
      <w:sz w:val="24"/>
    </w:rPr>
  </w:style>
  <w:style w:type="character" w:customStyle="1" w:styleId="48">
    <w:name w:val="页眉 字符"/>
    <w:link w:val="19"/>
    <w:autoRedefine/>
    <w:qFormat/>
    <w:locked/>
    <w:uiPriority w:val="0"/>
    <w:rPr>
      <w:sz w:val="18"/>
    </w:rPr>
  </w:style>
  <w:style w:type="character" w:customStyle="1" w:styleId="49">
    <w:name w:val="普通(网站) 字符"/>
    <w:link w:val="26"/>
    <w:autoRedefine/>
    <w:qFormat/>
    <w:locked/>
    <w:uiPriority w:val="0"/>
    <w:rPr>
      <w:rFonts w:ascii="宋体" w:hAnsi="宋体"/>
      <w:snapToGrid w:val="0"/>
      <w:sz w:val="24"/>
    </w:rPr>
  </w:style>
  <w:style w:type="character" w:customStyle="1" w:styleId="50">
    <w:name w:val="批注主题 字符"/>
    <w:link w:val="27"/>
    <w:autoRedefine/>
    <w:semiHidden/>
    <w:qFormat/>
    <w:locked/>
    <w:uiPriority w:val="0"/>
    <w:rPr>
      <w:rFonts w:ascii="Times New Roman" w:hAnsi="Times New Roman" w:eastAsia="宋体"/>
      <w:b/>
      <w:kern w:val="2"/>
      <w:sz w:val="24"/>
    </w:rPr>
  </w:style>
  <w:style w:type="character" w:customStyle="1" w:styleId="51">
    <w:name w:val="正文文本首行缩进 2 字符"/>
    <w:basedOn w:val="43"/>
    <w:link w:val="29"/>
    <w:qFormat/>
    <w:uiPriority w:val="99"/>
    <w:rPr>
      <w:rFonts w:ascii="Times New Roman" w:hAnsi="Times New Roman" w:eastAsia="宋体"/>
      <w:sz w:val="24"/>
      <w:szCs w:val="24"/>
    </w:rPr>
  </w:style>
  <w:style w:type="paragraph" w:customStyle="1" w:styleId="52">
    <w:name w:val="样式 标题 1一级标题 + 段前: 0.5 行 段后: 0.5 行"/>
    <w:basedOn w:val="2"/>
    <w:autoRedefine/>
    <w:qFormat/>
    <w:uiPriority w:val="99"/>
    <w:pPr>
      <w:spacing w:line="320" w:lineRule="exact"/>
      <w:outlineLvl w:val="9"/>
    </w:pPr>
    <w:rPr>
      <w:spacing w:val="-6"/>
      <w:sz w:val="21"/>
      <w:szCs w:val="21"/>
    </w:rPr>
  </w:style>
  <w:style w:type="paragraph" w:customStyle="1" w:styleId="53">
    <w:name w:val="Date1"/>
    <w:basedOn w:val="1"/>
    <w:next w:val="1"/>
    <w:autoRedefine/>
    <w:qFormat/>
    <w:uiPriority w:val="0"/>
    <w:rPr>
      <w:sz w:val="21"/>
      <w:szCs w:val="20"/>
    </w:rPr>
  </w:style>
  <w:style w:type="paragraph" w:customStyle="1" w:styleId="54">
    <w:name w:val="正文文本缩进2"/>
    <w:basedOn w:val="1"/>
    <w:next w:val="37"/>
    <w:autoRedefine/>
    <w:qFormat/>
    <w:uiPriority w:val="0"/>
    <w:pPr>
      <w:spacing w:after="120"/>
      <w:ind w:left="420" w:leftChars="200"/>
    </w:pPr>
  </w:style>
  <w:style w:type="paragraph" w:customStyle="1" w:styleId="55">
    <w:name w:val="char"/>
    <w:basedOn w:val="1"/>
    <w:autoRedefine/>
    <w:qFormat/>
    <w:uiPriority w:val="0"/>
    <w:pPr>
      <w:widowControl/>
      <w:spacing w:after="160" w:line="240" w:lineRule="exact"/>
      <w:jc w:val="left"/>
    </w:pPr>
  </w:style>
  <w:style w:type="paragraph" w:customStyle="1" w:styleId="56">
    <w:name w:val="正文文本缩进111"/>
    <w:basedOn w:val="1"/>
    <w:next w:val="37"/>
    <w:autoRedefine/>
    <w:qFormat/>
    <w:uiPriority w:val="0"/>
    <w:pPr>
      <w:spacing w:after="120"/>
      <w:ind w:left="420" w:leftChars="200"/>
    </w:pPr>
  </w:style>
  <w:style w:type="paragraph" w:customStyle="1" w:styleId="57">
    <w:name w:val="正文文本缩进11"/>
    <w:basedOn w:val="1"/>
    <w:next w:val="37"/>
    <w:autoRedefine/>
    <w:qFormat/>
    <w:uiPriority w:val="0"/>
    <w:pPr>
      <w:ind w:left="420" w:leftChars="200"/>
    </w:pPr>
  </w:style>
  <w:style w:type="character" w:customStyle="1" w:styleId="58">
    <w:name w:val="页脚 字符"/>
    <w:basedOn w:val="32"/>
    <w:autoRedefine/>
    <w:qFormat/>
    <w:uiPriority w:val="99"/>
  </w:style>
  <w:style w:type="character" w:customStyle="1" w:styleId="59">
    <w:name w:val="fontstyle21"/>
    <w:basedOn w:val="32"/>
    <w:autoRedefine/>
    <w:qFormat/>
    <w:uiPriority w:val="0"/>
    <w:rPr>
      <w:rFonts w:ascii="TimesNewRomanPSMT" w:hAnsi="TimesNewRomanPSMT" w:eastAsia="TimesNewRomanPSMT" w:cs="TimesNewRomanPSMT"/>
      <w:color w:val="000000"/>
      <w:sz w:val="24"/>
      <w:szCs w:val="24"/>
    </w:rPr>
  </w:style>
  <w:style w:type="character" w:customStyle="1" w:styleId="60">
    <w:name w:val="正文文本 字符1"/>
    <w:autoRedefine/>
    <w:semiHidden/>
    <w:qFormat/>
    <w:uiPriority w:val="0"/>
    <w:rPr>
      <w:rFonts w:ascii="Times New Roman" w:hAnsi="Times New Roman" w:eastAsia="宋体"/>
      <w:sz w:val="24"/>
    </w:rPr>
  </w:style>
  <w:style w:type="character" w:customStyle="1" w:styleId="61">
    <w:name w:val="批注文字 字符1"/>
    <w:autoRedefine/>
    <w:semiHidden/>
    <w:qFormat/>
    <w:uiPriority w:val="0"/>
    <w:rPr>
      <w:rFonts w:ascii="Times New Roman" w:hAnsi="Times New Roman" w:eastAsia="宋体"/>
      <w:sz w:val="24"/>
    </w:rPr>
  </w:style>
  <w:style w:type="character" w:customStyle="1" w:styleId="62">
    <w:name w:val="fontstyle11"/>
    <w:basedOn w:val="32"/>
    <w:autoRedefine/>
    <w:qFormat/>
    <w:uiPriority w:val="0"/>
    <w:rPr>
      <w:rFonts w:ascii="宋体" w:hAnsi="宋体" w:eastAsia="宋体" w:cs="宋体"/>
      <w:color w:val="000000"/>
      <w:sz w:val="24"/>
      <w:szCs w:val="24"/>
    </w:rPr>
  </w:style>
  <w:style w:type="character" w:customStyle="1" w:styleId="63">
    <w:name w:val="表格 Char"/>
    <w:link w:val="64"/>
    <w:autoRedefine/>
    <w:qFormat/>
    <w:locked/>
    <w:uiPriority w:val="0"/>
    <w:rPr>
      <w:b/>
      <w:sz w:val="24"/>
    </w:rPr>
  </w:style>
  <w:style w:type="paragraph" w:customStyle="1" w:styleId="64">
    <w:name w:val="表格"/>
    <w:basedOn w:val="1"/>
    <w:next w:val="1"/>
    <w:link w:val="63"/>
    <w:qFormat/>
    <w:uiPriority w:val="0"/>
    <w:pPr>
      <w:adjustRightInd w:val="0"/>
      <w:snapToGrid w:val="0"/>
      <w:spacing w:before="24" w:after="24" w:line="360" w:lineRule="auto"/>
      <w:ind w:firstLine="482" w:firstLineChars="200"/>
    </w:pPr>
    <w:rPr>
      <w:b/>
      <w:kern w:val="0"/>
      <w:szCs w:val="20"/>
    </w:rPr>
  </w:style>
  <w:style w:type="character" w:customStyle="1" w:styleId="65">
    <w:name w:val="日期 字符"/>
    <w:autoRedefine/>
    <w:semiHidden/>
    <w:qFormat/>
    <w:uiPriority w:val="0"/>
    <w:rPr>
      <w:rFonts w:ascii="Times New Roman" w:hAnsi="Times New Roman" w:eastAsia="宋体"/>
      <w:sz w:val="24"/>
    </w:rPr>
  </w:style>
  <w:style w:type="character" w:customStyle="1" w:styleId="66">
    <w:name w:val="fontstyle01"/>
    <w:basedOn w:val="32"/>
    <w:autoRedefine/>
    <w:qFormat/>
    <w:uiPriority w:val="0"/>
    <w:rPr>
      <w:rFonts w:ascii="宋体" w:hAnsi="宋体" w:eastAsia="宋体" w:cs="宋体"/>
      <w:color w:val="000000"/>
      <w:sz w:val="24"/>
      <w:szCs w:val="24"/>
    </w:rPr>
  </w:style>
  <w:style w:type="character" w:customStyle="1" w:styleId="67">
    <w:name w:val="fontstyle31"/>
    <w:basedOn w:val="32"/>
    <w:autoRedefine/>
    <w:qFormat/>
    <w:uiPriority w:val="0"/>
    <w:rPr>
      <w:rFonts w:ascii="TimesNewRomanPSMT" w:hAnsi="TimesNewRomanPSMT" w:eastAsia="TimesNewRomanPSMT" w:cs="TimesNewRomanPSMT"/>
      <w:color w:val="000000"/>
      <w:sz w:val="24"/>
      <w:szCs w:val="24"/>
    </w:rPr>
  </w:style>
  <w:style w:type="paragraph" w:customStyle="1" w:styleId="68">
    <w:name w:val="Table Paragraph"/>
    <w:basedOn w:val="1"/>
    <w:link w:val="181"/>
    <w:autoRedefine/>
    <w:qFormat/>
    <w:uiPriority w:val="1"/>
    <w:pPr>
      <w:adjustRightInd w:val="0"/>
      <w:snapToGrid w:val="0"/>
      <w:spacing w:line="200" w:lineRule="exact"/>
      <w:ind w:left="79"/>
      <w:jc w:val="center"/>
    </w:pPr>
    <w:rPr>
      <w:rFonts w:cs="宋体"/>
      <w:sz w:val="18"/>
      <w:szCs w:val="18"/>
      <w:lang w:val="zh-CN" w:bidi="zh-CN"/>
    </w:rPr>
  </w:style>
  <w:style w:type="paragraph" w:customStyle="1" w:styleId="69">
    <w:name w:val="表格标题"/>
    <w:basedOn w:val="1"/>
    <w:link w:val="182"/>
    <w:autoRedefine/>
    <w:qFormat/>
    <w:uiPriority w:val="0"/>
    <w:pPr>
      <w:keepNext/>
      <w:adjustRightInd w:val="0"/>
      <w:spacing w:before="40" w:after="20"/>
      <w:jc w:val="center"/>
      <w:textAlignment w:val="baseline"/>
    </w:pPr>
    <w:rPr>
      <w:szCs w:val="20"/>
    </w:rPr>
  </w:style>
  <w:style w:type="paragraph" w:customStyle="1" w:styleId="70">
    <w:name w:val="表格内容"/>
    <w:basedOn w:val="1"/>
    <w:autoRedefine/>
    <w:qFormat/>
    <w:uiPriority w:val="0"/>
    <w:pPr>
      <w:adjustRightInd w:val="0"/>
      <w:snapToGrid w:val="0"/>
      <w:jc w:val="center"/>
    </w:pPr>
    <w:rPr>
      <w:color w:val="000000"/>
      <w:szCs w:val="21"/>
    </w:rPr>
  </w:style>
  <w:style w:type="paragraph" w:customStyle="1" w:styleId="71">
    <w:name w:val="正文，文本"/>
    <w:basedOn w:val="1"/>
    <w:autoRedefine/>
    <w:qFormat/>
    <w:uiPriority w:val="0"/>
    <w:pPr>
      <w:spacing w:line="360" w:lineRule="auto"/>
      <w:ind w:firstLine="480" w:firstLineChars="200"/>
    </w:pPr>
    <w:rPr>
      <w:rFonts w:cs="宋体"/>
    </w:rPr>
  </w:style>
  <w:style w:type="paragraph" w:customStyle="1" w:styleId="72">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74">
    <w:name w:val="普通(网站)2"/>
    <w:basedOn w:val="1"/>
    <w:autoRedefine/>
    <w:qFormat/>
    <w:uiPriority w:val="0"/>
    <w:pPr>
      <w:widowControl/>
      <w:spacing w:before="100" w:beforeAutospacing="1" w:after="100" w:afterAutospacing="1"/>
      <w:jc w:val="left"/>
    </w:pPr>
    <w:rPr>
      <w:rFonts w:ascii="宋体" w:hAnsi="宋体"/>
      <w:szCs w:val="20"/>
    </w:rPr>
  </w:style>
  <w:style w:type="paragraph" w:customStyle="1" w:styleId="75">
    <w:name w:val="表、图标题"/>
    <w:basedOn w:val="1"/>
    <w:autoRedefine/>
    <w:qFormat/>
    <w:uiPriority w:val="0"/>
    <w:pPr>
      <w:topLinePunct/>
      <w:adjustRightInd w:val="0"/>
      <w:snapToGrid w:val="0"/>
      <w:spacing w:line="480" w:lineRule="exact"/>
      <w:jc w:val="center"/>
    </w:pPr>
    <w:rPr>
      <w:b/>
      <w:caps/>
      <w:kern w:val="16"/>
    </w:rPr>
  </w:style>
  <w:style w:type="paragraph" w:customStyle="1" w:styleId="76">
    <w:name w:val="样式4"/>
    <w:basedOn w:val="1"/>
    <w:autoRedefine/>
    <w:qFormat/>
    <w:uiPriority w:val="0"/>
    <w:pPr>
      <w:spacing w:line="360" w:lineRule="auto"/>
      <w:ind w:firstLine="480" w:firstLineChars="200"/>
    </w:pPr>
    <w:rPr>
      <w:color w:val="FF0000"/>
      <w:szCs w:val="18"/>
    </w:rPr>
  </w:style>
  <w:style w:type="paragraph" w:customStyle="1" w:styleId="77">
    <w:name w:val="表格-居中"/>
    <w:basedOn w:val="1"/>
    <w:autoRedefine/>
    <w:qFormat/>
    <w:uiPriority w:val="0"/>
    <w:pPr>
      <w:spacing w:line="320" w:lineRule="exact"/>
      <w:jc w:val="center"/>
    </w:pPr>
    <w:rPr>
      <w:rFonts w:ascii="宋体"/>
      <w:szCs w:val="21"/>
    </w:rPr>
  </w:style>
  <w:style w:type="paragraph" w:styleId="78">
    <w:name w:val="List Paragraph"/>
    <w:basedOn w:val="1"/>
    <w:autoRedefine/>
    <w:qFormat/>
    <w:uiPriority w:val="34"/>
    <w:pPr>
      <w:ind w:firstLine="420" w:firstLineChars="200"/>
    </w:pPr>
  </w:style>
  <w:style w:type="paragraph" w:customStyle="1" w:styleId="79">
    <w:name w:val="Default"/>
    <w:next w:val="80"/>
    <w:link w:val="183"/>
    <w:qFormat/>
    <w:uiPriority w:val="99"/>
    <w:pPr>
      <w:widowControl w:val="0"/>
      <w:autoSpaceDE w:val="0"/>
      <w:autoSpaceDN w:val="0"/>
      <w:adjustRightInd w:val="0"/>
      <w:spacing w:line="360" w:lineRule="auto"/>
      <w:ind w:firstLine="480" w:firstLineChars="200"/>
      <w:jc w:val="both"/>
    </w:pPr>
    <w:rPr>
      <w:rFonts w:ascii="宋体" w:hAnsi="Times New Roman" w:eastAsia="宋体" w:cs="宋体"/>
      <w:color w:val="FF0000"/>
      <w:sz w:val="24"/>
      <w:szCs w:val="24"/>
      <w:lang w:val="en-US" w:eastAsia="zh-CN" w:bidi="ar-SA"/>
    </w:rPr>
  </w:style>
  <w:style w:type="paragraph" w:customStyle="1" w:styleId="80">
    <w:name w:val="样式35"/>
    <w:basedOn w:val="1"/>
    <w:next w:val="1"/>
    <w:autoRedefine/>
    <w:qFormat/>
    <w:uiPriority w:val="0"/>
    <w:pPr>
      <w:adjustRightInd w:val="0"/>
      <w:snapToGrid w:val="0"/>
      <w:spacing w:line="360" w:lineRule="auto"/>
      <w:ind w:firstLine="480" w:firstLineChars="200"/>
    </w:pPr>
    <w:rPr>
      <w:color w:val="FF0000"/>
      <w:kern w:val="0"/>
    </w:rPr>
  </w:style>
  <w:style w:type="paragraph" w:customStyle="1" w:styleId="81">
    <w:name w:val="表中文字1"/>
    <w:basedOn w:val="1"/>
    <w:autoRedefine/>
    <w:qFormat/>
    <w:uiPriority w:val="0"/>
    <w:pPr>
      <w:widowControl/>
      <w:jc w:val="center"/>
    </w:pPr>
    <w:rPr>
      <w:rFonts w:ascii="Arial" w:hAnsi="Arial" w:cs="Arial"/>
      <w:kern w:val="0"/>
      <w:szCs w:val="21"/>
    </w:rPr>
  </w:style>
  <w:style w:type="paragraph" w:customStyle="1" w:styleId="82">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83">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84">
    <w:name w:val="表格内容111"/>
    <w:basedOn w:val="1"/>
    <w:autoRedefine/>
    <w:qFormat/>
    <w:uiPriority w:val="0"/>
    <w:pPr>
      <w:spacing w:line="312" w:lineRule="atLeast"/>
      <w:jc w:val="center"/>
      <w:textAlignment w:val="center"/>
    </w:pPr>
    <w:rPr>
      <w:szCs w:val="18"/>
    </w:rPr>
  </w:style>
  <w:style w:type="paragraph" w:customStyle="1" w:styleId="85">
    <w:name w:val="xl3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rPr>
  </w:style>
  <w:style w:type="paragraph" w:customStyle="1" w:styleId="86">
    <w:name w:val="报告表表头"/>
    <w:basedOn w:val="1"/>
    <w:autoRedefine/>
    <w:qFormat/>
    <w:uiPriority w:val="0"/>
    <w:pPr>
      <w:numPr>
        <w:ilvl w:val="0"/>
        <w:numId w:val="3"/>
      </w:numPr>
      <w:spacing w:line="440" w:lineRule="exact"/>
      <w:jc w:val="center"/>
    </w:pPr>
    <w:rPr>
      <w:rFonts w:eastAsia="黑体"/>
      <w:b/>
    </w:rPr>
  </w:style>
  <w:style w:type="paragraph" w:customStyle="1" w:styleId="87">
    <w:name w:val="Char Char Char Char Char Char Char Char Char"/>
    <w:basedOn w:val="1"/>
    <w:autoRedefine/>
    <w:qFormat/>
    <w:uiPriority w:val="0"/>
    <w:pPr>
      <w:widowControl/>
      <w:spacing w:after="160" w:line="240" w:lineRule="exact"/>
      <w:jc w:val="left"/>
    </w:pPr>
    <w:rPr>
      <w:rFonts w:ascii="Verdana" w:hAnsi="Verdana" w:eastAsia="仿宋_GB2312"/>
      <w:kern w:val="0"/>
      <w:szCs w:val="20"/>
      <w:lang w:eastAsia="en-US"/>
    </w:rPr>
  </w:style>
  <w:style w:type="paragraph" w:customStyle="1" w:styleId="88">
    <w:name w:val="ZW正文"/>
    <w:basedOn w:val="1"/>
    <w:autoRedefine/>
    <w:qFormat/>
    <w:uiPriority w:val="0"/>
    <w:pPr>
      <w:spacing w:line="500" w:lineRule="exact"/>
      <w:ind w:firstLine="480"/>
    </w:pPr>
  </w:style>
  <w:style w:type="paragraph" w:customStyle="1" w:styleId="89">
    <w:name w:val="表格文字"/>
    <w:basedOn w:val="1"/>
    <w:autoRedefine/>
    <w:qFormat/>
    <w:uiPriority w:val="0"/>
    <w:pPr>
      <w:adjustRightInd w:val="0"/>
      <w:jc w:val="center"/>
    </w:pPr>
    <w:rPr>
      <w:kern w:val="24"/>
      <w:sz w:val="18"/>
      <w:szCs w:val="20"/>
    </w:rPr>
  </w:style>
  <w:style w:type="paragraph" w:customStyle="1" w:styleId="90">
    <w:name w:val="表格样式"/>
    <w:basedOn w:val="1"/>
    <w:autoRedefine/>
    <w:qFormat/>
    <w:uiPriority w:val="0"/>
    <w:pPr>
      <w:spacing w:line="360" w:lineRule="exact"/>
      <w:jc w:val="center"/>
    </w:pPr>
    <w:rPr>
      <w:color w:val="000000"/>
      <w:szCs w:val="21"/>
    </w:rPr>
  </w:style>
  <w:style w:type="character" w:customStyle="1" w:styleId="91">
    <w:name w:val="font31"/>
    <w:basedOn w:val="32"/>
    <w:autoRedefine/>
    <w:qFormat/>
    <w:uiPriority w:val="0"/>
    <w:rPr>
      <w:rFonts w:hint="default" w:ascii="Times New Roman" w:hAnsi="Times New Roman" w:cs="Times New Roman"/>
      <w:color w:val="000000"/>
      <w:sz w:val="21"/>
      <w:szCs w:val="21"/>
      <w:u w:val="none"/>
    </w:rPr>
  </w:style>
  <w:style w:type="character" w:customStyle="1" w:styleId="92">
    <w:name w:val="font21"/>
    <w:basedOn w:val="32"/>
    <w:autoRedefine/>
    <w:qFormat/>
    <w:uiPriority w:val="0"/>
    <w:rPr>
      <w:rFonts w:hint="eastAsia" w:ascii="宋体" w:hAnsi="宋体" w:eastAsia="宋体" w:cs="宋体"/>
      <w:color w:val="000000"/>
      <w:sz w:val="21"/>
      <w:szCs w:val="21"/>
      <w:u w:val="none"/>
    </w:rPr>
  </w:style>
  <w:style w:type="character" w:customStyle="1" w:styleId="93">
    <w:name w:val="font11"/>
    <w:basedOn w:val="32"/>
    <w:autoRedefine/>
    <w:qFormat/>
    <w:uiPriority w:val="0"/>
    <w:rPr>
      <w:rFonts w:hint="default" w:ascii="Times New Roman" w:hAnsi="Times New Roman" w:cs="Times New Roman"/>
      <w:color w:val="000000"/>
      <w:sz w:val="21"/>
      <w:szCs w:val="21"/>
      <w:u w:val="none"/>
      <w:vertAlign w:val="superscript"/>
    </w:rPr>
  </w:style>
  <w:style w:type="character" w:customStyle="1" w:styleId="94">
    <w:name w:val="font41"/>
    <w:basedOn w:val="32"/>
    <w:autoRedefine/>
    <w:qFormat/>
    <w:uiPriority w:val="0"/>
    <w:rPr>
      <w:rFonts w:hint="default" w:ascii="Times New Roman" w:hAnsi="Times New Roman" w:cs="Times New Roman"/>
      <w:color w:val="000000"/>
      <w:sz w:val="21"/>
      <w:szCs w:val="21"/>
      <w:u w:val="none"/>
    </w:rPr>
  </w:style>
  <w:style w:type="paragraph" w:customStyle="1" w:styleId="95">
    <w:name w:val="表内容"/>
    <w:basedOn w:val="1"/>
    <w:next w:val="1"/>
    <w:autoRedefine/>
    <w:qFormat/>
    <w:uiPriority w:val="0"/>
    <w:pPr>
      <w:spacing w:line="320" w:lineRule="exact"/>
      <w:jc w:val="center"/>
    </w:pPr>
    <w:rPr>
      <w:rFonts w:ascii="宋体" w:hAnsi="宋体"/>
      <w:kern w:val="36"/>
      <w:szCs w:val="20"/>
    </w:rPr>
  </w:style>
  <w:style w:type="character" w:customStyle="1" w:styleId="96">
    <w:name w:val="font01"/>
    <w:basedOn w:val="32"/>
    <w:autoRedefine/>
    <w:qFormat/>
    <w:uiPriority w:val="0"/>
    <w:rPr>
      <w:rFonts w:hint="default" w:ascii="Times New Roman" w:hAnsi="Times New Roman" w:cs="Times New Roman"/>
      <w:color w:val="000000"/>
      <w:sz w:val="18"/>
      <w:szCs w:val="18"/>
      <w:u w:val="none"/>
      <w:vertAlign w:val="superscript"/>
    </w:rPr>
  </w:style>
  <w:style w:type="paragraph" w:customStyle="1" w:styleId="97">
    <w:name w:val="正文 首行缩进:  2 字符"/>
    <w:basedOn w:val="1"/>
    <w:autoRedefine/>
    <w:qFormat/>
    <w:uiPriority w:val="0"/>
    <w:pPr>
      <w:adjustRightInd w:val="0"/>
      <w:snapToGrid w:val="0"/>
      <w:spacing w:line="500" w:lineRule="exact"/>
      <w:ind w:firstLine="200" w:firstLineChars="200"/>
      <w:jc w:val="left"/>
    </w:pPr>
    <w:rPr>
      <w:rFonts w:cs="宋体"/>
      <w:szCs w:val="20"/>
    </w:rPr>
  </w:style>
  <w:style w:type="paragraph" w:customStyle="1" w:styleId="98">
    <w:name w:val="店子正文"/>
    <w:basedOn w:val="1"/>
    <w:autoRedefine/>
    <w:qFormat/>
    <w:uiPriority w:val="0"/>
    <w:pPr>
      <w:spacing w:line="360" w:lineRule="auto"/>
      <w:ind w:firstLine="200" w:firstLineChars="200"/>
    </w:pPr>
  </w:style>
  <w:style w:type="paragraph" w:customStyle="1" w:styleId="99">
    <w:name w:val="表格文"/>
    <w:basedOn w:val="1"/>
    <w:autoRedefine/>
    <w:qFormat/>
    <w:uiPriority w:val="0"/>
    <w:pPr>
      <w:widowControl/>
      <w:jc w:val="left"/>
    </w:pPr>
    <w:rPr>
      <w:rFonts w:ascii="仿宋_GB2312" w:hAnsi="Batang" w:eastAsia="仿宋_GB2312" w:cs="宋体"/>
      <w:color w:val="000000"/>
      <w:kern w:val="0"/>
      <w:szCs w:val="21"/>
    </w:rPr>
  </w:style>
  <w:style w:type="character" w:customStyle="1" w:styleId="100">
    <w:name w:val="font51"/>
    <w:basedOn w:val="32"/>
    <w:autoRedefine/>
    <w:qFormat/>
    <w:uiPriority w:val="0"/>
    <w:rPr>
      <w:rFonts w:hint="eastAsia" w:ascii="宋体" w:hAnsi="宋体" w:eastAsia="宋体" w:cs="宋体"/>
      <w:color w:val="000000"/>
      <w:sz w:val="22"/>
      <w:szCs w:val="22"/>
      <w:u w:val="none"/>
      <w:vertAlign w:val="superscript"/>
    </w:rPr>
  </w:style>
  <w:style w:type="character" w:customStyle="1" w:styleId="101">
    <w:name w:val="font61"/>
    <w:basedOn w:val="32"/>
    <w:autoRedefine/>
    <w:qFormat/>
    <w:uiPriority w:val="0"/>
    <w:rPr>
      <w:rFonts w:hint="default" w:ascii="Times New Roman" w:hAnsi="Times New Roman" w:cs="Times New Roman"/>
      <w:color w:val="000000"/>
      <w:sz w:val="21"/>
      <w:szCs w:val="21"/>
      <w:u w:val="none"/>
    </w:rPr>
  </w:style>
  <w:style w:type="character" w:customStyle="1" w:styleId="102">
    <w:name w:val="font81"/>
    <w:basedOn w:val="32"/>
    <w:autoRedefine/>
    <w:qFormat/>
    <w:uiPriority w:val="0"/>
    <w:rPr>
      <w:rFonts w:hint="default" w:ascii="Times New Roman" w:hAnsi="Times New Roman" w:cs="Times New Roman"/>
      <w:color w:val="000000"/>
      <w:sz w:val="20"/>
      <w:szCs w:val="20"/>
      <w:u w:val="none"/>
      <w:vertAlign w:val="superscript"/>
    </w:rPr>
  </w:style>
  <w:style w:type="character" w:customStyle="1" w:styleId="103">
    <w:name w:val="font91"/>
    <w:basedOn w:val="32"/>
    <w:autoRedefine/>
    <w:qFormat/>
    <w:uiPriority w:val="0"/>
    <w:rPr>
      <w:rFonts w:hint="default" w:ascii="Times New Roman" w:hAnsi="Times New Roman" w:cs="Times New Roman"/>
      <w:color w:val="000000"/>
      <w:sz w:val="20"/>
      <w:szCs w:val="20"/>
      <w:u w:val="none"/>
    </w:rPr>
  </w:style>
  <w:style w:type="character" w:customStyle="1" w:styleId="104">
    <w:name w:val="font112"/>
    <w:basedOn w:val="32"/>
    <w:autoRedefine/>
    <w:qFormat/>
    <w:uiPriority w:val="0"/>
    <w:rPr>
      <w:rFonts w:hint="default" w:ascii="Times New Roman" w:hAnsi="Times New Roman" w:cs="Times New Roman"/>
      <w:color w:val="000000"/>
      <w:sz w:val="24"/>
      <w:szCs w:val="24"/>
      <w:u w:val="none"/>
      <w:vertAlign w:val="superscript"/>
    </w:rPr>
  </w:style>
  <w:style w:type="character" w:customStyle="1" w:styleId="105">
    <w:name w:val="font121"/>
    <w:basedOn w:val="32"/>
    <w:autoRedefine/>
    <w:qFormat/>
    <w:uiPriority w:val="0"/>
    <w:rPr>
      <w:rFonts w:hint="default" w:ascii="Times New Roman" w:hAnsi="Times New Roman" w:cs="Times New Roman"/>
      <w:color w:val="000000"/>
      <w:sz w:val="14"/>
      <w:szCs w:val="14"/>
      <w:u w:val="none"/>
    </w:rPr>
  </w:style>
  <w:style w:type="character" w:customStyle="1" w:styleId="106">
    <w:name w:val="font101"/>
    <w:basedOn w:val="32"/>
    <w:autoRedefine/>
    <w:qFormat/>
    <w:uiPriority w:val="0"/>
    <w:rPr>
      <w:rFonts w:hint="default" w:ascii="Times New Roman" w:hAnsi="Times New Roman" w:cs="Times New Roman"/>
      <w:color w:val="000000"/>
      <w:sz w:val="22"/>
      <w:szCs w:val="22"/>
      <w:u w:val="none"/>
      <w:vertAlign w:val="superscript"/>
    </w:rPr>
  </w:style>
  <w:style w:type="character" w:customStyle="1" w:styleId="107">
    <w:name w:val="font141"/>
    <w:basedOn w:val="32"/>
    <w:autoRedefine/>
    <w:qFormat/>
    <w:uiPriority w:val="0"/>
    <w:rPr>
      <w:rFonts w:hint="default" w:ascii="Times New Roman" w:hAnsi="Times New Roman" w:cs="Times New Roman"/>
      <w:color w:val="000000"/>
      <w:sz w:val="22"/>
      <w:szCs w:val="22"/>
      <w:u w:val="none"/>
    </w:rPr>
  </w:style>
  <w:style w:type="character" w:customStyle="1" w:styleId="108">
    <w:name w:val="font151"/>
    <w:basedOn w:val="32"/>
    <w:autoRedefine/>
    <w:qFormat/>
    <w:uiPriority w:val="0"/>
    <w:rPr>
      <w:rFonts w:ascii="JMGRVH + TimesNewRoman" w:hAnsi="JMGRVH + TimesNewRoman" w:eastAsia="JMGRVH + TimesNewRoman" w:cs="JMGRVH + TimesNewRoman"/>
      <w:color w:val="000000"/>
      <w:sz w:val="21"/>
      <w:szCs w:val="21"/>
      <w:u w:val="none"/>
    </w:rPr>
  </w:style>
  <w:style w:type="character" w:customStyle="1" w:styleId="109">
    <w:name w:val="font131"/>
    <w:basedOn w:val="32"/>
    <w:autoRedefine/>
    <w:qFormat/>
    <w:uiPriority w:val="0"/>
    <w:rPr>
      <w:rFonts w:hint="default" w:ascii="JMGRVH + TimesNewRoman" w:hAnsi="JMGRVH + TimesNewRoman" w:eastAsia="JMGRVH + TimesNewRoman" w:cs="JMGRVH + TimesNewRoman"/>
      <w:color w:val="000000"/>
      <w:sz w:val="21"/>
      <w:szCs w:val="21"/>
      <w:u w:val="none"/>
      <w:vertAlign w:val="superscript"/>
    </w:rPr>
  </w:style>
  <w:style w:type="character" w:customStyle="1" w:styleId="110">
    <w:name w:val="font161"/>
    <w:basedOn w:val="32"/>
    <w:autoRedefine/>
    <w:qFormat/>
    <w:uiPriority w:val="0"/>
    <w:rPr>
      <w:rFonts w:hint="default" w:ascii="JMGRVH + TimesNewRoman" w:hAnsi="JMGRVH + TimesNewRoman" w:eastAsia="JMGRVH + TimesNewRoman" w:cs="JMGRVH + TimesNewRoman"/>
      <w:color w:val="000000"/>
      <w:sz w:val="21"/>
      <w:szCs w:val="21"/>
      <w:u w:val="none"/>
      <w:vertAlign w:val="superscript"/>
    </w:rPr>
  </w:style>
  <w:style w:type="paragraph" w:customStyle="1" w:styleId="111">
    <w:name w:val="表格标题7"/>
    <w:basedOn w:val="1"/>
    <w:next w:val="5"/>
    <w:autoRedefine/>
    <w:qFormat/>
    <w:uiPriority w:val="0"/>
    <w:pPr>
      <w:spacing w:before="100" w:beforeAutospacing="1" w:after="100" w:afterAutospacing="1" w:line="360" w:lineRule="auto"/>
      <w:ind w:left="-20" w:leftChars="-20" w:right="-42" w:rightChars="-20" w:hanging="420" w:firstLineChars="200"/>
      <w:jc w:val="center"/>
    </w:pPr>
    <w:rPr>
      <w:rFonts w:ascii="等线" w:hAnsi="等线" w:eastAsia="等线" w:cs="宋体"/>
      <w:b/>
      <w:kern w:val="0"/>
      <w:szCs w:val="21"/>
    </w:rPr>
  </w:style>
  <w:style w:type="paragraph" w:customStyle="1" w:styleId="112">
    <w:name w:val="aa正文"/>
    <w:basedOn w:val="1"/>
    <w:autoRedefine/>
    <w:qFormat/>
    <w:uiPriority w:val="0"/>
    <w:pPr>
      <w:spacing w:line="360" w:lineRule="auto"/>
      <w:ind w:firstLine="480" w:firstLineChars="200"/>
    </w:pPr>
    <w:rPr>
      <w:color w:val="FF0000"/>
    </w:rPr>
  </w:style>
  <w:style w:type="paragraph" w:customStyle="1" w:styleId="113">
    <w:name w:val="样式222"/>
    <w:basedOn w:val="1"/>
    <w:autoRedefine/>
    <w:qFormat/>
    <w:uiPriority w:val="0"/>
    <w:pPr>
      <w:widowControl/>
      <w:spacing w:line="360" w:lineRule="auto"/>
      <w:ind w:firstLine="720" w:firstLineChars="200"/>
      <w:jc w:val="left"/>
    </w:pPr>
    <w:rPr>
      <w:rFonts w:hint="eastAsia" w:ascii="宋体" w:hAnsi="宋体"/>
      <w:color w:val="000000"/>
      <w:kern w:val="0"/>
    </w:rPr>
  </w:style>
  <w:style w:type="paragraph" w:customStyle="1" w:styleId="114">
    <w:name w:val="表格内"/>
    <w:basedOn w:val="1"/>
    <w:link w:val="115"/>
    <w:autoRedefine/>
    <w:qFormat/>
    <w:uiPriority w:val="0"/>
    <w:pPr>
      <w:adjustRightInd w:val="0"/>
      <w:snapToGrid w:val="0"/>
      <w:spacing w:line="360" w:lineRule="exact"/>
      <w:jc w:val="center"/>
    </w:pPr>
    <w:rPr>
      <w:rFonts w:eastAsia="Times New Roman"/>
      <w:snapToGrid w:val="0"/>
      <w:kern w:val="0"/>
      <w:szCs w:val="21"/>
      <w:lang w:val="zh-CN"/>
    </w:rPr>
  </w:style>
  <w:style w:type="character" w:customStyle="1" w:styleId="115">
    <w:name w:val="表格内 Char"/>
    <w:link w:val="114"/>
    <w:qFormat/>
    <w:uiPriority w:val="0"/>
    <w:rPr>
      <w:rFonts w:eastAsia="Times New Roman"/>
      <w:snapToGrid w:val="0"/>
      <w:sz w:val="24"/>
      <w:szCs w:val="21"/>
      <w:lang w:val="zh-CN"/>
    </w:rPr>
  </w:style>
  <w:style w:type="paragraph" w:customStyle="1" w:styleId="116">
    <w:name w:val="表格1"/>
    <w:basedOn w:val="1"/>
    <w:autoRedefine/>
    <w:qFormat/>
    <w:uiPriority w:val="0"/>
    <w:pPr>
      <w:jc w:val="center"/>
    </w:pPr>
    <w:rPr>
      <w:rFonts w:eastAsia="方正仿宋_GBK"/>
      <w:color w:val="000000"/>
      <w:kern w:val="0"/>
      <w:sz w:val="21"/>
    </w:rPr>
  </w:style>
  <w:style w:type="paragraph" w:customStyle="1" w:styleId="117">
    <w:name w:val="WPSOffice手动目录 1"/>
    <w:autoRedefine/>
    <w:qFormat/>
    <w:uiPriority w:val="0"/>
    <w:rPr>
      <w:rFonts w:ascii="Times New Roman" w:hAnsi="Times New Roman" w:eastAsia="宋体" w:cs="Times New Roman"/>
      <w:lang w:val="en-US" w:eastAsia="zh-CN" w:bidi="ar-SA"/>
    </w:rPr>
  </w:style>
  <w:style w:type="table" w:customStyle="1" w:styleId="118">
    <w:name w:val="Table Normal"/>
    <w:autoRedefine/>
    <w:semiHidden/>
    <w:unhideWhenUsed/>
    <w:qFormat/>
    <w:uiPriority w:val="2"/>
    <w:tblPr>
      <w:tblCellMar>
        <w:top w:w="0" w:type="dxa"/>
        <w:left w:w="0" w:type="dxa"/>
        <w:bottom w:w="0" w:type="dxa"/>
        <w:right w:w="0" w:type="dxa"/>
      </w:tblCellMar>
    </w:tblPr>
  </w:style>
  <w:style w:type="paragraph" w:customStyle="1" w:styleId="119">
    <w:name w:val="Table Text"/>
    <w:basedOn w:val="1"/>
    <w:autoRedefine/>
    <w:semiHidden/>
    <w:qFormat/>
    <w:uiPriority w:val="0"/>
    <w:rPr>
      <w:rFonts w:eastAsia="Times New Roman"/>
      <w:sz w:val="18"/>
      <w:szCs w:val="18"/>
      <w:lang w:eastAsia="en-US"/>
    </w:rPr>
  </w:style>
  <w:style w:type="paragraph" w:customStyle="1" w:styleId="120">
    <w:name w:val="段首行缩进 2字符"/>
    <w:basedOn w:val="1"/>
    <w:qFormat/>
    <w:uiPriority w:val="0"/>
    <w:pPr>
      <w:widowControl/>
      <w:autoSpaceDE w:val="0"/>
      <w:autoSpaceDN w:val="0"/>
      <w:ind w:firstLine="420" w:firstLineChars="200"/>
    </w:pPr>
    <w:rPr>
      <w:rFonts w:cs="宋体"/>
      <w:kern w:val="0"/>
      <w:sz w:val="21"/>
      <w:szCs w:val="20"/>
    </w:rPr>
  </w:style>
  <w:style w:type="paragraph" w:customStyle="1" w:styleId="121">
    <w:name w:val="1兴业正文"/>
    <w:basedOn w:val="1"/>
    <w:qFormat/>
    <w:uiPriority w:val="0"/>
    <w:pPr>
      <w:adjustRightInd w:val="0"/>
      <w:snapToGrid w:val="0"/>
      <w:spacing w:line="360" w:lineRule="auto"/>
      <w:ind w:firstLine="420" w:firstLineChars="200"/>
    </w:pPr>
    <w:rPr>
      <w:kern w:val="0"/>
      <w:sz w:val="20"/>
      <w:szCs w:val="20"/>
    </w:rPr>
  </w:style>
  <w:style w:type="paragraph" w:customStyle="1" w:styleId="122">
    <w:name w:val="WY表格"/>
    <w:basedOn w:val="1"/>
    <w:qFormat/>
    <w:uiPriority w:val="0"/>
    <w:pPr>
      <w:spacing w:line="240" w:lineRule="atLeast"/>
      <w:jc w:val="center"/>
    </w:pPr>
    <w:rPr>
      <w:rFonts w:ascii="Calibri" w:hAnsi="Calibri"/>
      <w:sz w:val="21"/>
      <w:szCs w:val="21"/>
    </w:rPr>
  </w:style>
  <w:style w:type="paragraph" w:customStyle="1" w:styleId="123">
    <w:name w:val="txt1"/>
    <w:basedOn w:val="1"/>
    <w:autoRedefine/>
    <w:qFormat/>
    <w:uiPriority w:val="0"/>
    <w:pPr>
      <w:widowControl/>
      <w:spacing w:line="560" w:lineRule="exact"/>
      <w:ind w:firstLine="562" w:firstLineChars="200"/>
    </w:pPr>
    <w:rPr>
      <w:rFonts w:ascii="仿宋_GB2312" w:hAnsi="仿宋_GB2312" w:eastAsia="仿宋_GB2312" w:cs="仿宋_GB2312"/>
      <w:b/>
      <w:sz w:val="28"/>
      <w:szCs w:val="28"/>
    </w:rPr>
  </w:style>
  <w:style w:type="paragraph" w:customStyle="1" w:styleId="124">
    <w:name w:val="1"/>
    <w:basedOn w:val="11"/>
    <w:next w:val="1"/>
    <w:qFormat/>
    <w:uiPriority w:val="0"/>
    <w:pPr>
      <w:ind w:firstLine="420" w:firstLineChars="200"/>
    </w:pPr>
    <w:rPr>
      <w:kern w:val="0"/>
    </w:rPr>
  </w:style>
  <w:style w:type="character" w:customStyle="1" w:styleId="125">
    <w:name w:val="正文001 Char"/>
    <w:link w:val="126"/>
    <w:qFormat/>
    <w:uiPriority w:val="0"/>
    <w:rPr>
      <w:kern w:val="2"/>
      <w:sz w:val="24"/>
      <w:szCs w:val="24"/>
    </w:rPr>
  </w:style>
  <w:style w:type="paragraph" w:customStyle="1" w:styleId="126">
    <w:name w:val="正文001"/>
    <w:basedOn w:val="1"/>
    <w:link w:val="125"/>
    <w:qFormat/>
    <w:uiPriority w:val="0"/>
    <w:pPr>
      <w:spacing w:line="360" w:lineRule="auto"/>
      <w:ind w:firstLine="482"/>
    </w:pPr>
  </w:style>
  <w:style w:type="table" w:customStyle="1" w:styleId="127">
    <w:name w:val="网格型!1"/>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8">
    <w:name w:val="正文文本 Char"/>
    <w:qFormat/>
    <w:locked/>
    <w:uiPriority w:val="0"/>
    <w:rPr>
      <w:sz w:val="18"/>
    </w:rPr>
  </w:style>
  <w:style w:type="paragraph" w:customStyle="1" w:styleId="129">
    <w:name w:val="样式3"/>
    <w:basedOn w:val="1"/>
    <w:qFormat/>
    <w:uiPriority w:val="0"/>
    <w:pPr>
      <w:spacing w:line="520" w:lineRule="exact"/>
      <w:ind w:firstLine="480" w:firstLineChars="200"/>
    </w:pPr>
    <w:rPr>
      <w:color w:val="0070C0"/>
    </w:rPr>
  </w:style>
  <w:style w:type="character" w:customStyle="1" w:styleId="130">
    <w:name w:val="文档结构图 字符"/>
    <w:basedOn w:val="32"/>
    <w:link w:val="8"/>
    <w:qFormat/>
    <w:uiPriority w:val="0"/>
    <w:rPr>
      <w:rFonts w:ascii="宋体"/>
      <w:kern w:val="2"/>
      <w:sz w:val="18"/>
      <w:szCs w:val="18"/>
    </w:rPr>
  </w:style>
  <w:style w:type="paragraph" w:customStyle="1" w:styleId="131">
    <w:name w:val="照片"/>
    <w:basedOn w:val="1"/>
    <w:link w:val="132"/>
    <w:qFormat/>
    <w:uiPriority w:val="0"/>
    <w:pPr>
      <w:adjustRightInd w:val="0"/>
      <w:snapToGrid w:val="0"/>
      <w:spacing w:line="288" w:lineRule="auto"/>
      <w:jc w:val="left"/>
    </w:pPr>
    <w:rPr>
      <w:rFonts w:eastAsia="仿宋"/>
    </w:rPr>
  </w:style>
  <w:style w:type="character" w:customStyle="1" w:styleId="132">
    <w:name w:val="照片 Char"/>
    <w:basedOn w:val="32"/>
    <w:link w:val="131"/>
    <w:qFormat/>
    <w:uiPriority w:val="0"/>
    <w:rPr>
      <w:rFonts w:eastAsia="仿宋"/>
      <w:kern w:val="2"/>
      <w:sz w:val="24"/>
      <w:szCs w:val="24"/>
    </w:rPr>
  </w:style>
  <w:style w:type="paragraph" w:customStyle="1" w:styleId="133">
    <w:name w:val="表内文字"/>
    <w:link w:val="134"/>
    <w:qFormat/>
    <w:uiPriority w:val="0"/>
    <w:pPr>
      <w:jc w:val="center"/>
    </w:pPr>
    <w:rPr>
      <w:rFonts w:ascii="Times New Roman" w:hAnsi="Times New Roman" w:eastAsia="宋体" w:cstheme="minorBidi"/>
      <w:kern w:val="2"/>
      <w:sz w:val="21"/>
      <w:szCs w:val="22"/>
      <w:lang w:val="en-US" w:eastAsia="zh-CN" w:bidi="ar-SA"/>
    </w:rPr>
  </w:style>
  <w:style w:type="character" w:customStyle="1" w:styleId="134">
    <w:name w:val="表内文字 字符"/>
    <w:basedOn w:val="32"/>
    <w:link w:val="133"/>
    <w:qFormat/>
    <w:uiPriority w:val="0"/>
    <w:rPr>
      <w:rFonts w:cstheme="minorBidi"/>
      <w:kern w:val="2"/>
      <w:sz w:val="21"/>
      <w:szCs w:val="22"/>
    </w:rPr>
  </w:style>
  <w:style w:type="paragraph" w:customStyle="1" w:styleId="135">
    <w:name w:val="样式 正文2正文缩进21 + 首行缩进:  2 字符"/>
    <w:basedOn w:val="1"/>
    <w:qFormat/>
    <w:uiPriority w:val="0"/>
    <w:pPr>
      <w:spacing w:line="360" w:lineRule="auto"/>
      <w:ind w:firstLine="480" w:firstLineChars="200"/>
    </w:pPr>
    <w:rPr>
      <w:kern w:val="0"/>
      <w:szCs w:val="20"/>
    </w:rPr>
  </w:style>
  <w:style w:type="character" w:customStyle="1" w:styleId="136">
    <w:name w:val="J-正文 Char"/>
    <w:link w:val="137"/>
    <w:qFormat/>
    <w:uiPriority w:val="0"/>
    <w:rPr>
      <w:bCs/>
      <w:sz w:val="24"/>
      <w:szCs w:val="28"/>
    </w:rPr>
  </w:style>
  <w:style w:type="paragraph" w:customStyle="1" w:styleId="137">
    <w:name w:val="J-正文"/>
    <w:basedOn w:val="1"/>
    <w:link w:val="136"/>
    <w:autoRedefine/>
    <w:qFormat/>
    <w:uiPriority w:val="0"/>
    <w:pPr>
      <w:spacing w:line="520" w:lineRule="exact"/>
      <w:ind w:firstLine="480" w:firstLineChars="200"/>
    </w:pPr>
    <w:rPr>
      <w:bCs/>
      <w:kern w:val="0"/>
      <w:szCs w:val="28"/>
    </w:rPr>
  </w:style>
  <w:style w:type="character" w:customStyle="1" w:styleId="138">
    <w:name w:val="表内文字 Char"/>
    <w:qFormat/>
    <w:uiPriority w:val="0"/>
    <w:rPr>
      <w:rFonts w:ascii="宋体" w:hAnsi="Arial" w:cs="黑体"/>
      <w:iCs/>
      <w:kern w:val="2"/>
      <w:sz w:val="21"/>
      <w:szCs w:val="24"/>
      <w:lang w:val="zh-CN"/>
    </w:rPr>
  </w:style>
  <w:style w:type="paragraph" w:customStyle="1" w:styleId="139">
    <w:name w:val="J-表格文字"/>
    <w:basedOn w:val="1"/>
    <w:link w:val="140"/>
    <w:qFormat/>
    <w:uiPriority w:val="0"/>
    <w:pPr>
      <w:spacing w:line="240" w:lineRule="exact"/>
      <w:jc w:val="center"/>
    </w:pPr>
    <w:rPr>
      <w:sz w:val="21"/>
      <w:szCs w:val="21"/>
      <w:lang w:val="zh-CN" w:eastAsia="zh-CN"/>
    </w:rPr>
  </w:style>
  <w:style w:type="character" w:customStyle="1" w:styleId="140">
    <w:name w:val="J-表格文字 Char"/>
    <w:link w:val="139"/>
    <w:qFormat/>
    <w:uiPriority w:val="0"/>
    <w:rPr>
      <w:kern w:val="2"/>
      <w:sz w:val="21"/>
      <w:szCs w:val="21"/>
      <w:lang w:val="zh-CN" w:eastAsia="zh-CN"/>
    </w:rPr>
  </w:style>
  <w:style w:type="paragraph" w:customStyle="1" w:styleId="141">
    <w:name w:val="正文21"/>
    <w:link w:val="142"/>
    <w:qFormat/>
    <w:uiPriority w:val="0"/>
    <w:pPr>
      <w:widowControl w:val="0"/>
      <w:spacing w:line="500" w:lineRule="exact"/>
      <w:ind w:firstLine="200" w:firstLineChars="200"/>
    </w:pPr>
    <w:rPr>
      <w:rFonts w:ascii="宋体" w:hAnsi="宋体" w:eastAsia="宋体" w:cs="宋体"/>
      <w:sz w:val="24"/>
      <w:lang w:val="en-US" w:eastAsia="zh-CN" w:bidi="ar-SA"/>
    </w:rPr>
  </w:style>
  <w:style w:type="character" w:customStyle="1" w:styleId="142">
    <w:name w:val="正文21 Char"/>
    <w:link w:val="141"/>
    <w:qFormat/>
    <w:uiPriority w:val="0"/>
    <w:rPr>
      <w:rFonts w:ascii="宋体" w:hAnsi="宋体" w:cs="宋体"/>
      <w:sz w:val="24"/>
    </w:rPr>
  </w:style>
  <w:style w:type="character" w:customStyle="1" w:styleId="143">
    <w:name w:val="正文 小四 行距: 1.5 倍行距 Char"/>
    <w:link w:val="144"/>
    <w:qFormat/>
    <w:uiPriority w:val="0"/>
    <w:rPr>
      <w:rFonts w:cs="宋体"/>
      <w:kern w:val="2"/>
      <w:sz w:val="24"/>
    </w:rPr>
  </w:style>
  <w:style w:type="paragraph" w:customStyle="1" w:styleId="144">
    <w:name w:val="正文 小四 行距: 1.5 倍行距"/>
    <w:basedOn w:val="1"/>
    <w:link w:val="143"/>
    <w:qFormat/>
    <w:uiPriority w:val="0"/>
    <w:pPr>
      <w:spacing w:line="360" w:lineRule="auto"/>
      <w:ind w:firstLine="480" w:firstLineChars="200"/>
    </w:pPr>
    <w:rPr>
      <w:rFonts w:cs="宋体"/>
      <w:szCs w:val="20"/>
    </w:rPr>
  </w:style>
  <w:style w:type="paragraph" w:customStyle="1" w:styleId="145">
    <w:name w:val="msonormalcxspmiddle"/>
    <w:basedOn w:val="1"/>
    <w:qFormat/>
    <w:uiPriority w:val="0"/>
    <w:pPr>
      <w:widowControl/>
      <w:spacing w:before="100" w:beforeAutospacing="1" w:after="100" w:afterAutospacing="1"/>
      <w:jc w:val="left"/>
    </w:pPr>
    <w:rPr>
      <w:rFonts w:hint="eastAsia" w:ascii="宋体" w:hAnsi="宋体"/>
      <w:kern w:val="0"/>
    </w:rPr>
  </w:style>
  <w:style w:type="paragraph" w:customStyle="1" w:styleId="146">
    <w:name w:val="样式1"/>
    <w:basedOn w:val="1"/>
    <w:link w:val="147"/>
    <w:qFormat/>
    <w:uiPriority w:val="0"/>
    <w:pPr>
      <w:spacing w:line="560" w:lineRule="exact"/>
      <w:ind w:firstLine="200" w:firstLineChars="200"/>
    </w:pPr>
    <w:rPr>
      <w:sz w:val="28"/>
      <w:szCs w:val="20"/>
    </w:rPr>
  </w:style>
  <w:style w:type="character" w:customStyle="1" w:styleId="147">
    <w:name w:val="样式1 Char"/>
    <w:link w:val="146"/>
    <w:qFormat/>
    <w:uiPriority w:val="0"/>
    <w:rPr>
      <w:kern w:val="2"/>
      <w:sz w:val="28"/>
    </w:rPr>
  </w:style>
  <w:style w:type="paragraph" w:customStyle="1" w:styleId="148">
    <w:name w:val="A-表格文字"/>
    <w:basedOn w:val="1"/>
    <w:next w:val="1"/>
    <w:link w:val="149"/>
    <w:qFormat/>
    <w:uiPriority w:val="0"/>
    <w:pPr>
      <w:autoSpaceDE w:val="0"/>
      <w:autoSpaceDN w:val="0"/>
      <w:adjustRightInd w:val="0"/>
      <w:jc w:val="center"/>
      <w:textAlignment w:val="center"/>
    </w:pPr>
    <w:rPr>
      <w:kern w:val="0"/>
      <w:sz w:val="21"/>
      <w:lang w:eastAsia="en-US"/>
    </w:rPr>
  </w:style>
  <w:style w:type="character" w:customStyle="1" w:styleId="149">
    <w:name w:val="A-表格文字 Char"/>
    <w:link w:val="148"/>
    <w:qFormat/>
    <w:uiPriority w:val="0"/>
    <w:rPr>
      <w:sz w:val="21"/>
      <w:szCs w:val="24"/>
      <w:lang w:eastAsia="en-US"/>
    </w:rPr>
  </w:style>
  <w:style w:type="paragraph" w:customStyle="1" w:styleId="150">
    <w:name w:val="y表格内容"/>
    <w:basedOn w:val="1"/>
    <w:qFormat/>
    <w:uiPriority w:val="0"/>
    <w:pPr>
      <w:adjustRightInd w:val="0"/>
      <w:snapToGrid w:val="0"/>
      <w:spacing w:line="240" w:lineRule="atLeast"/>
      <w:jc w:val="center"/>
    </w:pPr>
    <w:rPr>
      <w:rFonts w:ascii="宋体" w:hAnsi="宋体"/>
      <w:sz w:val="18"/>
      <w:szCs w:val="18"/>
    </w:rPr>
  </w:style>
  <w:style w:type="paragraph" w:customStyle="1" w:styleId="151">
    <w:name w:val="msonormal"/>
    <w:basedOn w:val="1"/>
    <w:qFormat/>
    <w:uiPriority w:val="0"/>
    <w:pPr>
      <w:widowControl/>
      <w:spacing w:before="100" w:beforeAutospacing="1" w:after="100" w:afterAutospacing="1"/>
      <w:jc w:val="left"/>
    </w:pPr>
    <w:rPr>
      <w:rFonts w:ascii="宋体" w:hAnsi="宋体" w:cs="宋体"/>
      <w:kern w:val="0"/>
    </w:rPr>
  </w:style>
  <w:style w:type="paragraph" w:customStyle="1" w:styleId="15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4">
    <w:name w:val="font7"/>
    <w:basedOn w:val="1"/>
    <w:qFormat/>
    <w:uiPriority w:val="0"/>
    <w:pPr>
      <w:widowControl/>
      <w:spacing w:before="100" w:beforeAutospacing="1" w:after="100" w:afterAutospacing="1"/>
      <w:jc w:val="left"/>
    </w:pPr>
    <w:rPr>
      <w:kern w:val="0"/>
      <w:sz w:val="18"/>
      <w:szCs w:val="18"/>
    </w:rPr>
  </w:style>
  <w:style w:type="paragraph" w:customStyle="1" w:styleId="155">
    <w:name w:val="font8"/>
    <w:basedOn w:val="1"/>
    <w:qFormat/>
    <w:uiPriority w:val="0"/>
    <w:pPr>
      <w:widowControl/>
      <w:spacing w:before="100" w:beforeAutospacing="1" w:after="100" w:afterAutospacing="1"/>
      <w:jc w:val="left"/>
    </w:pPr>
    <w:rPr>
      <w:kern w:val="0"/>
      <w:sz w:val="18"/>
      <w:szCs w:val="18"/>
    </w:rPr>
  </w:style>
  <w:style w:type="paragraph" w:customStyle="1" w:styleId="156">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7">
    <w:name w:val="xl6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58">
    <w:name w:val="xl64"/>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59">
    <w:name w:val="xl65"/>
    <w:basedOn w:val="1"/>
    <w:qFormat/>
    <w:uiPriority w:val="0"/>
    <w:pPr>
      <w:widowControl/>
      <w:pBdr>
        <w:bottom w:val="single" w:color="auto" w:sz="8" w:space="0"/>
        <w:right w:val="single" w:color="auto" w:sz="8" w:space="0"/>
      </w:pBdr>
      <w:spacing w:before="100" w:beforeAutospacing="1" w:after="100" w:afterAutospacing="1"/>
      <w:jc w:val="left"/>
    </w:pPr>
    <w:rPr>
      <w:rFonts w:ascii="Calibri" w:hAnsi="Calibri" w:cs="Calibri"/>
      <w:kern w:val="0"/>
      <w:sz w:val="21"/>
      <w:szCs w:val="21"/>
    </w:rPr>
  </w:style>
  <w:style w:type="paragraph" w:customStyle="1" w:styleId="160">
    <w:name w:val="xl66"/>
    <w:basedOn w:val="1"/>
    <w:qFormat/>
    <w:uiPriority w:val="0"/>
    <w:pPr>
      <w:widowControl/>
      <w:pBdr>
        <w:bottom w:val="single" w:color="auto" w:sz="8" w:space="0"/>
        <w:right w:val="single" w:color="auto" w:sz="8" w:space="0"/>
      </w:pBdr>
      <w:spacing w:before="100" w:beforeAutospacing="1" w:after="100" w:afterAutospacing="1"/>
      <w:jc w:val="center"/>
    </w:pPr>
    <w:rPr>
      <w:kern w:val="0"/>
      <w:sz w:val="18"/>
      <w:szCs w:val="18"/>
    </w:rPr>
  </w:style>
  <w:style w:type="paragraph" w:customStyle="1" w:styleId="161">
    <w:name w:val="xl67"/>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sz w:val="18"/>
      <w:szCs w:val="18"/>
    </w:rPr>
  </w:style>
  <w:style w:type="paragraph" w:customStyle="1" w:styleId="162">
    <w:name w:val="xl68"/>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63">
    <w:name w:val="xl69"/>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Calibri" w:hAnsi="Calibri" w:cs="Calibri"/>
      <w:kern w:val="0"/>
      <w:sz w:val="21"/>
      <w:szCs w:val="21"/>
    </w:rPr>
  </w:style>
  <w:style w:type="paragraph" w:customStyle="1" w:styleId="164">
    <w:name w:val="xl70"/>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165">
    <w:name w:val="xl71"/>
    <w:basedOn w:val="1"/>
    <w:qFormat/>
    <w:uiPriority w:val="0"/>
    <w:pPr>
      <w:widowControl/>
      <w:pBdr>
        <w:left w:val="single" w:color="auto" w:sz="8" w:space="0"/>
        <w:bottom w:val="single" w:color="auto" w:sz="8" w:space="0"/>
      </w:pBdr>
      <w:spacing w:before="100" w:beforeAutospacing="1" w:after="100" w:afterAutospacing="1"/>
      <w:jc w:val="center"/>
    </w:pPr>
    <w:rPr>
      <w:kern w:val="0"/>
      <w:sz w:val="18"/>
      <w:szCs w:val="18"/>
    </w:rPr>
  </w:style>
  <w:style w:type="paragraph" w:customStyle="1" w:styleId="166">
    <w:name w:val="xl7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67">
    <w:name w:val="xl7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68">
    <w:name w:val="xl74"/>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69">
    <w:name w:val="xl75"/>
    <w:basedOn w:val="1"/>
    <w:qFormat/>
    <w:uiPriority w:val="0"/>
    <w:pPr>
      <w:widowControl/>
      <w:pBdr>
        <w:bottom w:val="single" w:color="auto" w:sz="8" w:space="0"/>
        <w:right w:val="single" w:color="auto" w:sz="8" w:space="0"/>
      </w:pBdr>
      <w:spacing w:before="100" w:beforeAutospacing="1" w:after="100" w:afterAutospacing="1"/>
      <w:jc w:val="center"/>
    </w:pPr>
    <w:rPr>
      <w:kern w:val="0"/>
      <w:sz w:val="18"/>
      <w:szCs w:val="18"/>
    </w:rPr>
  </w:style>
  <w:style w:type="paragraph" w:customStyle="1" w:styleId="170">
    <w:name w:val="xl76"/>
    <w:basedOn w:val="1"/>
    <w:qFormat/>
    <w:uiPriority w:val="0"/>
    <w:pPr>
      <w:widowControl/>
      <w:pBdr>
        <w:bottom w:val="single" w:color="auto" w:sz="8" w:space="0"/>
        <w:right w:val="single" w:color="auto" w:sz="8" w:space="0"/>
      </w:pBdr>
      <w:spacing w:before="100" w:beforeAutospacing="1" w:after="100" w:afterAutospacing="1"/>
      <w:jc w:val="center"/>
    </w:pPr>
    <w:rPr>
      <w:kern w:val="0"/>
      <w:sz w:val="18"/>
      <w:szCs w:val="18"/>
    </w:rPr>
  </w:style>
  <w:style w:type="paragraph" w:customStyle="1" w:styleId="171">
    <w:name w:val="xl77"/>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FF0000"/>
      <w:kern w:val="0"/>
      <w:sz w:val="18"/>
      <w:szCs w:val="18"/>
    </w:rPr>
  </w:style>
  <w:style w:type="paragraph" w:customStyle="1" w:styleId="172">
    <w:name w:val="xl78"/>
    <w:basedOn w:val="1"/>
    <w:qFormat/>
    <w:uiPriority w:val="0"/>
    <w:pPr>
      <w:widowControl/>
      <w:pBdr>
        <w:bottom w:val="single" w:color="auto" w:sz="8" w:space="0"/>
        <w:right w:val="single" w:color="auto" w:sz="8" w:space="0"/>
      </w:pBdr>
      <w:spacing w:before="100" w:beforeAutospacing="1" w:after="100" w:afterAutospacing="1"/>
      <w:jc w:val="center"/>
    </w:pPr>
    <w:rPr>
      <w:color w:val="FF0000"/>
      <w:kern w:val="0"/>
      <w:sz w:val="18"/>
      <w:szCs w:val="18"/>
    </w:rPr>
  </w:style>
  <w:style w:type="paragraph" w:customStyle="1" w:styleId="173">
    <w:name w:val="xl79"/>
    <w:basedOn w:val="1"/>
    <w:qFormat/>
    <w:uiPriority w:val="0"/>
    <w:pPr>
      <w:widowControl/>
      <w:pBdr>
        <w:bottom w:val="single" w:color="auto" w:sz="8" w:space="0"/>
        <w:right w:val="single" w:color="auto" w:sz="8" w:space="0"/>
      </w:pBdr>
      <w:spacing w:before="100" w:beforeAutospacing="1" w:after="100" w:afterAutospacing="1"/>
      <w:jc w:val="center"/>
    </w:pPr>
    <w:rPr>
      <w:color w:val="FF0000"/>
      <w:kern w:val="0"/>
      <w:sz w:val="18"/>
      <w:szCs w:val="18"/>
    </w:rPr>
  </w:style>
  <w:style w:type="paragraph" w:customStyle="1" w:styleId="174">
    <w:name w:val="xl80"/>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FF0000"/>
      <w:kern w:val="0"/>
      <w:sz w:val="18"/>
      <w:szCs w:val="18"/>
    </w:rPr>
  </w:style>
  <w:style w:type="paragraph" w:customStyle="1" w:styleId="175">
    <w:name w:val="xl81"/>
    <w:basedOn w:val="1"/>
    <w:qFormat/>
    <w:uiPriority w:val="0"/>
    <w:pPr>
      <w:widowControl/>
      <w:pBdr>
        <w:bottom w:val="single" w:color="auto" w:sz="8" w:space="0"/>
        <w:right w:val="single" w:color="auto" w:sz="8" w:space="0"/>
      </w:pBdr>
      <w:spacing w:before="100" w:beforeAutospacing="1" w:after="100" w:afterAutospacing="1"/>
      <w:jc w:val="center"/>
    </w:pPr>
    <w:rPr>
      <w:color w:val="FF0000"/>
      <w:kern w:val="0"/>
      <w:sz w:val="18"/>
      <w:szCs w:val="18"/>
    </w:rPr>
  </w:style>
  <w:style w:type="paragraph" w:customStyle="1" w:styleId="176">
    <w:name w:val="xl82"/>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宋体" w:hAnsi="宋体" w:cs="宋体"/>
      <w:kern w:val="0"/>
      <w:sz w:val="18"/>
      <w:szCs w:val="18"/>
    </w:rPr>
  </w:style>
  <w:style w:type="character" w:customStyle="1" w:styleId="177">
    <w:name w:val="表格内容居中 Char"/>
    <w:link w:val="178"/>
    <w:qFormat/>
    <w:locked/>
    <w:uiPriority w:val="0"/>
    <w:rPr>
      <w:rFonts w:ascii="宋体" w:hAnsi="宋体" w:cs="宋体"/>
      <w:kern w:val="2"/>
      <w:sz w:val="21"/>
      <w:szCs w:val="21"/>
    </w:rPr>
  </w:style>
  <w:style w:type="paragraph" w:customStyle="1" w:styleId="178">
    <w:name w:val="表格内容居中"/>
    <w:basedOn w:val="1"/>
    <w:link w:val="177"/>
    <w:qFormat/>
    <w:uiPriority w:val="0"/>
    <w:pPr>
      <w:jc w:val="center"/>
    </w:pPr>
    <w:rPr>
      <w:rFonts w:ascii="宋体" w:hAnsi="宋体" w:cs="宋体"/>
      <w:sz w:val="21"/>
      <w:szCs w:val="21"/>
    </w:rPr>
  </w:style>
  <w:style w:type="character" w:customStyle="1" w:styleId="179">
    <w:name w:val="表格内容左对齐 Char"/>
    <w:link w:val="180"/>
    <w:qFormat/>
    <w:locked/>
    <w:uiPriority w:val="0"/>
    <w:rPr>
      <w:rFonts w:ascii="宋体" w:hAnsi="宋体" w:cs="宋体"/>
      <w:kern w:val="2"/>
      <w:sz w:val="21"/>
    </w:rPr>
  </w:style>
  <w:style w:type="paragraph" w:customStyle="1" w:styleId="180">
    <w:name w:val="表格内容左对齐"/>
    <w:basedOn w:val="1"/>
    <w:link w:val="179"/>
    <w:qFormat/>
    <w:uiPriority w:val="0"/>
    <w:pPr>
      <w:spacing w:line="340" w:lineRule="exact"/>
    </w:pPr>
    <w:rPr>
      <w:rFonts w:ascii="宋体" w:hAnsi="宋体" w:cs="宋体"/>
      <w:sz w:val="21"/>
      <w:szCs w:val="20"/>
    </w:rPr>
  </w:style>
  <w:style w:type="character" w:customStyle="1" w:styleId="181">
    <w:name w:val="Table Paragraph Char"/>
    <w:link w:val="68"/>
    <w:qFormat/>
    <w:uiPriority w:val="1"/>
    <w:rPr>
      <w:rFonts w:cs="宋体"/>
      <w:kern w:val="2"/>
      <w:sz w:val="18"/>
      <w:szCs w:val="18"/>
      <w:lang w:val="zh-CN" w:bidi="zh-CN"/>
    </w:rPr>
  </w:style>
  <w:style w:type="character" w:customStyle="1" w:styleId="182">
    <w:name w:val="表格标题 字符"/>
    <w:basedOn w:val="32"/>
    <w:link w:val="69"/>
    <w:qFormat/>
    <w:uiPriority w:val="0"/>
    <w:rPr>
      <w:kern w:val="2"/>
      <w:sz w:val="24"/>
    </w:rPr>
  </w:style>
  <w:style w:type="character" w:customStyle="1" w:styleId="183">
    <w:name w:val="Default Char Char"/>
    <w:link w:val="79"/>
    <w:qFormat/>
    <w:uiPriority w:val="99"/>
    <w:rPr>
      <w:rFonts w:ascii="宋体" w:cs="宋体"/>
      <w:color w:val="FF0000"/>
      <w:sz w:val="24"/>
      <w:szCs w:val="24"/>
    </w:rPr>
  </w:style>
  <w:style w:type="character" w:customStyle="1" w:styleId="184">
    <w:name w:val="font71"/>
    <w:basedOn w:val="32"/>
    <w:qFormat/>
    <w:uiPriority w:val="0"/>
    <w:rPr>
      <w:rFonts w:ascii="宋体" w:hAnsi="宋体" w:eastAsia="宋体" w:cs="宋体"/>
      <w:color w:val="404040"/>
      <w:sz w:val="28"/>
      <w:szCs w:val="28"/>
      <w:u w:val="none"/>
    </w:rPr>
  </w:style>
  <w:style w:type="paragraph" w:customStyle="1" w:styleId="185">
    <w:name w:val="正文(首行缩进)"/>
    <w:basedOn w:val="1"/>
    <w:qFormat/>
    <w:uiPriority w:val="0"/>
    <w:pPr>
      <w:spacing w:line="360" w:lineRule="auto"/>
      <w:ind w:firstLine="480" w:firstLineChars="200"/>
    </w:pPr>
    <w:rPr>
      <w:snapToGrid w:val="0"/>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4" Type="http://schemas.openxmlformats.org/officeDocument/2006/relationships/fontTable" Target="fontTable.xml"/><Relationship Id="rId53" Type="http://schemas.openxmlformats.org/officeDocument/2006/relationships/customXml" Target="../customXml/item2.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34.png"/><Relationship Id="rId5" Type="http://schemas.openxmlformats.org/officeDocument/2006/relationships/footer" Target="footer1.xml"/><Relationship Id="rId49" Type="http://schemas.openxmlformats.org/officeDocument/2006/relationships/image" Target="media/image33.png"/><Relationship Id="rId48" Type="http://schemas.openxmlformats.org/officeDocument/2006/relationships/image" Target="media/image32.png"/><Relationship Id="rId47" Type="http://schemas.openxmlformats.org/officeDocument/2006/relationships/image" Target="media/image31.jpeg"/><Relationship Id="rId46" Type="http://schemas.openxmlformats.org/officeDocument/2006/relationships/image" Target="media/image30.png"/><Relationship Id="rId45" Type="http://schemas.openxmlformats.org/officeDocument/2006/relationships/image" Target="media/image29.png"/><Relationship Id="rId44" Type="http://schemas.openxmlformats.org/officeDocument/2006/relationships/image" Target="media/image28.jpeg"/><Relationship Id="rId43" Type="http://schemas.openxmlformats.org/officeDocument/2006/relationships/image" Target="media/image27.png"/><Relationship Id="rId42" Type="http://schemas.openxmlformats.org/officeDocument/2006/relationships/image" Target="media/image26.png"/><Relationship Id="rId41" Type="http://schemas.openxmlformats.org/officeDocument/2006/relationships/image" Target="media/image25.png"/><Relationship Id="rId40" Type="http://schemas.openxmlformats.org/officeDocument/2006/relationships/image" Target="media/image24.png"/><Relationship Id="rId4" Type="http://schemas.openxmlformats.org/officeDocument/2006/relationships/header" Target="header2.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pn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jpeg"/><Relationship Id="rId30" Type="http://schemas.openxmlformats.org/officeDocument/2006/relationships/image" Target="media/image14.jpeg"/><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oleObject" Target="embeddings/oleObject4.bin"/><Relationship Id="rId27" Type="http://schemas.openxmlformats.org/officeDocument/2006/relationships/image" Target="media/image12.wmf"/><Relationship Id="rId26" Type="http://schemas.openxmlformats.org/officeDocument/2006/relationships/image" Target="media/image11.wmf"/><Relationship Id="rId25" Type="http://schemas.openxmlformats.org/officeDocument/2006/relationships/image" Target="media/image10.wmf"/><Relationship Id="rId24" Type="http://schemas.openxmlformats.org/officeDocument/2006/relationships/oleObject" Target="embeddings/oleObject3.bin"/><Relationship Id="rId23" Type="http://schemas.openxmlformats.org/officeDocument/2006/relationships/image" Target="media/image9.wmf"/><Relationship Id="rId22" Type="http://schemas.openxmlformats.org/officeDocument/2006/relationships/oleObject" Target="embeddings/oleObject2.bin"/><Relationship Id="rId21" Type="http://schemas.openxmlformats.org/officeDocument/2006/relationships/image" Target="media/image8.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E8930E-37A6-43E1-AF5B-ED01C3B6EEF4}">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95</Pages>
  <Words>472</Words>
  <Characters>515</Characters>
  <Lines>474</Lines>
  <Paragraphs>133</Paragraphs>
  <TotalTime>3</TotalTime>
  <ScaleCrop>false</ScaleCrop>
  <LinksUpToDate>false</LinksUpToDate>
  <CharactersWithSpaces>565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2024-04-22T10:38:00Z</dcterms:created>
  <dc:creator>lhj</dc:creator>
  <cp:lastModifiedBy>樱桃小丸犊子</cp:lastModifiedBy>
  <cp:lastPrinted>2025-05-30T12:06:00Z</cp:lastPrinted>
  <dcterms:modified xsi:type="dcterms:W3CDTF">2026-08-26T09:02:02Z</dcterms:modified>
  <dc:title>附件2</dc:title>
  <cp:revision>427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4831CFBB96A44F1B9A285E85C8549F1D_13</vt:lpwstr>
  </property>
  <property fmtid="{D5CDD505-2E9C-101B-9397-08002B2CF9AE}" pid="4" name="KSOTemplateDocerSaveRecord">
    <vt:lpwstr>eyJoZGlkIjoiMGRhYTc3ZDMyYTA3NTFhNmYzMGFiODY1OGZmMjlmZTkiLCJ1c2VySWQiOiIxMTY4OTEwNzY3In0=</vt:lpwstr>
  </property>
</Properties>
</file>