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E394B">
      <w:pPr>
        <w:keepNext w:val="0"/>
        <w:keepLines w:val="0"/>
        <w:pageBreakBefore w:val="0"/>
        <w:widowControl w:val="0"/>
        <w:kinsoku/>
        <w:wordWrap/>
        <w:overflowPunct/>
        <w:topLinePunct w:val="0"/>
        <w:autoSpaceDE/>
        <w:autoSpaceDN/>
        <w:bidi w:val="0"/>
        <w:adjustRightInd/>
        <w:snapToGrid/>
        <w:spacing w:line="800" w:lineRule="exact"/>
        <w:textAlignment w:val="auto"/>
        <w:rPr>
          <w:rFonts w:hint="default" w:ascii="Times New Roman" w:hAnsi="Times New Roman" w:eastAsia="仿宋_GB2312" w:cs="Times New Roman"/>
          <w:snapToGrid w:val="0"/>
          <w:color w:val="auto"/>
          <w:kern w:val="0"/>
        </w:rPr>
      </w:pPr>
    </w:p>
    <w:p w14:paraId="60852BAE">
      <w:pPr>
        <w:tabs>
          <w:tab w:val="left" w:pos="8500"/>
        </w:tabs>
        <w:spacing w:line="600" w:lineRule="exact"/>
        <w:jc w:val="center"/>
        <w:rPr>
          <w:rFonts w:hint="default" w:ascii="Times New Roman" w:hAnsi="Times New Roman" w:eastAsia="仿宋_GB2312" w:cs="Times New Roman"/>
          <w:snapToGrid w:val="0"/>
          <w:color w:val="auto"/>
          <w:kern w:val="0"/>
          <w:szCs w:val="32"/>
          <w:highlight w:val="none"/>
        </w:rPr>
      </w:pPr>
      <w:r>
        <w:rPr>
          <w:rFonts w:hint="default" w:ascii="Times New Roman" w:hAnsi="Times New Roman" w:eastAsia="仿宋_GB2312" w:cs="Times New Roman"/>
          <w:snapToGrid w:val="0"/>
          <w:color w:val="auto"/>
          <w:kern w:val="0"/>
          <w:szCs w:val="32"/>
        </w:rPr>
        <w:t xml:space="preserve">                             </w:t>
      </w:r>
      <w:r>
        <w:rPr>
          <w:rFonts w:hint="default" w:ascii="Times New Roman" w:hAnsi="Times New Roman" w:eastAsia="仿宋_GB2312" w:cs="Times New Roman"/>
          <w:snapToGrid w:val="0"/>
          <w:color w:val="auto"/>
          <w:kern w:val="0"/>
          <w:szCs w:val="32"/>
          <w:highlight w:val="none"/>
        </w:rPr>
        <w:t xml:space="preserve">  </w:t>
      </w:r>
      <w:r>
        <w:rPr>
          <w:rFonts w:hint="default" w:ascii="Times New Roman" w:hAnsi="Times New Roman" w:eastAsia="仿宋_GB2312" w:cs="Times New Roman"/>
          <w:snapToGrid w:val="0"/>
          <w:color w:val="auto"/>
          <w:kern w:val="0"/>
          <w:szCs w:val="32"/>
          <w:highlight w:val="none"/>
          <w:lang w:val="en-US" w:eastAsia="zh-CN"/>
        </w:rPr>
        <w:t xml:space="preserve">  </w:t>
      </w:r>
      <w:r>
        <w:rPr>
          <w:rFonts w:hint="default" w:ascii="Times New Roman" w:hAnsi="Times New Roman" w:eastAsia="仿宋_GB2312" w:cs="Times New Roman"/>
          <w:snapToGrid w:val="0"/>
          <w:color w:val="auto"/>
          <w:kern w:val="0"/>
          <w:szCs w:val="32"/>
          <w:highlight w:val="none"/>
        </w:rPr>
        <w:t>师市环审〔202</w:t>
      </w:r>
      <w:r>
        <w:rPr>
          <w:rFonts w:hint="default" w:ascii="Times New Roman" w:hAnsi="Times New Roman" w:eastAsia="仿宋_GB2312" w:cs="Times New Roman"/>
          <w:snapToGrid w:val="0"/>
          <w:color w:val="auto"/>
          <w:kern w:val="0"/>
          <w:szCs w:val="32"/>
          <w:highlight w:val="none"/>
          <w:lang w:val="en-US" w:eastAsia="zh-CN"/>
        </w:rPr>
        <w:t>6</w:t>
      </w:r>
      <w:r>
        <w:rPr>
          <w:rFonts w:hint="default" w:ascii="Times New Roman" w:hAnsi="Times New Roman" w:eastAsia="仿宋_GB2312" w:cs="Times New Roman"/>
          <w:snapToGrid w:val="0"/>
          <w:color w:val="auto"/>
          <w:kern w:val="0"/>
          <w:szCs w:val="32"/>
          <w:highlight w:val="none"/>
        </w:rPr>
        <w:t>〕</w:t>
      </w:r>
      <w:r>
        <w:rPr>
          <w:rFonts w:hint="eastAsia" w:eastAsia="仿宋_GB2312" w:cs="Times New Roman"/>
          <w:snapToGrid w:val="0"/>
          <w:color w:val="auto"/>
          <w:kern w:val="0"/>
          <w:szCs w:val="32"/>
          <w:highlight w:val="none"/>
          <w:lang w:val="en-US" w:eastAsia="zh-CN"/>
        </w:rPr>
        <w:t>33</w:t>
      </w:r>
      <w:r>
        <w:rPr>
          <w:rFonts w:hint="default" w:ascii="Times New Roman" w:hAnsi="Times New Roman" w:eastAsia="仿宋_GB2312" w:cs="Times New Roman"/>
          <w:snapToGrid w:val="0"/>
          <w:color w:val="auto"/>
          <w:kern w:val="0"/>
          <w:szCs w:val="32"/>
          <w:highlight w:val="none"/>
        </w:rPr>
        <w:t>号</w:t>
      </w:r>
    </w:p>
    <w:p w14:paraId="7E66B2A4">
      <w:pPr>
        <w:spacing w:line="600" w:lineRule="exact"/>
        <w:rPr>
          <w:rFonts w:hint="default" w:ascii="Times New Roman" w:hAnsi="Times New Roman" w:eastAsia="仿宋_GB2312" w:cs="Times New Roman"/>
          <w:snapToGrid w:val="0"/>
          <w:color w:val="auto"/>
          <w:kern w:val="0"/>
          <w:sz w:val="30"/>
          <w:highlight w:val="none"/>
        </w:rPr>
      </w:pPr>
    </w:p>
    <w:p w14:paraId="73420D1A">
      <w:pPr>
        <w:spacing w:line="600" w:lineRule="exact"/>
        <w:jc w:val="center"/>
        <w:rPr>
          <w:rFonts w:hint="eastAsia" w:ascii="Times New Roman" w:hAnsi="Times New Roman" w:eastAsia="方正小标宋简体"/>
          <w:bCs/>
          <w:color w:val="auto"/>
          <w:sz w:val="44"/>
          <w:szCs w:val="44"/>
        </w:rPr>
      </w:pPr>
      <w:r>
        <w:rPr>
          <w:rFonts w:hint="default" w:ascii="Times New Roman" w:hAnsi="Times New Roman" w:eastAsia="方正小标宋简体" w:cs="Times New Roman"/>
          <w:color w:val="auto"/>
          <w:sz w:val="44"/>
          <w:szCs w:val="44"/>
          <w:highlight w:val="none"/>
          <w:lang w:val="zh-CN"/>
        </w:rPr>
        <w:t>关</w:t>
      </w:r>
      <w:r>
        <w:rPr>
          <w:rFonts w:hint="eastAsia" w:ascii="方正小标宋简体" w:hAnsi="方正小标宋简体" w:eastAsia="方正小标宋简体" w:cs="方正小标宋简体"/>
          <w:color w:val="auto"/>
          <w:sz w:val="44"/>
          <w:szCs w:val="44"/>
          <w:highlight w:val="none"/>
          <w:lang w:val="zh-CN"/>
        </w:rPr>
        <w:t>于</w:t>
      </w:r>
      <w:r>
        <w:rPr>
          <w:rFonts w:ascii="Times New Roman" w:hAnsi="Times New Roman" w:eastAsia="方正小标宋简体"/>
          <w:bCs/>
          <w:color w:val="auto"/>
          <w:sz w:val="44"/>
          <w:szCs w:val="44"/>
          <w:lang w:val="zh-CN" w:bidi="ar"/>
        </w:rPr>
        <w:t>新疆晶诺新能源产业发展有限公司一期轻组分综合利用技改项目</w:t>
      </w:r>
      <w:r>
        <w:rPr>
          <w:rFonts w:hint="eastAsia" w:ascii="Times New Roman" w:hAnsi="Times New Roman" w:eastAsia="方正小标宋简体"/>
          <w:bCs/>
          <w:color w:val="auto"/>
          <w:sz w:val="44"/>
          <w:szCs w:val="44"/>
          <w:lang w:val="zh-CN" w:bidi="ar"/>
        </w:rPr>
        <w:t>环境影响报告</w:t>
      </w:r>
      <w:r>
        <w:rPr>
          <w:rFonts w:hint="eastAsia" w:ascii="Times New Roman" w:hAnsi="Times New Roman" w:eastAsia="方正小标宋简体"/>
          <w:bCs/>
          <w:color w:val="auto"/>
          <w:sz w:val="44"/>
          <w:szCs w:val="44"/>
          <w:lang w:bidi="ar"/>
        </w:rPr>
        <w:t>书</w:t>
      </w:r>
    </w:p>
    <w:p w14:paraId="6A46747D">
      <w:pPr>
        <w:spacing w:line="600" w:lineRule="exact"/>
        <w:jc w:val="center"/>
        <w:rPr>
          <w:rFonts w:hint="default" w:ascii="Times New Roman" w:hAnsi="Times New Roman" w:eastAsia="仿宋_GB2312" w:cs="Times New Roman"/>
          <w:color w:val="auto"/>
          <w:kern w:val="0"/>
          <w:szCs w:val="32"/>
          <w:highlight w:val="none"/>
        </w:rPr>
      </w:pPr>
      <w:r>
        <w:rPr>
          <w:rFonts w:hint="default" w:ascii="Times New Roman" w:hAnsi="Times New Roman" w:eastAsia="方正小标宋简体" w:cs="Times New Roman"/>
          <w:color w:val="auto"/>
          <w:sz w:val="44"/>
          <w:szCs w:val="44"/>
          <w:highlight w:val="none"/>
          <w:lang w:val="zh-CN"/>
        </w:rPr>
        <w:t>的</w:t>
      </w:r>
      <w:r>
        <w:rPr>
          <w:rFonts w:hint="default" w:ascii="Times New Roman" w:hAnsi="Times New Roman" w:eastAsia="方正小标宋简体" w:cs="Times New Roman"/>
          <w:snapToGrid w:val="0"/>
          <w:color w:val="auto"/>
          <w:kern w:val="0"/>
          <w:sz w:val="44"/>
          <w:szCs w:val="44"/>
          <w:highlight w:val="none"/>
        </w:rPr>
        <w:t>批复</w:t>
      </w:r>
    </w:p>
    <w:p w14:paraId="019C596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Cs w:val="32"/>
          <w:highlight w:val="none"/>
        </w:rPr>
      </w:pPr>
    </w:p>
    <w:p w14:paraId="6A9256D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Cs w:val="32"/>
          <w:highlight w:val="none"/>
        </w:rPr>
      </w:pPr>
      <w:r>
        <w:rPr>
          <w:rFonts w:hint="default" w:ascii="Times New Roman" w:hAnsi="Times New Roman" w:eastAsia="仿宋_GB2312" w:cs="Times New Roman"/>
          <w:bCs/>
          <w:color w:val="auto"/>
          <w:szCs w:val="32"/>
          <w:highlight w:val="none"/>
          <w:lang w:val="zh-CN"/>
        </w:rPr>
        <w:t>新疆晶诺新能源产业发展有限公司</w:t>
      </w:r>
      <w:r>
        <w:rPr>
          <w:rFonts w:hint="default" w:ascii="Times New Roman" w:hAnsi="Times New Roman" w:eastAsia="仿宋_GB2312" w:cs="Times New Roman"/>
          <w:bCs/>
          <w:color w:val="auto"/>
          <w:szCs w:val="32"/>
          <w:highlight w:val="none"/>
        </w:rPr>
        <w:t>：</w:t>
      </w:r>
    </w:p>
    <w:p w14:paraId="15084EC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snapToGrid w:val="0"/>
          <w:color w:val="auto"/>
          <w:kern w:val="0"/>
          <w:szCs w:val="32"/>
          <w:highlight w:val="none"/>
        </w:rPr>
      </w:pPr>
      <w:r>
        <w:rPr>
          <w:rFonts w:hint="default" w:ascii="Times New Roman" w:hAnsi="Times New Roman" w:eastAsia="仿宋_GB2312" w:cs="Times New Roman"/>
          <w:bCs/>
          <w:color w:val="auto"/>
          <w:szCs w:val="32"/>
          <w:highlight w:val="none"/>
        </w:rPr>
        <w:t>你</w:t>
      </w:r>
      <w:r>
        <w:rPr>
          <w:rFonts w:hint="eastAsia" w:eastAsia="仿宋_GB2312" w:cs="Times New Roman"/>
          <w:bCs/>
          <w:color w:val="auto"/>
          <w:szCs w:val="32"/>
          <w:highlight w:val="none"/>
          <w:lang w:val="en-US" w:eastAsia="zh-CN"/>
        </w:rPr>
        <w:t>公司</w:t>
      </w:r>
      <w:r>
        <w:rPr>
          <w:rFonts w:hint="default" w:ascii="Times New Roman" w:hAnsi="Times New Roman" w:eastAsia="仿宋_GB2312" w:cs="Times New Roman"/>
          <w:bCs/>
          <w:color w:val="auto"/>
          <w:szCs w:val="32"/>
          <w:highlight w:val="none"/>
        </w:rPr>
        <w:t>《关于审批&lt;</w:t>
      </w:r>
      <w:r>
        <w:rPr>
          <w:rFonts w:hint="default" w:ascii="Times New Roman" w:hAnsi="Times New Roman" w:eastAsia="仿宋_GB2312" w:cs="Times New Roman"/>
          <w:bCs/>
          <w:color w:val="auto"/>
          <w:szCs w:val="32"/>
          <w:highlight w:val="none"/>
          <w:lang w:val="zh-CN"/>
        </w:rPr>
        <w:t>新疆晶诺新能源产业发展有限公司一期轻组分综合利用技改项目环境影响报告</w:t>
      </w:r>
      <w:r>
        <w:rPr>
          <w:rFonts w:hint="default" w:ascii="Times New Roman" w:hAnsi="Times New Roman" w:eastAsia="仿宋_GB2312" w:cs="Times New Roman"/>
          <w:bCs/>
          <w:color w:val="auto"/>
          <w:szCs w:val="32"/>
          <w:highlight w:val="none"/>
        </w:rPr>
        <w:t>书&gt;的请示》收悉。经研究，批复如下：</w:t>
      </w:r>
    </w:p>
    <w:p w14:paraId="61B75DFE">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bCs/>
          <w:color w:val="auto"/>
          <w:szCs w:val="32"/>
          <w:highlight w:val="none"/>
          <w:lang w:val="zh-CN"/>
        </w:rPr>
      </w:pPr>
      <w:r>
        <w:rPr>
          <w:rFonts w:hint="default" w:ascii="Times New Roman" w:hAnsi="Times New Roman" w:eastAsia="仿宋_GB2312" w:cs="Times New Roman"/>
          <w:color w:val="auto"/>
          <w:szCs w:val="32"/>
          <w:highlight w:val="none"/>
          <w:lang w:val="en-US" w:eastAsia="zh-CN"/>
        </w:rPr>
        <w:t>一、</w:t>
      </w:r>
      <w:r>
        <w:rPr>
          <w:rFonts w:hint="default" w:ascii="Times New Roman" w:hAnsi="Times New Roman" w:eastAsia="仿宋_GB2312" w:cs="Times New Roman"/>
          <w:color w:val="auto"/>
          <w:szCs w:val="32"/>
          <w:highlight w:val="none"/>
        </w:rPr>
        <w:t>该项目位于</w:t>
      </w:r>
      <w:r>
        <w:rPr>
          <w:rFonts w:hint="eastAsia" w:ascii="Times New Roman" w:hAnsi="Times New Roman" w:eastAsia="仿宋_GB2312"/>
          <w:color w:val="auto"/>
          <w:highlight w:val="none"/>
        </w:rPr>
        <w:t>胡杨河经济技术开发区</w:t>
      </w:r>
      <w:r>
        <w:rPr>
          <w:rFonts w:hint="eastAsia" w:eastAsia="仿宋_GB2312"/>
          <w:color w:val="auto"/>
          <w:highlight w:val="none"/>
          <w:lang w:val="en-US" w:eastAsia="zh-CN"/>
        </w:rPr>
        <w:t>南园区</w:t>
      </w:r>
      <w:r>
        <w:rPr>
          <w:rFonts w:hint="default" w:ascii="Times New Roman" w:hAnsi="Times New Roman" w:eastAsia="仿宋_GB2312" w:cs="Times New Roman"/>
          <w:color w:val="auto"/>
          <w:szCs w:val="32"/>
          <w:highlight w:val="none"/>
        </w:rPr>
        <w:t>，项目中心地理位置坐标为东经84°53′0.10″，北纬</w:t>
      </w:r>
      <w:r>
        <w:rPr>
          <w:rFonts w:ascii="Times New Roman" w:hAnsi="Times New Roman" w:eastAsia="仿宋_GB2312"/>
          <w:color w:val="auto"/>
          <w:szCs w:val="32"/>
        </w:rPr>
        <w:t>44°49′</w:t>
      </w:r>
      <w:r>
        <w:rPr>
          <w:rFonts w:hint="eastAsia" w:ascii="Times New Roman" w:hAnsi="Times New Roman" w:eastAsia="仿宋_GB2312"/>
          <w:color w:val="auto"/>
          <w:szCs w:val="32"/>
        </w:rPr>
        <w:t>38.51</w:t>
      </w:r>
      <w:r>
        <w:rPr>
          <w:rFonts w:ascii="Times New Roman" w:hAnsi="Times New Roman" w:eastAsia="仿宋_GB2312"/>
          <w:color w:val="auto"/>
          <w:szCs w:val="32"/>
        </w:rPr>
        <w:t>″</w:t>
      </w:r>
      <w:r>
        <w:rPr>
          <w:rFonts w:hint="default" w:ascii="Times New Roman" w:hAnsi="Times New Roman" w:eastAsia="仿宋_GB2312" w:cs="Times New Roman"/>
          <w:color w:val="auto"/>
          <w:szCs w:val="32"/>
          <w:highlight w:val="none"/>
        </w:rPr>
        <w:t>。项目为改建项目，建设年产2万吨颗粒硅生产装置及其配套设施</w:t>
      </w:r>
      <w:r>
        <w:rPr>
          <w:rFonts w:hint="eastAsia" w:eastAsia="仿宋_GB2312" w:cs="Times New Roman"/>
          <w:color w:val="auto"/>
          <w:szCs w:val="32"/>
          <w:highlight w:val="none"/>
          <w:lang w:eastAsia="zh-CN"/>
        </w:rPr>
        <w:t>，</w:t>
      </w:r>
      <w:r>
        <w:rPr>
          <w:rFonts w:hint="eastAsia" w:eastAsia="仿宋_GB2312" w:cs="Times New Roman"/>
          <w:color w:val="auto"/>
          <w:szCs w:val="32"/>
          <w:highlight w:val="none"/>
          <w:lang w:val="en-US" w:eastAsia="zh-CN"/>
        </w:rPr>
        <w:t>以</w:t>
      </w:r>
      <w:r>
        <w:rPr>
          <w:rFonts w:hint="eastAsia" w:eastAsia="仿宋_GB2312" w:cs="Times New Roman"/>
          <w:color w:val="auto"/>
          <w:szCs w:val="32"/>
          <w:highlight w:val="none"/>
          <w:lang w:eastAsia="zh-CN"/>
        </w:rPr>
        <w:t>2.5万吨电子级硅烷气</w:t>
      </w:r>
      <w:r>
        <w:rPr>
          <w:rFonts w:hint="eastAsia" w:eastAsia="仿宋_GB2312" w:cs="Times New Roman"/>
          <w:color w:val="auto"/>
          <w:szCs w:val="32"/>
          <w:highlight w:val="none"/>
          <w:lang w:val="en-US" w:eastAsia="zh-CN"/>
        </w:rPr>
        <w:t>为原料，年生产2万吨颗粒硅。该项目建成后，现有厂区7万吨多晶硅总产能维持不变。</w:t>
      </w:r>
      <w:r>
        <w:rPr>
          <w:rFonts w:hint="default" w:ascii="Times New Roman" w:hAnsi="Times New Roman" w:eastAsia="仿宋_GB2312" w:cs="Times New Roman"/>
          <w:color w:val="auto"/>
          <w:szCs w:val="32"/>
          <w:highlight w:val="none"/>
        </w:rPr>
        <w:t>总投资95460万元，其中环保投资1412万元，占总投资的1.48%。</w:t>
      </w:r>
    </w:p>
    <w:p w14:paraId="0E9A18AB">
      <w:pPr>
        <w:keepNext w:val="0"/>
        <w:keepLines w:val="0"/>
        <w:pageBreakBefore w:val="0"/>
        <w:widowControl w:val="0"/>
        <w:numPr>
          <w:ilvl w:val="0"/>
          <w:numId w:val="0"/>
        </w:numPr>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Cs/>
          <w:color w:val="auto"/>
          <w:szCs w:val="32"/>
          <w:highlight w:val="none"/>
        </w:rPr>
        <w:t>二、</w:t>
      </w:r>
      <w:r>
        <w:rPr>
          <w:rFonts w:hint="default" w:ascii="Times New Roman" w:hAnsi="Times New Roman" w:eastAsia="仿宋_GB2312" w:cs="Times New Roman"/>
          <w:color w:val="auto"/>
          <w:szCs w:val="32"/>
          <w:highlight w:val="none"/>
        </w:rPr>
        <w:t>在全面落实报告</w:t>
      </w:r>
      <w:r>
        <w:rPr>
          <w:rFonts w:hint="eastAsia" w:eastAsia="仿宋_GB2312" w:cs="Times New Roman"/>
          <w:color w:val="auto"/>
          <w:szCs w:val="32"/>
          <w:highlight w:val="none"/>
          <w:lang w:val="en-US" w:eastAsia="zh-CN"/>
        </w:rPr>
        <w:t>书</w:t>
      </w:r>
      <w:r>
        <w:rPr>
          <w:rFonts w:hint="default" w:ascii="Times New Roman" w:hAnsi="Times New Roman" w:eastAsia="仿宋_GB2312" w:cs="Times New Roman"/>
          <w:color w:val="auto"/>
          <w:szCs w:val="32"/>
          <w:highlight w:val="none"/>
        </w:rPr>
        <w:t>提出的各项生态保护和污染防治措施后，项目建设和运营过程中对环境的不利影响能够得到缓解和控制。因此，综合各方面因素，从环境保护角度考虑，我局原则同意你单位按照报告</w:t>
      </w:r>
      <w:r>
        <w:rPr>
          <w:rFonts w:hint="eastAsia" w:eastAsia="仿宋_GB2312" w:cs="Times New Roman"/>
          <w:color w:val="auto"/>
          <w:szCs w:val="32"/>
          <w:highlight w:val="none"/>
          <w:lang w:val="en-US" w:eastAsia="zh-CN"/>
        </w:rPr>
        <w:t>书</w:t>
      </w:r>
      <w:r>
        <w:rPr>
          <w:rFonts w:hint="default" w:ascii="Times New Roman" w:hAnsi="Times New Roman" w:eastAsia="仿宋_GB2312" w:cs="Times New Roman"/>
          <w:color w:val="auto"/>
          <w:szCs w:val="32"/>
          <w:highlight w:val="none"/>
        </w:rPr>
        <w:t>中所列建设项目地点、性质、规模和拟采取的环境保护对策措施进行项目建设。</w:t>
      </w:r>
    </w:p>
    <w:p w14:paraId="1381139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三、项目建设和运营中应重点做好以下工作：</w:t>
      </w:r>
    </w:p>
    <w:p w14:paraId="7881C4D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32" w:firstLineChars="200"/>
        <w:textAlignment w:val="auto"/>
        <w:outlineLvl w:val="0"/>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一</w:t>
      </w:r>
      <w:r>
        <w:rPr>
          <w:rFonts w:hint="default" w:ascii="Times New Roman" w:hAnsi="Times New Roman" w:eastAsia="仿宋_GB2312" w:cs="Times New Roman"/>
          <w:bCs/>
          <w:color w:val="auto"/>
          <w:szCs w:val="32"/>
          <w:highlight w:val="none"/>
        </w:rPr>
        <w:t>）严格落实大气污染防治措施。颗粒硅生产工艺废气经金属烧结滤芯除尘处理后，通过55米高</w:t>
      </w:r>
      <w:r>
        <w:rPr>
          <w:rFonts w:hint="eastAsia" w:eastAsia="仿宋_GB2312" w:cs="Times New Roman"/>
          <w:bCs/>
          <w:color w:val="auto"/>
          <w:szCs w:val="32"/>
          <w:highlight w:val="none"/>
          <w:lang w:val="en-US" w:eastAsia="zh-CN"/>
        </w:rPr>
        <w:t>的</w:t>
      </w:r>
      <w:r>
        <w:rPr>
          <w:rFonts w:hint="default" w:ascii="Times New Roman" w:hAnsi="Times New Roman" w:eastAsia="仿宋_GB2312" w:cs="Times New Roman"/>
          <w:bCs/>
          <w:color w:val="auto"/>
          <w:szCs w:val="32"/>
          <w:highlight w:val="none"/>
        </w:rPr>
        <w:t>排气筒排放，颗粒物</w:t>
      </w:r>
      <w:r>
        <w:rPr>
          <w:rFonts w:hint="eastAsia" w:eastAsia="仿宋_GB2312" w:cs="Times New Roman"/>
          <w:bCs/>
          <w:color w:val="auto"/>
          <w:szCs w:val="32"/>
          <w:highlight w:val="none"/>
          <w:lang w:val="en-US" w:eastAsia="zh-CN"/>
        </w:rPr>
        <w:t>排放执行</w:t>
      </w:r>
      <w:r>
        <w:rPr>
          <w:rFonts w:hint="default" w:ascii="Times New Roman" w:hAnsi="Times New Roman" w:eastAsia="仿宋_GB2312" w:cs="Times New Roman"/>
          <w:bCs/>
          <w:color w:val="auto"/>
          <w:szCs w:val="32"/>
          <w:highlight w:val="none"/>
        </w:rPr>
        <w:t>《大气污染物综合排放标准》（GB 16297-1996）表2二级排放标准限值</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臭气浓度</w:t>
      </w:r>
      <w:r>
        <w:rPr>
          <w:rFonts w:hint="eastAsia" w:eastAsia="仿宋_GB2312" w:cs="Times New Roman"/>
          <w:bCs/>
          <w:color w:val="auto"/>
          <w:szCs w:val="32"/>
          <w:highlight w:val="none"/>
          <w:lang w:val="en-US" w:eastAsia="zh-CN"/>
        </w:rPr>
        <w:t>执行</w:t>
      </w:r>
      <w:r>
        <w:rPr>
          <w:rFonts w:hint="default" w:ascii="Times New Roman" w:hAnsi="Times New Roman" w:eastAsia="仿宋_GB2312" w:cs="Times New Roman"/>
          <w:bCs/>
          <w:color w:val="auto"/>
          <w:szCs w:val="32"/>
          <w:highlight w:val="none"/>
        </w:rPr>
        <w:t>《恶臭污染物排放标准》（GB14554-93）标准限值</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产品后处理车间粉尘废气经金属烧结滤芯除尘处理后，通过25米高</w:t>
      </w:r>
      <w:r>
        <w:rPr>
          <w:rFonts w:hint="eastAsia" w:eastAsia="仿宋_GB2312" w:cs="Times New Roman"/>
          <w:bCs/>
          <w:color w:val="auto"/>
          <w:szCs w:val="32"/>
          <w:highlight w:val="none"/>
          <w:lang w:val="en-US" w:eastAsia="zh-CN"/>
        </w:rPr>
        <w:t>的</w:t>
      </w:r>
      <w:r>
        <w:rPr>
          <w:rFonts w:hint="default" w:ascii="Times New Roman" w:hAnsi="Times New Roman" w:eastAsia="仿宋_GB2312" w:cs="Times New Roman"/>
          <w:bCs/>
          <w:color w:val="auto"/>
          <w:szCs w:val="32"/>
          <w:highlight w:val="none"/>
        </w:rPr>
        <w:t>排气筒排放，颗粒物</w:t>
      </w:r>
      <w:r>
        <w:rPr>
          <w:rFonts w:hint="eastAsia" w:eastAsia="仿宋_GB2312" w:cs="Times New Roman"/>
          <w:bCs/>
          <w:color w:val="auto"/>
          <w:szCs w:val="32"/>
          <w:highlight w:val="none"/>
          <w:lang w:val="en-US" w:eastAsia="zh-CN"/>
        </w:rPr>
        <w:t>排放执行</w:t>
      </w:r>
      <w:r>
        <w:rPr>
          <w:rFonts w:hint="default" w:ascii="Times New Roman" w:hAnsi="Times New Roman" w:eastAsia="仿宋_GB2312" w:cs="Times New Roman"/>
          <w:bCs/>
          <w:color w:val="auto"/>
          <w:szCs w:val="32"/>
          <w:highlight w:val="none"/>
        </w:rPr>
        <w:t>《大气污染物综合排放标准》（GB 16297-1996）表2二级排放标准限值</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化验室废气经两级碱洗处理后通过15米高</w:t>
      </w:r>
      <w:r>
        <w:rPr>
          <w:rFonts w:hint="eastAsia" w:eastAsia="仿宋_GB2312" w:cs="Times New Roman"/>
          <w:bCs/>
          <w:color w:val="auto"/>
          <w:szCs w:val="32"/>
          <w:highlight w:val="none"/>
          <w:lang w:val="en-US" w:eastAsia="zh-CN"/>
        </w:rPr>
        <w:t>的</w:t>
      </w:r>
      <w:r>
        <w:rPr>
          <w:rFonts w:hint="default" w:ascii="Times New Roman" w:hAnsi="Times New Roman" w:eastAsia="仿宋_GB2312" w:cs="Times New Roman"/>
          <w:bCs/>
          <w:color w:val="auto"/>
          <w:szCs w:val="32"/>
          <w:highlight w:val="none"/>
        </w:rPr>
        <w:t>排气筒排放，氯化氢及氟化物</w:t>
      </w:r>
      <w:r>
        <w:rPr>
          <w:rFonts w:hint="eastAsia" w:eastAsia="仿宋_GB2312" w:cs="Times New Roman"/>
          <w:bCs/>
          <w:color w:val="auto"/>
          <w:szCs w:val="32"/>
          <w:highlight w:val="none"/>
          <w:lang w:val="en-US" w:eastAsia="zh-CN"/>
        </w:rPr>
        <w:t>排放执行</w:t>
      </w:r>
      <w:r>
        <w:rPr>
          <w:rFonts w:hint="default" w:ascii="Times New Roman" w:hAnsi="Times New Roman" w:eastAsia="仿宋_GB2312" w:cs="Times New Roman"/>
          <w:bCs/>
          <w:color w:val="auto"/>
          <w:szCs w:val="32"/>
          <w:highlight w:val="none"/>
        </w:rPr>
        <w:t>《大气污染物综合排放标准》（GB 16297-1996）表2二级排放标准限值</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外售硅烷气充装废气经“两级碱洗+水封” 处理后通过30米高</w:t>
      </w:r>
      <w:r>
        <w:rPr>
          <w:rFonts w:hint="eastAsia" w:eastAsia="仿宋_GB2312" w:cs="Times New Roman"/>
          <w:bCs/>
          <w:color w:val="auto"/>
          <w:szCs w:val="32"/>
          <w:highlight w:val="none"/>
          <w:lang w:val="en-US" w:eastAsia="zh-CN"/>
        </w:rPr>
        <w:t>的</w:t>
      </w:r>
      <w:r>
        <w:rPr>
          <w:rFonts w:hint="default" w:ascii="Times New Roman" w:hAnsi="Times New Roman" w:eastAsia="仿宋_GB2312" w:cs="Times New Roman"/>
          <w:bCs/>
          <w:color w:val="auto"/>
          <w:szCs w:val="32"/>
          <w:highlight w:val="none"/>
        </w:rPr>
        <w:t>排气筒排放，臭气浓度</w:t>
      </w:r>
      <w:r>
        <w:rPr>
          <w:rFonts w:hint="eastAsia" w:eastAsia="仿宋_GB2312" w:cs="Times New Roman"/>
          <w:bCs/>
          <w:color w:val="auto"/>
          <w:szCs w:val="32"/>
          <w:highlight w:val="none"/>
          <w:lang w:val="en-US" w:eastAsia="zh-CN"/>
        </w:rPr>
        <w:t>执行</w:t>
      </w:r>
      <w:r>
        <w:rPr>
          <w:rFonts w:hint="default" w:ascii="Times New Roman" w:hAnsi="Times New Roman" w:eastAsia="仿宋_GB2312" w:cs="Times New Roman"/>
          <w:bCs/>
          <w:color w:val="auto"/>
          <w:szCs w:val="32"/>
          <w:highlight w:val="none"/>
        </w:rPr>
        <w:t>《恶臭污染物排放标准》（GB14554-93）标准限值。</w:t>
      </w:r>
    </w:p>
    <w:p w14:paraId="3D7735E7">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eastAsia" w:ascii="Times New Roman" w:hAnsi="Times New Roman" w:eastAsia="仿宋_GB2312" w:cs="Times New Roman"/>
          <w:bCs/>
          <w:color w:val="auto"/>
          <w:kern w:val="2"/>
          <w:sz w:val="32"/>
          <w:szCs w:val="32"/>
          <w:lang w:val="en-US" w:eastAsia="zh-CN" w:bidi="ar-SA"/>
        </w:rPr>
      </w:pPr>
      <w:r>
        <w:rPr>
          <w:rFonts w:hint="eastAsia" w:ascii="Times New Roman" w:hAnsi="Times New Roman" w:eastAsia="仿宋_GB2312" w:cs="Times New Roman"/>
          <w:color w:val="auto"/>
          <w:szCs w:val="32"/>
        </w:rPr>
        <w:t>项目生产设备密封，工艺物料输送泵采用屏蔽泵，优先选用国内密封性能良好的生产装置、泵、法兰和阀门等设备。厂界臭气浓度</w:t>
      </w:r>
      <w:r>
        <w:rPr>
          <w:rFonts w:hint="eastAsia" w:ascii="Times New Roman" w:hAnsi="Times New Roman" w:eastAsia="仿宋_GB2312" w:cs="Times New Roman"/>
          <w:color w:val="auto"/>
          <w:szCs w:val="32"/>
          <w:lang w:val="en-US" w:eastAsia="zh-CN"/>
        </w:rPr>
        <w:t>执行</w:t>
      </w:r>
      <w:r>
        <w:rPr>
          <w:rFonts w:hint="eastAsia" w:ascii="Times New Roman" w:hAnsi="Times New Roman" w:eastAsia="仿宋_GB2312" w:cs="Times New Roman"/>
          <w:color w:val="auto"/>
          <w:szCs w:val="32"/>
        </w:rPr>
        <w:t>《恶臭污染物排放标准》（GB14554-93）中表1“恶臭污染物厂界标准值”</w:t>
      </w:r>
      <w:r>
        <w:rPr>
          <w:rFonts w:hint="eastAsia" w:ascii="Times New Roman" w:hAnsi="Times New Roman" w:eastAsia="仿宋_GB2312" w:cs="Times New Roman"/>
          <w:color w:val="auto"/>
          <w:szCs w:val="32"/>
          <w:lang w:eastAsia="zh-CN"/>
        </w:rPr>
        <w:t>。</w:t>
      </w:r>
      <w:r>
        <w:rPr>
          <w:rFonts w:hint="eastAsia" w:ascii="Times New Roman" w:hAnsi="Times New Roman" w:eastAsia="仿宋_GB2312" w:cs="Times New Roman"/>
          <w:color w:val="auto"/>
          <w:szCs w:val="32"/>
        </w:rPr>
        <w:t>厂界颗粒物</w:t>
      </w:r>
      <w:r>
        <w:rPr>
          <w:rFonts w:hint="eastAsia" w:ascii="Times New Roman" w:hAnsi="Times New Roman" w:eastAsia="仿宋_GB2312" w:cs="Times New Roman"/>
          <w:color w:val="auto"/>
          <w:szCs w:val="32"/>
          <w:lang w:eastAsia="zh-CN"/>
        </w:rPr>
        <w:t>、</w:t>
      </w:r>
      <w:r>
        <w:rPr>
          <w:rFonts w:hint="eastAsia" w:ascii="Times New Roman" w:hAnsi="Times New Roman" w:eastAsia="仿宋_GB2312" w:cs="Times New Roman"/>
          <w:color w:val="auto"/>
          <w:szCs w:val="32"/>
          <w:lang w:val="en-US" w:eastAsia="zh-CN"/>
        </w:rPr>
        <w:t>氯化氢、氟化物</w:t>
      </w:r>
      <w:r>
        <w:rPr>
          <w:rFonts w:hint="eastAsia" w:ascii="Times New Roman" w:hAnsi="Times New Roman" w:eastAsia="仿宋_GB2312" w:cs="Times New Roman"/>
          <w:color w:val="auto"/>
          <w:szCs w:val="32"/>
        </w:rPr>
        <w:t>浓度</w:t>
      </w:r>
      <w:r>
        <w:rPr>
          <w:rFonts w:hint="eastAsia" w:ascii="Times New Roman" w:hAnsi="Times New Roman" w:eastAsia="仿宋_GB2312" w:cs="Times New Roman"/>
          <w:color w:val="auto"/>
          <w:szCs w:val="32"/>
          <w:lang w:val="en-US" w:eastAsia="zh-CN"/>
        </w:rPr>
        <w:t>执行</w:t>
      </w:r>
      <w:r>
        <w:rPr>
          <w:rFonts w:hint="eastAsia" w:ascii="Times New Roman" w:hAnsi="Times New Roman" w:eastAsia="仿宋_GB2312" w:cs="Times New Roman"/>
          <w:color w:val="auto"/>
          <w:szCs w:val="32"/>
        </w:rPr>
        <w:t>《大气污染物综合排放标准》（GB16297-1996）中表2“新污染源大气污染物排放限值”。</w:t>
      </w:r>
    </w:p>
    <w:p w14:paraId="1ACE5E18">
      <w:pPr>
        <w:spacing w:line="540" w:lineRule="exact"/>
        <w:ind w:firstLine="640"/>
        <w:rPr>
          <w:rFonts w:hint="default" w:ascii="Times New Roman" w:hAnsi="Times New Roman" w:eastAsia="仿宋_GB2312" w:cs="Times New Roman"/>
          <w:bCs/>
          <w:color w:val="auto"/>
          <w:szCs w:val="32"/>
          <w:highlight w:val="none"/>
        </w:rPr>
      </w:pPr>
      <w:r>
        <w:rPr>
          <w:rFonts w:hint="eastAsia" w:ascii="Times New Roman" w:hAnsi="Times New Roman" w:eastAsia="仿宋_GB2312" w:cs="Times New Roman"/>
          <w:bCs/>
          <w:color w:val="auto"/>
          <w:kern w:val="2"/>
          <w:sz w:val="32"/>
          <w:szCs w:val="32"/>
          <w:lang w:val="en-US" w:eastAsia="zh-CN" w:bidi="ar-SA"/>
        </w:rPr>
        <w:t>（二）</w:t>
      </w:r>
      <w:r>
        <w:rPr>
          <w:rFonts w:hint="eastAsia" w:eastAsia="仿宋_GB2312" w:cs="Times New Roman"/>
          <w:bCs/>
          <w:color w:val="auto"/>
          <w:szCs w:val="32"/>
          <w:highlight w:val="none"/>
          <w:lang w:val="en-US" w:eastAsia="zh-CN"/>
        </w:rPr>
        <w:t>严格</w:t>
      </w:r>
      <w:r>
        <w:rPr>
          <w:rFonts w:hint="default" w:ascii="Times New Roman" w:hAnsi="Times New Roman" w:eastAsia="仿宋_GB2312" w:cs="Times New Roman"/>
          <w:bCs/>
          <w:color w:val="auto"/>
          <w:szCs w:val="32"/>
          <w:highlight w:val="none"/>
        </w:rPr>
        <w:t>落实水污染防治措施。</w:t>
      </w:r>
      <w:r>
        <w:rPr>
          <w:rFonts w:hint="eastAsia" w:ascii="Times New Roman" w:hAnsi="Times New Roman" w:eastAsia="仿宋_GB2312" w:cs="Times New Roman"/>
          <w:color w:val="auto"/>
          <w:szCs w:val="32"/>
        </w:rPr>
        <w:t>硅烷气充装废气洗涤废水进入酸性废水处理系统“石灰中和+絮凝沉淀+高盐废水处理站”处理后</w:t>
      </w:r>
      <w:r>
        <w:rPr>
          <w:rFonts w:hint="eastAsia" w:ascii="Times New Roman" w:hAnsi="Times New Roman" w:eastAsia="仿宋_GB2312" w:cs="Times New Roman"/>
          <w:color w:val="auto"/>
          <w:szCs w:val="32"/>
          <w:lang w:val="en-US" w:eastAsia="zh-CN"/>
        </w:rPr>
        <w:t>执行</w:t>
      </w:r>
      <w:r>
        <w:rPr>
          <w:rFonts w:hint="eastAsia" w:ascii="Times New Roman" w:hAnsi="Times New Roman" w:eastAsia="仿宋_GB2312" w:cs="Times New Roman"/>
          <w:color w:val="auto"/>
          <w:szCs w:val="32"/>
        </w:rPr>
        <w:t>《城市污水再生利用 工业用水水质》（GB/T 19923-2024）工艺与产品用水标准</w:t>
      </w:r>
      <w:r>
        <w:rPr>
          <w:rFonts w:hint="eastAsia" w:ascii="Times New Roman" w:hAnsi="Times New Roman" w:eastAsia="仿宋_GB2312" w:cs="Times New Roman"/>
          <w:color w:val="auto"/>
          <w:szCs w:val="32"/>
          <w:lang w:eastAsia="zh-CN"/>
        </w:rPr>
        <w:t>，</w:t>
      </w:r>
      <w:r>
        <w:rPr>
          <w:rFonts w:hint="eastAsia" w:ascii="Times New Roman" w:hAnsi="Times New Roman" w:eastAsia="仿宋_GB2312" w:cs="Times New Roman"/>
          <w:color w:val="auto"/>
          <w:szCs w:val="32"/>
        </w:rPr>
        <w:t>回用不外排</w:t>
      </w:r>
      <w:r>
        <w:rPr>
          <w:rFonts w:hint="eastAsia" w:eastAsia="仿宋_GB2312" w:cs="Times New Roman"/>
          <w:color w:val="auto"/>
          <w:szCs w:val="32"/>
          <w:lang w:eastAsia="zh-CN"/>
        </w:rPr>
        <w:t>；</w:t>
      </w:r>
      <w:r>
        <w:rPr>
          <w:rFonts w:hint="eastAsia" w:ascii="Times New Roman" w:hAnsi="Times New Roman" w:eastAsia="仿宋_GB2312" w:cs="Times New Roman"/>
          <w:color w:val="auto"/>
          <w:szCs w:val="32"/>
        </w:rPr>
        <w:t>化验废水依托现有含氟废水处理站处理后</w:t>
      </w:r>
      <w:r>
        <w:rPr>
          <w:rFonts w:hint="eastAsia" w:eastAsia="仿宋_GB2312" w:cs="Times New Roman"/>
          <w:color w:val="auto"/>
          <w:szCs w:val="32"/>
          <w:lang w:eastAsia="zh-CN"/>
        </w:rPr>
        <w:t>，</w:t>
      </w:r>
      <w:r>
        <w:rPr>
          <w:rFonts w:hint="eastAsia" w:ascii="Times New Roman" w:hAnsi="Times New Roman" w:eastAsia="仿宋_GB2312" w:cs="Times New Roman"/>
          <w:color w:val="auto"/>
          <w:szCs w:val="32"/>
        </w:rPr>
        <w:t>进入园区污水处理厂</w:t>
      </w:r>
      <w:r>
        <w:rPr>
          <w:rFonts w:hint="eastAsia" w:eastAsia="仿宋_GB2312" w:cs="Times New Roman"/>
          <w:color w:val="auto"/>
          <w:szCs w:val="32"/>
          <w:lang w:val="en-US" w:eastAsia="zh-CN"/>
        </w:rPr>
        <w:t>再</w:t>
      </w:r>
      <w:r>
        <w:rPr>
          <w:rFonts w:hint="eastAsia" w:ascii="Times New Roman" w:hAnsi="Times New Roman" w:eastAsia="仿宋_GB2312" w:cs="Times New Roman"/>
          <w:color w:val="auto"/>
          <w:szCs w:val="32"/>
        </w:rPr>
        <w:t>处理</w:t>
      </w:r>
      <w:r>
        <w:rPr>
          <w:rFonts w:hint="eastAsia" w:eastAsia="仿宋_GB2312" w:cs="Times New Roman"/>
          <w:color w:val="auto"/>
          <w:szCs w:val="32"/>
          <w:lang w:eastAsia="zh-CN"/>
        </w:rPr>
        <w:t>。</w:t>
      </w:r>
      <w:r>
        <w:rPr>
          <w:rFonts w:hint="eastAsia" w:ascii="Times New Roman" w:hAnsi="Times New Roman" w:eastAsia="仿宋_GB2312" w:cs="Times New Roman"/>
          <w:color w:val="auto"/>
          <w:szCs w:val="32"/>
        </w:rPr>
        <w:t>车辆冲洗废水经沉淀池预处理后</w:t>
      </w:r>
      <w:r>
        <w:rPr>
          <w:rFonts w:hint="eastAsia" w:eastAsia="仿宋_GB2312" w:cs="Times New Roman"/>
          <w:color w:val="auto"/>
          <w:szCs w:val="32"/>
          <w:lang w:eastAsia="zh-CN"/>
        </w:rPr>
        <w:t>，</w:t>
      </w:r>
      <w:r>
        <w:rPr>
          <w:rFonts w:hint="eastAsia" w:ascii="Times New Roman" w:hAnsi="Times New Roman" w:eastAsia="仿宋_GB2312" w:cs="Times New Roman"/>
          <w:color w:val="auto"/>
          <w:szCs w:val="32"/>
        </w:rPr>
        <w:t>进入园区污水处理厂</w:t>
      </w:r>
      <w:r>
        <w:rPr>
          <w:rFonts w:hint="eastAsia" w:eastAsia="仿宋_GB2312" w:cs="Times New Roman"/>
          <w:color w:val="auto"/>
          <w:szCs w:val="32"/>
          <w:lang w:val="en-US" w:eastAsia="zh-CN"/>
        </w:rPr>
        <w:t>再</w:t>
      </w:r>
      <w:r>
        <w:rPr>
          <w:rFonts w:hint="eastAsia" w:ascii="Times New Roman" w:hAnsi="Times New Roman" w:eastAsia="仿宋_GB2312" w:cs="Times New Roman"/>
          <w:color w:val="auto"/>
          <w:szCs w:val="32"/>
        </w:rPr>
        <w:t>处理</w:t>
      </w:r>
      <w:r>
        <w:rPr>
          <w:rFonts w:hint="eastAsia" w:eastAsia="仿宋_GB2312" w:cs="Times New Roman"/>
          <w:color w:val="auto"/>
          <w:szCs w:val="32"/>
          <w:lang w:eastAsia="zh-CN"/>
        </w:rPr>
        <w:t>。</w:t>
      </w:r>
      <w:r>
        <w:rPr>
          <w:rFonts w:hint="eastAsia" w:ascii="Times New Roman" w:hAnsi="Times New Roman" w:eastAsia="仿宋_GB2312" w:cs="Times New Roman"/>
          <w:color w:val="auto"/>
          <w:szCs w:val="32"/>
        </w:rPr>
        <w:t>生活污水依托现有生活污水处理站</w:t>
      </w:r>
      <w:r>
        <w:rPr>
          <w:rFonts w:hint="eastAsia" w:ascii="Times New Roman" w:hAnsi="Times New Roman" w:eastAsia="仿宋_GB2312" w:cs="Times New Roman"/>
          <w:color w:val="auto"/>
          <w:szCs w:val="32"/>
          <w:lang w:val="en-US" w:eastAsia="zh-CN"/>
        </w:rPr>
        <w:t>处理后</w:t>
      </w:r>
      <w:r>
        <w:rPr>
          <w:rFonts w:hint="eastAsia" w:eastAsia="仿宋_GB2312" w:cs="Times New Roman"/>
          <w:color w:val="auto"/>
          <w:szCs w:val="32"/>
          <w:lang w:val="en-US" w:eastAsia="zh-CN"/>
        </w:rPr>
        <w:t>，</w:t>
      </w:r>
      <w:r>
        <w:rPr>
          <w:rFonts w:hint="eastAsia" w:ascii="Times New Roman" w:hAnsi="Times New Roman" w:eastAsia="仿宋_GB2312" w:cs="Times New Roman"/>
          <w:color w:val="auto"/>
          <w:szCs w:val="32"/>
        </w:rPr>
        <w:t>进入园区污水处理厂</w:t>
      </w:r>
      <w:r>
        <w:rPr>
          <w:rFonts w:hint="eastAsia" w:eastAsia="仿宋_GB2312" w:cs="Times New Roman"/>
          <w:color w:val="auto"/>
          <w:szCs w:val="32"/>
          <w:lang w:val="en-US" w:eastAsia="zh-CN"/>
        </w:rPr>
        <w:t>再</w:t>
      </w:r>
      <w:r>
        <w:rPr>
          <w:rFonts w:hint="eastAsia" w:ascii="Times New Roman" w:hAnsi="Times New Roman" w:eastAsia="仿宋_GB2312" w:cs="Times New Roman"/>
          <w:color w:val="auto"/>
          <w:szCs w:val="32"/>
        </w:rPr>
        <w:t>处理</w:t>
      </w:r>
      <w:r>
        <w:rPr>
          <w:rFonts w:hint="eastAsia" w:eastAsia="仿宋_GB2312" w:cs="Times New Roman"/>
          <w:color w:val="auto"/>
          <w:szCs w:val="32"/>
          <w:lang w:eastAsia="zh-CN"/>
        </w:rPr>
        <w:t>。</w:t>
      </w:r>
      <w:r>
        <w:rPr>
          <w:rFonts w:hint="eastAsia" w:ascii="Times New Roman" w:hAnsi="Times New Roman" w:eastAsia="仿宋_GB2312" w:cs="Times New Roman"/>
          <w:color w:val="auto"/>
          <w:szCs w:val="32"/>
        </w:rPr>
        <w:t>冷冻站废水、脱盐水站废水直接进入园区污水处理厂处理</w:t>
      </w:r>
      <w:r>
        <w:rPr>
          <w:rFonts w:hint="eastAsia" w:eastAsia="仿宋_GB2312" w:cs="Times New Roman"/>
          <w:color w:val="auto"/>
          <w:szCs w:val="32"/>
          <w:lang w:eastAsia="zh-CN"/>
        </w:rPr>
        <w:t>；</w:t>
      </w:r>
      <w:r>
        <w:rPr>
          <w:rFonts w:hint="eastAsia" w:eastAsia="仿宋_GB2312" w:cs="Times New Roman"/>
          <w:color w:val="auto"/>
          <w:szCs w:val="32"/>
          <w:lang w:val="en-US" w:eastAsia="zh-CN"/>
        </w:rPr>
        <w:t>以上</w:t>
      </w:r>
      <w:r>
        <w:rPr>
          <w:rFonts w:hint="eastAsia" w:ascii="Times New Roman" w:hAnsi="Times New Roman" w:eastAsia="仿宋_GB2312" w:cs="Times New Roman"/>
          <w:color w:val="auto"/>
          <w:szCs w:val="32"/>
        </w:rPr>
        <w:t>外排废水</w:t>
      </w:r>
      <w:bookmarkStart w:id="1" w:name="_GoBack"/>
      <w:bookmarkEnd w:id="1"/>
      <w:r>
        <w:rPr>
          <w:rFonts w:hint="eastAsia" w:ascii="Times New Roman" w:hAnsi="Times New Roman" w:eastAsia="仿宋_GB2312" w:cs="Times New Roman"/>
          <w:color w:val="auto"/>
          <w:szCs w:val="32"/>
          <w:lang w:val="en-US" w:eastAsia="zh-CN"/>
        </w:rPr>
        <w:t>执行</w:t>
      </w:r>
      <w:r>
        <w:rPr>
          <w:rFonts w:hint="eastAsia" w:ascii="Times New Roman" w:hAnsi="Times New Roman" w:eastAsia="仿宋_GB2312" w:cs="Times New Roman"/>
          <w:color w:val="auto"/>
          <w:szCs w:val="32"/>
        </w:rPr>
        <w:t>《污水综合排放标准》（8978-1996）表4三级排放标准、《污水排入城镇下水道水质标准》（GB/T 31962-2015）A级标准要求后，经园区下水管网排入胡杨河经济技术开发区污水处理厂处理。</w:t>
      </w:r>
    </w:p>
    <w:p w14:paraId="5A968F02">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lang w:val="en-US" w:eastAsia="zh-CN"/>
        </w:rPr>
      </w:pPr>
      <w:r>
        <w:rPr>
          <w:rFonts w:hint="eastAsia" w:ascii="Times New Roman" w:hAnsi="Times New Roman" w:eastAsia="仿宋_GB2312" w:cs="Times New Roman"/>
          <w:bCs/>
          <w:color w:val="auto"/>
          <w:szCs w:val="32"/>
          <w:highlight w:val="none"/>
          <w:lang w:val="en-US" w:eastAsia="zh-CN"/>
        </w:rPr>
        <w:t>（三）</w:t>
      </w:r>
      <w:r>
        <w:rPr>
          <w:rFonts w:hint="default" w:ascii="Times New Roman" w:hAnsi="Times New Roman" w:eastAsia="仿宋_GB2312" w:cs="Times New Roman"/>
          <w:bCs/>
          <w:color w:val="auto"/>
          <w:szCs w:val="32"/>
          <w:highlight w:val="none"/>
          <w:lang w:val="en-US" w:eastAsia="zh-CN"/>
        </w:rPr>
        <w:t>严格落实噪声防治措施。</w:t>
      </w:r>
      <w:r>
        <w:rPr>
          <w:rFonts w:ascii="Times New Roman" w:hAnsi="Times New Roman" w:eastAsia="仿宋_GB2312"/>
          <w:color w:val="auto"/>
          <w:highlight w:val="none"/>
        </w:rPr>
        <w:t>选择先进可靠的低噪声设备，对高噪声设备采用厂房隔声处理</w:t>
      </w:r>
      <w:r>
        <w:rPr>
          <w:rFonts w:hint="eastAsia" w:eastAsia="仿宋_GB2312"/>
          <w:color w:val="auto"/>
          <w:highlight w:val="none"/>
          <w:lang w:eastAsia="zh-CN"/>
        </w:rPr>
        <w:t>，</w:t>
      </w:r>
      <w:r>
        <w:rPr>
          <w:rFonts w:ascii="Times New Roman" w:hAnsi="Times New Roman" w:eastAsia="仿宋_GB2312"/>
          <w:color w:val="auto"/>
          <w:highlight w:val="none"/>
        </w:rPr>
        <w:t>设备安装采取减振基础</w:t>
      </w:r>
      <w:r>
        <w:rPr>
          <w:rFonts w:hint="eastAsia" w:eastAsia="仿宋_GB2312"/>
          <w:color w:val="auto"/>
          <w:highlight w:val="none"/>
          <w:lang w:val="en-US" w:eastAsia="zh-CN"/>
        </w:rPr>
        <w:t>等措施</w:t>
      </w:r>
      <w:r>
        <w:rPr>
          <w:rFonts w:hint="eastAsia" w:ascii="Times New Roman" w:hAnsi="Times New Roman" w:eastAsia="仿宋_GB2312"/>
          <w:color w:val="auto"/>
          <w:highlight w:val="none"/>
          <w:lang w:eastAsia="zh-CN"/>
        </w:rPr>
        <w:t>。</w:t>
      </w:r>
      <w:r>
        <w:rPr>
          <w:rFonts w:ascii="Times New Roman" w:hAnsi="Times New Roman" w:eastAsia="仿宋_GB2312"/>
          <w:color w:val="auto"/>
          <w:highlight w:val="none"/>
        </w:rPr>
        <w:t>厂界噪声排放</w:t>
      </w:r>
      <w:r>
        <w:rPr>
          <w:rFonts w:hint="eastAsia" w:ascii="Times New Roman" w:hAnsi="Times New Roman" w:eastAsia="仿宋_GB2312"/>
          <w:color w:val="auto"/>
          <w:highlight w:val="none"/>
          <w:lang w:val="en-US" w:eastAsia="zh-CN"/>
        </w:rPr>
        <w:t>执行</w:t>
      </w:r>
      <w:r>
        <w:rPr>
          <w:rFonts w:ascii="Times New Roman" w:hAnsi="Times New Roman" w:eastAsia="仿宋_GB2312"/>
          <w:color w:val="auto"/>
          <w:highlight w:val="none"/>
        </w:rPr>
        <w:t>《工业企业厂界环境噪声排放标准》（GB12348-2008）中3类标准要求。</w:t>
      </w:r>
    </w:p>
    <w:p w14:paraId="280E3420">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lang w:val="en-US" w:eastAsia="zh-CN"/>
        </w:rPr>
      </w:pPr>
      <w:r>
        <w:rPr>
          <w:rFonts w:hint="eastAsia" w:ascii="Times New Roman" w:hAnsi="Times New Roman" w:eastAsia="仿宋_GB2312" w:cs="Times New Roman"/>
          <w:bCs/>
          <w:color w:val="auto"/>
          <w:kern w:val="2"/>
          <w:sz w:val="32"/>
          <w:szCs w:val="32"/>
          <w:lang w:val="en-US" w:eastAsia="zh-CN" w:bidi="ar-SA"/>
        </w:rPr>
        <w:t>（四）</w:t>
      </w:r>
      <w:r>
        <w:rPr>
          <w:rFonts w:hint="default" w:ascii="Times New Roman" w:hAnsi="Times New Roman" w:eastAsia="仿宋_GB2312" w:cs="Times New Roman"/>
          <w:bCs/>
          <w:color w:val="auto"/>
          <w:szCs w:val="32"/>
          <w:highlight w:val="none"/>
        </w:rPr>
        <w:t>固体废物实施分类管理和妥善处理处置。</w:t>
      </w:r>
      <w:r>
        <w:rPr>
          <w:rFonts w:hint="eastAsia" w:ascii="Times New Roman" w:hAnsi="Times New Roman" w:eastAsia="仿宋_GB2312"/>
          <w:color w:val="auto"/>
          <w:highlight w:val="none"/>
          <w:lang w:val="en-US" w:eastAsia="zh-CN"/>
        </w:rPr>
        <w:t>一般固体废物中空分装置废分子筛、空分装置废滤材、废金属烧结滤芯、污水处理系统污泥脱水后，暂存于一般固体废物暂存库，送一般固体废物填埋场处理；蒸发结晶装置结晶盐暂存于一般固体废物暂存库，出售后综合利用</w:t>
      </w:r>
      <w:r>
        <w:rPr>
          <w:rFonts w:hint="eastAsia" w:eastAsia="仿宋_GB2312"/>
          <w:color w:val="auto"/>
          <w:highlight w:val="none"/>
          <w:lang w:val="en-US" w:eastAsia="zh-CN"/>
        </w:rPr>
        <w:t>；</w:t>
      </w:r>
      <w:r>
        <w:rPr>
          <w:rFonts w:hint="eastAsia" w:ascii="Times New Roman" w:hAnsi="Times New Roman" w:eastAsia="仿宋_GB2312"/>
          <w:color w:val="auto"/>
          <w:highlight w:val="none"/>
          <w:lang w:val="en-US" w:eastAsia="zh-CN"/>
        </w:rPr>
        <w:t>脱盐水站反渗透膜由厂家回收利用。</w:t>
      </w:r>
      <w:r>
        <w:rPr>
          <w:rFonts w:hint="eastAsia" w:eastAsia="仿宋_GB2312"/>
          <w:color w:val="auto"/>
          <w:highlight w:val="none"/>
          <w:lang w:val="en-US" w:eastAsia="zh-CN"/>
        </w:rPr>
        <w:t>危险废物中废弃包装物、废机油、化验室废物收集后暂存于危险废物贮存点，委托有资质的单位定期清运处理。</w:t>
      </w:r>
      <w:r>
        <w:rPr>
          <w:rFonts w:hint="default" w:ascii="Times New Roman" w:hAnsi="Times New Roman" w:eastAsia="仿宋_GB2312" w:cs="Times New Roman"/>
          <w:bCs/>
          <w:color w:val="auto"/>
          <w:szCs w:val="32"/>
          <w:highlight w:val="none"/>
          <w:lang w:val="en-US" w:eastAsia="zh-CN"/>
        </w:rPr>
        <w:t>危险废物的收集、贮存、运输须符合《危险废物收集 贮存 运输技术规范》（HJ2025-2012）及《危险废物贮存污染控制标准》（GB18597-2023）的相关要求。</w:t>
      </w:r>
      <w:r>
        <w:rPr>
          <w:rFonts w:hint="eastAsia" w:ascii="Times New Roman" w:hAnsi="Times New Roman" w:eastAsia="仿宋_GB2312" w:cs="Times New Roman"/>
          <w:color w:val="auto"/>
          <w:szCs w:val="32"/>
          <w:lang w:val="en-US" w:eastAsia="zh-CN"/>
        </w:rPr>
        <w:t>生活垃圾集中收集后由当地环卫部门定期清运至垃圾填埋场。</w:t>
      </w:r>
    </w:p>
    <w:p w14:paraId="06209AD6">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eastAsia" w:eastAsia="仿宋_GB2312" w:cs="Times New Roman"/>
          <w:color w:val="auto"/>
          <w:kern w:val="2"/>
          <w:szCs w:val="32"/>
          <w:highlight w:val="none"/>
          <w:lang w:eastAsia="zh-CN"/>
        </w:rPr>
      </w:pPr>
      <w:r>
        <w:rPr>
          <w:rFonts w:hint="default" w:ascii="Times New Roman" w:hAnsi="Times New Roman" w:eastAsia="仿宋_GB2312" w:cs="Times New Roman"/>
          <w:color w:val="auto"/>
        </w:rPr>
        <w:t>（</w:t>
      </w:r>
      <w:r>
        <w:rPr>
          <w:rFonts w:hint="eastAsia" w:eastAsia="仿宋_GB2312" w:cs="Times New Roman"/>
          <w:color w:val="auto"/>
          <w:lang w:val="en-US" w:eastAsia="zh-CN"/>
        </w:rPr>
        <w:t>五</w:t>
      </w:r>
      <w:r>
        <w:rPr>
          <w:rFonts w:hint="default" w:ascii="Times New Roman" w:hAnsi="Times New Roman" w:eastAsia="仿宋_GB2312" w:cs="Times New Roman"/>
          <w:color w:val="auto"/>
        </w:rPr>
        <w:t>）严格落实</w:t>
      </w:r>
      <w:r>
        <w:rPr>
          <w:rFonts w:hint="default" w:ascii="Times New Roman" w:hAnsi="Times New Roman" w:eastAsia="仿宋_GB2312" w:cs="Times New Roman"/>
          <w:color w:val="auto"/>
          <w:lang w:val="en-US" w:eastAsia="zh-CN"/>
        </w:rPr>
        <w:t>地下水及</w:t>
      </w:r>
      <w:r>
        <w:rPr>
          <w:rFonts w:hint="default" w:ascii="Times New Roman" w:hAnsi="Times New Roman" w:eastAsia="仿宋_GB2312" w:cs="Times New Roman"/>
          <w:color w:val="auto"/>
        </w:rPr>
        <w:t>土壤污染防治措施。</w:t>
      </w:r>
      <w:r>
        <w:rPr>
          <w:rFonts w:hint="eastAsia" w:eastAsia="仿宋_GB2312" w:cs="Times New Roman"/>
          <w:bCs/>
          <w:color w:val="auto"/>
          <w:szCs w:val="32"/>
          <w:highlight w:val="none"/>
          <w:lang w:eastAsia="zh-CN"/>
        </w:rPr>
        <w:t>按照源头防控、分区防治、污染监控、应急响应的原则进行地下水污染防治。严格按照导则要求，落实分区防渗和监控措施，</w:t>
      </w:r>
      <w:r>
        <w:rPr>
          <w:rFonts w:hint="eastAsia" w:eastAsia="仿宋_GB2312" w:cs="Times New Roman"/>
          <w:bCs/>
          <w:color w:val="auto"/>
          <w:szCs w:val="32"/>
          <w:highlight w:val="none"/>
          <w:lang w:val="en-US" w:eastAsia="zh-CN"/>
        </w:rPr>
        <w:t>对</w:t>
      </w:r>
      <w:r>
        <w:rPr>
          <w:rFonts w:ascii="Times New Roman" w:hAnsi="Times New Roman" w:eastAsia="仿宋_GB2312" w:cs="Times New Roman"/>
          <w:color w:val="auto"/>
          <w:szCs w:val="32"/>
        </w:rPr>
        <w:t>污水处理设施</w:t>
      </w:r>
      <w:r>
        <w:rPr>
          <w:rFonts w:hint="eastAsia" w:ascii="Times New Roman" w:hAnsi="Times New Roman" w:eastAsia="仿宋_GB2312"/>
          <w:color w:val="auto"/>
          <w:lang w:val="en-US" w:eastAsia="zh-CN"/>
        </w:rPr>
        <w:t>进行</w:t>
      </w:r>
      <w:r>
        <w:rPr>
          <w:rFonts w:hint="eastAsia" w:eastAsia="仿宋_GB2312" w:cs="Times New Roman"/>
          <w:color w:val="auto"/>
          <w:lang w:val="en-US" w:eastAsia="zh-CN"/>
        </w:rPr>
        <w:t>重点</w:t>
      </w:r>
      <w:r>
        <w:rPr>
          <w:rFonts w:hint="default" w:ascii="Times New Roman" w:hAnsi="Times New Roman" w:eastAsia="仿宋_GB2312" w:cs="Times New Roman"/>
          <w:color w:val="auto"/>
        </w:rPr>
        <w:t>防渗</w:t>
      </w:r>
      <w:r>
        <w:rPr>
          <w:rFonts w:hint="eastAsia" w:eastAsia="仿宋_GB2312" w:cs="Times New Roman"/>
          <w:color w:val="auto"/>
          <w:lang w:eastAsia="zh-CN"/>
        </w:rPr>
        <w:t>。</w:t>
      </w:r>
      <w:r>
        <w:rPr>
          <w:rFonts w:hint="eastAsia" w:eastAsia="仿宋_GB2312" w:cs="Times New Roman"/>
          <w:color w:val="auto"/>
          <w:lang w:val="en-US" w:eastAsia="zh-CN"/>
        </w:rPr>
        <w:t>对</w:t>
      </w:r>
      <w:bookmarkStart w:id="0" w:name="_Hlk139559299"/>
      <w:r>
        <w:rPr>
          <w:rFonts w:hint="eastAsia" w:eastAsia="仿宋_GB2312" w:cs="Times New Roman"/>
          <w:color w:val="auto"/>
          <w:lang w:val="en-US" w:eastAsia="zh-CN"/>
        </w:rPr>
        <w:t>硅烷制备车间、</w:t>
      </w:r>
      <w:bookmarkEnd w:id="0"/>
      <w:r>
        <w:rPr>
          <w:rFonts w:hint="eastAsia" w:eastAsia="仿宋_GB2312" w:cs="Times New Roman"/>
          <w:color w:val="auto"/>
          <w:lang w:val="en-US" w:eastAsia="zh-CN"/>
        </w:rPr>
        <w:t>硅烷气罐装厂房、冷冻站、颗粒硅车间生产区、成品库房</w:t>
      </w:r>
      <w:r>
        <w:rPr>
          <w:rFonts w:hint="eastAsia" w:ascii="Times New Roman" w:hAnsi="Times New Roman" w:eastAsia="仿宋_GB2312"/>
          <w:color w:val="auto"/>
          <w:lang w:val="en-US" w:eastAsia="zh-CN"/>
        </w:rPr>
        <w:t>进行一般</w:t>
      </w:r>
      <w:r>
        <w:rPr>
          <w:rFonts w:hint="default" w:ascii="Times New Roman" w:hAnsi="Times New Roman" w:eastAsia="仿宋_GB2312" w:cs="Times New Roman"/>
          <w:color w:val="auto"/>
        </w:rPr>
        <w:t>防渗</w:t>
      </w:r>
      <w:r>
        <w:rPr>
          <w:rFonts w:hint="eastAsia" w:eastAsia="仿宋_GB2312" w:cs="Times New Roman"/>
          <w:color w:val="auto"/>
          <w:lang w:eastAsia="zh-CN"/>
        </w:rPr>
        <w:t>。</w:t>
      </w:r>
      <w:r>
        <w:rPr>
          <w:rFonts w:hint="eastAsia" w:eastAsia="仿宋_GB2312" w:cs="Times New Roman"/>
          <w:color w:val="auto"/>
          <w:kern w:val="2"/>
          <w:szCs w:val="32"/>
          <w:highlight w:val="none"/>
          <w:lang w:eastAsia="zh-CN"/>
        </w:rPr>
        <w:t>加强防渗设施的日常维护，对出现损坏的防渗设施应及时修复和加固，确保防渗设施牢固安全。</w:t>
      </w:r>
    </w:p>
    <w:p w14:paraId="1172D56E">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六</w:t>
      </w:r>
      <w:r>
        <w:rPr>
          <w:rFonts w:hint="default" w:ascii="Times New Roman" w:hAnsi="Times New Roman" w:eastAsia="仿宋_GB2312" w:cs="Times New Roman"/>
          <w:bCs/>
          <w:color w:val="auto"/>
          <w:szCs w:val="32"/>
          <w:highlight w:val="none"/>
        </w:rPr>
        <w:t>）</w:t>
      </w:r>
      <w:r>
        <w:rPr>
          <w:rFonts w:hint="default" w:ascii="Times New Roman" w:hAnsi="Times New Roman" w:eastAsia="仿宋_GB2312" w:cs="Times New Roman"/>
          <w:bCs/>
          <w:color w:val="auto"/>
          <w:szCs w:val="32"/>
          <w:highlight w:val="none"/>
          <w:lang w:eastAsia="zh-CN"/>
        </w:rPr>
        <w:t>加强施工期环境保护，落实防沙治沙措施，防止施工废水、扬尘、噪声污染、水土流失和生态破坏。</w:t>
      </w:r>
    </w:p>
    <w:p w14:paraId="21C8611F">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七</w:t>
      </w:r>
      <w:r>
        <w:rPr>
          <w:rFonts w:hint="default" w:ascii="Times New Roman" w:hAnsi="Times New Roman" w:eastAsia="仿宋_GB2312" w:cs="Times New Roman"/>
          <w:bCs/>
          <w:color w:val="auto"/>
          <w:szCs w:val="32"/>
          <w:highlight w:val="none"/>
        </w:rPr>
        <w:t>）强化各项环境风险防范措施，有效防范环境风险。定期开展环境风险应急培训和演练，落实各项应急环境管理措施以及各项风险防范措施，确保风险事故得到有效控制。</w:t>
      </w:r>
    </w:p>
    <w:p w14:paraId="24F231E2">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eastAsia="zh-CN"/>
        </w:rPr>
        <w:t>（</w:t>
      </w:r>
      <w:r>
        <w:rPr>
          <w:rFonts w:hint="eastAsia" w:eastAsia="仿宋_GB2312" w:cs="Times New Roman"/>
          <w:bCs/>
          <w:color w:val="auto"/>
          <w:szCs w:val="32"/>
          <w:highlight w:val="none"/>
          <w:lang w:val="en-US" w:eastAsia="zh-CN"/>
        </w:rPr>
        <w:t>八</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在工程运营过程中，应建立畅通的公众参与平台，加强宣传与沟通工作，及时解决公众提出的合理环境诉求。定期发布企业环境信息，并主动接受社会监督。</w:t>
      </w:r>
    </w:p>
    <w:p w14:paraId="367ABA6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36983DF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五、环境影响报告</w:t>
      </w:r>
      <w:r>
        <w:rPr>
          <w:rFonts w:hint="eastAsia" w:eastAsia="仿宋_GB2312" w:cs="Times New Roman"/>
          <w:bCs/>
          <w:color w:val="auto"/>
          <w:szCs w:val="32"/>
          <w:highlight w:val="none"/>
          <w:lang w:val="en-US" w:eastAsia="zh-CN"/>
        </w:rPr>
        <w:t>书</w:t>
      </w:r>
      <w:r>
        <w:rPr>
          <w:rFonts w:hint="default" w:ascii="Times New Roman" w:hAnsi="Times New Roman" w:eastAsia="仿宋_GB2312" w:cs="Times New Roman"/>
          <w:bCs/>
          <w:color w:val="auto"/>
          <w:szCs w:val="32"/>
          <w:highlight w:val="none"/>
        </w:rPr>
        <w:t>经批准后，该项目的性质、规模、地点、生产工艺和环境保护措施发生重大变动，且可能导致环境影响显著变化</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特别是不利环境影响加重</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的，应当重新报批该项目环境影响评价报告。</w:t>
      </w:r>
    </w:p>
    <w:p w14:paraId="36131E7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六、在启动生产设施或者在实际排污之前，按照经批准的环境影响评价文件认真梳理并确认各项环境保护措施落实后，依法</w:t>
      </w:r>
      <w:r>
        <w:rPr>
          <w:rFonts w:hint="eastAsia" w:eastAsia="仿宋_GB2312" w:cs="Times New Roman"/>
          <w:bCs/>
          <w:color w:val="auto"/>
          <w:szCs w:val="32"/>
          <w:highlight w:val="none"/>
          <w:lang w:val="en-US" w:eastAsia="zh-CN"/>
        </w:rPr>
        <w:t>依规重新</w:t>
      </w:r>
      <w:r>
        <w:rPr>
          <w:rFonts w:hint="default" w:ascii="Times New Roman" w:hAnsi="Times New Roman" w:eastAsia="仿宋_GB2312" w:cs="Times New Roman"/>
          <w:bCs/>
          <w:color w:val="auto"/>
          <w:szCs w:val="32"/>
          <w:highlight w:val="none"/>
        </w:rPr>
        <w:t>申领排污许可证。</w:t>
      </w:r>
    </w:p>
    <w:p w14:paraId="0212C16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val="en-US" w:eastAsia="zh-CN"/>
        </w:rPr>
        <w:t>七</w:t>
      </w:r>
      <w:r>
        <w:rPr>
          <w:rFonts w:hint="default" w:ascii="Times New Roman" w:hAnsi="Times New Roman" w:eastAsia="仿宋_GB2312" w:cs="Times New Roman"/>
          <w:bCs/>
          <w:color w:val="auto"/>
          <w:szCs w:val="32"/>
          <w:highlight w:val="none"/>
        </w:rPr>
        <w:t>、胡杨河经济技术开发区应急管理和环境保护局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66A63F0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val="en-US" w:eastAsia="zh-CN"/>
        </w:rPr>
        <w:t>八</w:t>
      </w:r>
      <w:r>
        <w:rPr>
          <w:rFonts w:hint="default" w:ascii="Times New Roman" w:hAnsi="Times New Roman" w:eastAsia="仿宋_GB2312" w:cs="Times New Roman"/>
          <w:bCs/>
          <w:color w:val="auto"/>
          <w:szCs w:val="32"/>
          <w:highlight w:val="none"/>
        </w:rPr>
        <w:t>、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报告</w:t>
      </w:r>
      <w:r>
        <w:rPr>
          <w:rFonts w:hint="eastAsia" w:eastAsia="仿宋_GB2312" w:cs="Times New Roman"/>
          <w:bCs/>
          <w:color w:val="auto"/>
          <w:szCs w:val="32"/>
          <w:highlight w:val="none"/>
          <w:lang w:val="en-US" w:eastAsia="zh-CN"/>
        </w:rPr>
        <w:t>书</w:t>
      </w:r>
      <w:r>
        <w:rPr>
          <w:rFonts w:hint="default" w:ascii="Times New Roman" w:hAnsi="Times New Roman" w:eastAsia="仿宋_GB2312" w:cs="Times New Roman"/>
          <w:bCs/>
          <w:color w:val="auto"/>
          <w:szCs w:val="32"/>
          <w:highlight w:val="none"/>
        </w:rPr>
        <w:t>送师市生态环境保护综合行政执法支队、生态环境监测站、胡杨河经济技术开发区应急管理和环境保护局，并按规定接受各级生态环境主管部门的监督检查。</w:t>
      </w:r>
    </w:p>
    <w:p w14:paraId="3F8719BC">
      <w:pPr>
        <w:keepNext w:val="0"/>
        <w:keepLines w:val="0"/>
        <w:pageBreakBefore w:val="0"/>
        <w:widowControl w:val="0"/>
        <w:kinsoku/>
        <w:wordWrap/>
        <w:overflowPunct/>
        <w:topLinePunct w:val="0"/>
        <w:autoSpaceDE/>
        <w:autoSpaceDN/>
        <w:bidi w:val="0"/>
        <w:adjustRightInd/>
        <w:snapToGrid/>
        <w:spacing w:line="740" w:lineRule="exact"/>
        <w:ind w:firstLine="4740" w:firstLineChars="1500"/>
        <w:textAlignment w:val="auto"/>
        <w:rPr>
          <w:rFonts w:hint="default" w:ascii="Times New Roman" w:hAnsi="Times New Roman" w:eastAsia="仿宋_GB2312" w:cs="Times New Roman"/>
          <w:bCs/>
          <w:color w:val="auto"/>
          <w:szCs w:val="32"/>
          <w:highlight w:val="none"/>
        </w:rPr>
      </w:pPr>
    </w:p>
    <w:p w14:paraId="6E2FBCCF">
      <w:pPr>
        <w:keepNext w:val="0"/>
        <w:keepLines w:val="0"/>
        <w:pageBreakBefore w:val="0"/>
        <w:widowControl w:val="0"/>
        <w:kinsoku/>
        <w:wordWrap/>
        <w:overflowPunct/>
        <w:topLinePunct w:val="0"/>
        <w:autoSpaceDE/>
        <w:autoSpaceDN/>
        <w:bidi w:val="0"/>
        <w:adjustRightInd/>
        <w:snapToGrid/>
        <w:spacing w:line="740" w:lineRule="exact"/>
        <w:ind w:firstLine="4740" w:firstLineChars="1500"/>
        <w:textAlignment w:val="auto"/>
        <w:rPr>
          <w:rFonts w:hint="default" w:ascii="Times New Roman" w:hAnsi="Times New Roman" w:eastAsia="仿宋_GB2312" w:cs="Times New Roman"/>
          <w:bCs/>
          <w:color w:val="auto"/>
          <w:szCs w:val="32"/>
          <w:highlight w:val="none"/>
        </w:rPr>
      </w:pPr>
    </w:p>
    <w:p w14:paraId="5167903C">
      <w:pPr>
        <w:keepNext w:val="0"/>
        <w:keepLines w:val="0"/>
        <w:pageBreakBefore w:val="0"/>
        <w:widowControl w:val="0"/>
        <w:kinsoku/>
        <w:wordWrap/>
        <w:overflowPunct/>
        <w:topLinePunct w:val="0"/>
        <w:autoSpaceDE/>
        <w:autoSpaceDN/>
        <w:bidi w:val="0"/>
        <w:adjustRightInd/>
        <w:snapToGrid/>
        <w:spacing w:line="400" w:lineRule="exact"/>
        <w:ind w:firstLine="4740" w:firstLineChars="15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 xml:space="preserve">第七师胡杨河市生态环境局 </w:t>
      </w:r>
    </w:p>
    <w:p w14:paraId="64D7B946">
      <w:pPr>
        <w:keepNext w:val="0"/>
        <w:keepLines w:val="0"/>
        <w:pageBreakBefore w:val="0"/>
        <w:widowControl w:val="0"/>
        <w:kinsoku/>
        <w:wordWrap/>
        <w:overflowPunct/>
        <w:topLinePunct w:val="0"/>
        <w:autoSpaceDE/>
        <w:autoSpaceDN/>
        <w:bidi w:val="0"/>
        <w:adjustRightInd/>
        <w:snapToGrid/>
        <w:spacing w:line="400" w:lineRule="exact"/>
        <w:ind w:firstLine="5372" w:firstLineChars="17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Cs/>
          <w:color w:val="auto"/>
          <w:szCs w:val="32"/>
          <w:highlight w:val="none"/>
        </w:rPr>
        <w:t>202</w:t>
      </w:r>
      <w:r>
        <w:rPr>
          <w:rFonts w:hint="eastAsia" w:eastAsia="仿宋_GB2312" w:cs="Times New Roman"/>
          <w:bCs/>
          <w:color w:val="auto"/>
          <w:szCs w:val="32"/>
          <w:highlight w:val="none"/>
          <w:lang w:val="en-US" w:eastAsia="zh-CN"/>
        </w:rPr>
        <w:t>6</w:t>
      </w:r>
      <w:r>
        <w:rPr>
          <w:rFonts w:hint="default" w:ascii="Times New Roman" w:hAnsi="Times New Roman" w:eastAsia="仿宋_GB2312" w:cs="Times New Roman"/>
          <w:bCs/>
          <w:color w:val="auto"/>
          <w:szCs w:val="32"/>
          <w:highlight w:val="none"/>
        </w:rPr>
        <w:t>年</w:t>
      </w:r>
      <w:r>
        <w:rPr>
          <w:rFonts w:hint="eastAsia" w:eastAsia="仿宋_GB2312" w:cs="Times New Roman"/>
          <w:bCs/>
          <w:color w:val="auto"/>
          <w:szCs w:val="32"/>
          <w:highlight w:val="none"/>
          <w:lang w:val="en-US" w:eastAsia="zh-CN"/>
        </w:rPr>
        <w:t>8</w:t>
      </w:r>
      <w:r>
        <w:rPr>
          <w:rFonts w:hint="default" w:ascii="Times New Roman" w:hAnsi="Times New Roman" w:eastAsia="仿宋_GB2312" w:cs="Times New Roman"/>
          <w:bCs/>
          <w:color w:val="auto"/>
          <w:szCs w:val="32"/>
          <w:highlight w:val="none"/>
        </w:rPr>
        <w:t>月</w:t>
      </w:r>
      <w:r>
        <w:rPr>
          <w:rFonts w:hint="eastAsia" w:eastAsia="仿宋_GB2312" w:cs="Times New Roman"/>
          <w:bCs/>
          <w:color w:val="auto"/>
          <w:szCs w:val="32"/>
          <w:highlight w:val="none"/>
          <w:lang w:val="en-US" w:eastAsia="zh-CN"/>
        </w:rPr>
        <w:t>21</w:t>
      </w:r>
      <w:r>
        <w:rPr>
          <w:rFonts w:hint="default" w:ascii="Times New Roman" w:hAnsi="Times New Roman" w:eastAsia="仿宋_GB2312" w:cs="Times New Roman"/>
          <w:bCs/>
          <w:color w:val="auto"/>
          <w:szCs w:val="32"/>
          <w:highlight w:val="none"/>
        </w:rPr>
        <w:t>日</w:t>
      </w:r>
    </w:p>
    <w:p w14:paraId="78E62357">
      <w:pPr>
        <w:spacing w:line="400" w:lineRule="exact"/>
        <w:ind w:right="316" w:rightChars="100"/>
        <w:rPr>
          <w:rFonts w:hint="default" w:ascii="Times New Roman" w:hAnsi="Times New Roman" w:eastAsia="仿宋_GB2312" w:cs="Times New Roman"/>
          <w:color w:val="auto"/>
          <w:sz w:val="28"/>
          <w:szCs w:val="28"/>
        </w:rPr>
      </w:pPr>
    </w:p>
    <w:p w14:paraId="0899815C">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38B5262">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7DAAFEB">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386C91C4">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51368CDA">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19F12197">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6BA3949">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BCC775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DFEB57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2C7126D">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16956E2E">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941AAC6">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79B36E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E7019DD">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947C309">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EB24CF2">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751B106">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D32A463">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4B846CB">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57B2A3A">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ABEA5B0">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27DE9AB8">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22ED02F0">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3A171B1">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34869A64">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45A79B2">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A0823C4">
      <w:pPr>
        <w:spacing w:line="400" w:lineRule="exact"/>
        <w:ind w:right="316" w:rightChars="100"/>
        <w:rPr>
          <w:rFonts w:hint="default" w:ascii="Times New Roman" w:hAnsi="Times New Roman" w:eastAsia="仿宋_GB2312" w:cs="Times New Roman"/>
          <w:color w:val="auto"/>
          <w:sz w:val="28"/>
          <w:szCs w:val="28"/>
        </w:rPr>
      </w:pPr>
    </w:p>
    <w:p w14:paraId="35C2C75D">
      <w:pPr>
        <w:spacing w:line="400" w:lineRule="exact"/>
        <w:ind w:right="316" w:rightChars="1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-10795</wp:posOffset>
                </wp:positionV>
                <wp:extent cx="5568315" cy="1079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568315" cy="1079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0.85pt;height:0.85pt;width:438.45pt;z-index:251660288;mso-width-relative:page;mso-height-relative:page;" filled="f" stroked="t" coordsize="21600,21600" o:gfxdata="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PhbN/TAAAABAEAAA8AAAAAAAAAAQAgAAAAIgAAAGRycy9kb3du&#10;cmV2LnhtbFBLAQIUABQAAAAIAIdO4kCJn9VuBAIAAAEEAAAOAAAAAAAAAAEAIAAAACIBAABkcnMv&#10;ZTJvRG9jLnhtbFBLBQYAAAAABgAGAFkBAACYBQ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抄送：师市生态环境保护综合行政执法支队、生态环境监测站、胡杨河经济技术开发区应急管理和环境保护局。</w:t>
      </w:r>
    </w:p>
    <w:p w14:paraId="66A4461E">
      <w:pPr>
        <w:spacing w:line="600" w:lineRule="exact"/>
        <w:ind w:right="316" w:rightChars="100" w:firstLine="254" w:firstLineChars="100"/>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color w:val="auto"/>
          <w:spacing w:val="-11"/>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382270</wp:posOffset>
                </wp:positionV>
                <wp:extent cx="5615940" cy="1905"/>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940" cy="190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1pt;height:0.15pt;width:442.2pt;z-index:251661312;mso-width-relative:page;mso-height-relative:page;" filled="f" stroked="t" coordsize="21600,21600" o:gfxdata="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5uTPV1AAAAAYBAAAPAAAAAAAAAAEAIAAAACIAAABkcnMvZG93bnJldi54bWxQSwEC&#10;FAAUAAAACACHTuJAHiSEh/gBAAD2AwAADgAAAAAAAAABACAAAAAjAQAAZHJzL2Uyb0RvYy54bWxQ&#10;SwUGAAAAAAYABgBZAQAAjQ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pacing w:val="-11"/>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-6350</wp:posOffset>
                </wp:positionV>
                <wp:extent cx="5577840" cy="635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577840" cy="635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0.5pt;height:0.5pt;width:439.2pt;z-index:251661312;mso-width-relative:page;mso-height-relative:page;" filled="f" stroked="t" coordsize="21600,21600" o:gfxdata="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iMwQNMAAAAEAQAADwAAAAAAAAABACAAAAAiAAAAZHJzL2Rv&#10;d25yZXYueG1sUEsBAhQAFAAAAAgAh07iQPj8sJsGAgAA/wMAAA4AAAAAAAAAAQAgAAAAIgEAAGRy&#10;cy9lMm9Eb2MueG1sUEsFBgAAAAAGAAYAWQEAAJo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pacing w:val="-11"/>
          <w:sz w:val="28"/>
          <w:szCs w:val="28"/>
        </w:rPr>
        <w:t>新疆生产建设兵团第七师胡杨河市生态环境局</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202</w:t>
      </w:r>
      <w:r>
        <w:rPr>
          <w:rFonts w:hint="eastAsia"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年</w:t>
      </w:r>
      <w:r>
        <w:rPr>
          <w:rFonts w:hint="eastAsia" w:eastAsia="仿宋_GB2312" w:cs="Times New Roman"/>
          <w:color w:val="auto"/>
          <w:sz w:val="28"/>
          <w:szCs w:val="28"/>
          <w:lang w:val="en-US" w:eastAsia="zh-CN"/>
        </w:rPr>
        <w:t>8</w:t>
      </w:r>
      <w:r>
        <w:rPr>
          <w:rFonts w:hint="default" w:ascii="Times New Roman" w:hAnsi="Times New Roman" w:eastAsia="仿宋_GB2312" w:cs="Times New Roman"/>
          <w:color w:val="auto"/>
          <w:sz w:val="28"/>
          <w:szCs w:val="28"/>
        </w:rPr>
        <w:t>月</w:t>
      </w:r>
      <w:r>
        <w:rPr>
          <w:rFonts w:hint="eastAsia" w:eastAsia="仿宋_GB2312" w:cs="Times New Roman"/>
          <w:color w:val="auto"/>
          <w:sz w:val="28"/>
          <w:szCs w:val="28"/>
          <w:lang w:val="en-US" w:eastAsia="zh-CN"/>
        </w:rPr>
        <w:t>21</w:t>
      </w:r>
      <w:r>
        <w:rPr>
          <w:rFonts w:hint="default" w:ascii="Times New Roman" w:hAnsi="Times New Roman" w:eastAsia="仿宋_GB2312" w:cs="Times New Roman"/>
          <w:color w:val="auto"/>
          <w:sz w:val="28"/>
          <w:szCs w:val="28"/>
        </w:rPr>
        <w:t>日印发</w:t>
      </w:r>
    </w:p>
    <w:sectPr>
      <w:headerReference r:id="rId3" w:type="default"/>
      <w:footerReference r:id="rId4" w:type="default"/>
      <w:footerReference r:id="rId5" w:type="even"/>
      <w:pgSz w:w="11906" w:h="16838"/>
      <w:pgMar w:top="2098" w:right="1474" w:bottom="1984" w:left="1587" w:header="851" w:footer="1418" w:gutter="0"/>
      <w:pgNumType w:fmt="decimal"/>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ronet">
    <w:altName w:val="微软雅黑"/>
    <w:panose1 w:val="00000000000000000000"/>
    <w:charset w:val="00"/>
    <w:family w:val="script"/>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66150">
    <w:pPr>
      <w:pStyle w:val="11"/>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219075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3E986">
                          <w:pPr>
                            <w:pStyle w:val="11"/>
                            <w:ind w:left="320" w:leftChars="100" w:right="320" w:rightChars="100"/>
                            <w:rPr>
                              <w:rStyle w:val="22"/>
                              <w:rFonts w:hint="eastAsia" w:ascii="仿宋_GB2312" w:eastAsia="仿宋_GB2312"/>
                              <w:b/>
                              <w:bCs/>
                              <w:sz w:val="28"/>
                              <w:szCs w:val="28"/>
                            </w:rPr>
                          </w:pPr>
                          <w:r>
                            <w:rPr>
                              <w:rStyle w:val="22"/>
                              <w:rFonts w:hint="eastAsia" w:ascii="仿宋_GB2312" w:eastAsia="仿宋_GB2312"/>
                              <w:sz w:val="28"/>
                              <w:szCs w:val="28"/>
                            </w:rPr>
                            <w:t xml:space="preserve">— </w:t>
                          </w:r>
                          <w:r>
                            <w:rPr>
                              <w:rFonts w:hint="eastAsia" w:ascii="宋体" w:hAnsi="宋体" w:eastAsia="宋体" w:cs="宋体"/>
                              <w:sz w:val="28"/>
                              <w:szCs w:val="28"/>
                            </w:rPr>
                            <w:fldChar w:fldCharType="begin"/>
                          </w:r>
                          <w:r>
                            <w:rPr>
                              <w:rStyle w:val="2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22"/>
                              <w:rFonts w:hint="eastAsia" w:ascii="宋体" w:hAnsi="宋体" w:eastAsia="宋体" w:cs="宋体"/>
                              <w:sz w:val="28"/>
                              <w:szCs w:val="28"/>
                            </w:rPr>
                            <w:t>1</w:t>
                          </w:r>
                          <w:r>
                            <w:rPr>
                              <w:rFonts w:hint="eastAsia" w:ascii="宋体" w:hAnsi="宋体" w:eastAsia="宋体" w:cs="宋体"/>
                              <w:sz w:val="28"/>
                              <w:szCs w:val="28"/>
                            </w:rPr>
                            <w:fldChar w:fldCharType="end"/>
                          </w:r>
                          <w:r>
                            <w:rPr>
                              <w:rStyle w:val="22"/>
                              <w:rFonts w:hint="eastAsia" w:ascii="仿宋_GB2312" w:eastAsia="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7.25pt;height:144pt;width:144pt;mso-position-horizontal:outside;mso-position-horizontal-relative:margin;mso-wrap-style:none;z-index:251659264;mso-width-relative:page;mso-height-relative:page;" filled="f" stroked="f" coordsize="21600,21600" o:gfxdata="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LxMNQAAAAH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3EF3E986">
                    <w:pPr>
                      <w:pStyle w:val="11"/>
                      <w:ind w:left="320" w:leftChars="100" w:right="320" w:rightChars="100"/>
                      <w:rPr>
                        <w:rStyle w:val="22"/>
                        <w:rFonts w:hint="eastAsia" w:ascii="仿宋_GB2312" w:eastAsia="仿宋_GB2312"/>
                        <w:b/>
                        <w:bCs/>
                        <w:sz w:val="28"/>
                        <w:szCs w:val="28"/>
                      </w:rPr>
                    </w:pPr>
                    <w:r>
                      <w:rPr>
                        <w:rStyle w:val="22"/>
                        <w:rFonts w:hint="eastAsia" w:ascii="仿宋_GB2312" w:eastAsia="仿宋_GB2312"/>
                        <w:sz w:val="28"/>
                        <w:szCs w:val="28"/>
                      </w:rPr>
                      <w:t xml:space="preserve">— </w:t>
                    </w:r>
                    <w:r>
                      <w:rPr>
                        <w:rFonts w:hint="eastAsia" w:ascii="宋体" w:hAnsi="宋体" w:eastAsia="宋体" w:cs="宋体"/>
                        <w:sz w:val="28"/>
                        <w:szCs w:val="28"/>
                      </w:rPr>
                      <w:fldChar w:fldCharType="begin"/>
                    </w:r>
                    <w:r>
                      <w:rPr>
                        <w:rStyle w:val="2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22"/>
                        <w:rFonts w:hint="eastAsia" w:ascii="宋体" w:hAnsi="宋体" w:eastAsia="宋体" w:cs="宋体"/>
                        <w:sz w:val="28"/>
                        <w:szCs w:val="28"/>
                      </w:rPr>
                      <w:t>1</w:t>
                    </w:r>
                    <w:r>
                      <w:rPr>
                        <w:rFonts w:hint="eastAsia" w:ascii="宋体" w:hAnsi="宋体" w:eastAsia="宋体" w:cs="宋体"/>
                        <w:sz w:val="28"/>
                        <w:szCs w:val="28"/>
                      </w:rPr>
                      <w:fldChar w:fldCharType="end"/>
                    </w:r>
                    <w:r>
                      <w:rPr>
                        <w:rStyle w:val="22"/>
                        <w:rFonts w:hint="eastAsia" w:ascii="仿宋_GB2312" w:eastAsia="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7F3F2">
    <w:pPr>
      <w:pStyle w:val="11"/>
      <w:framePr w:wrap="around" w:vAnchor="text" w:hAnchor="margin" w:xAlign="outside" w:y="1"/>
      <w:rPr>
        <w:rStyle w:val="22"/>
      </w:rPr>
    </w:pPr>
    <w:r>
      <w:fldChar w:fldCharType="begin"/>
    </w:r>
    <w:r>
      <w:rPr>
        <w:rStyle w:val="22"/>
      </w:rPr>
      <w:instrText xml:space="preserve">PAGE  </w:instrText>
    </w:r>
    <w:r>
      <w:fldChar w:fldCharType="separate"/>
    </w:r>
    <w:r>
      <w:rPr>
        <w:rStyle w:val="22"/>
      </w:rPr>
      <w:t>1</w:t>
    </w:r>
    <w:r>
      <w:fldChar w:fldCharType="end"/>
    </w:r>
  </w:p>
  <w:p w14:paraId="0475D362">
    <w:pPr>
      <w:pStyle w:val="1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9CAC5">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401AFB"/>
    <w:multiLevelType w:val="multilevel"/>
    <w:tmpl w:val="7F401AFB"/>
    <w:lvl w:ilvl="0" w:tentative="0">
      <w:start w:val="1"/>
      <w:numFmt w:val="decimal"/>
      <w:pStyle w:val="2"/>
      <w:suff w:val="space"/>
      <w:lvlText w:val="%1"/>
      <w:lvlJc w:val="center"/>
      <w:pPr>
        <w:ind w:left="0" w:firstLine="0"/>
      </w:pPr>
      <w:rPr>
        <w:rFonts w:hint="default" w:ascii="Times New Roman" w:hAnsi="Times New Roman" w:eastAsia="宋体"/>
        <w:b/>
        <w:i w:val="0"/>
        <w:caps w:val="0"/>
        <w:strike w:val="0"/>
        <w:dstrike w:val="0"/>
        <w:vanish w:val="0"/>
        <w:color w:val="auto"/>
        <w:sz w:val="28"/>
        <w:szCs w:val="32"/>
        <w:u w:val="none"/>
        <w:vertAlign w:val="baseline"/>
      </w:rPr>
    </w:lvl>
    <w:lvl w:ilvl="1" w:tentative="0">
      <w:start w:val="1"/>
      <w:numFmt w:val="decimal"/>
      <w:isLgl/>
      <w:suff w:val="space"/>
      <w:lvlText w:val="%1.%2"/>
      <w:lvlJc w:val="left"/>
      <w:pPr>
        <w:ind w:left="0" w:firstLine="0"/>
      </w:pPr>
      <w:rPr>
        <w:rFonts w:hint="default" w:ascii="Times New Roman" w:hAnsi="Times New Roman" w:eastAsia="宋体"/>
        <w:b/>
        <w:i w:val="0"/>
        <w:caps w:val="0"/>
        <w:smallCaps w:val="0"/>
        <w:strike w:val="0"/>
        <w:dstrike w:val="0"/>
        <w:vanish w:val="0"/>
        <w:spacing w:val="0"/>
        <w:position w:val="0"/>
        <w:sz w:val="24"/>
        <w:u w:val="none"/>
        <w:vertAlign w:val="baseline"/>
      </w:rPr>
    </w:lvl>
    <w:lvl w:ilvl="2" w:tentative="0">
      <w:start w:val="1"/>
      <w:numFmt w:val="decimal"/>
      <w:suff w:val="space"/>
      <w:lvlText w:val="%1.%2.%3"/>
      <w:lvlJc w:val="left"/>
      <w:pPr>
        <w:ind w:left="280" w:firstLine="0"/>
      </w:pPr>
      <w:rPr>
        <w:rFonts w:hint="default" w:ascii="Times New Roman" w:hAnsi="Times New Roman" w:eastAsia="宋体"/>
        <w:b w:val="0"/>
        <w:i w:val="0"/>
        <w:caps w:val="0"/>
        <w:strike w:val="0"/>
        <w:dstrike w:val="0"/>
        <w:vanish w:val="0"/>
        <w:color w:val="auto"/>
        <w:sz w:val="24"/>
        <w:szCs w:val="28"/>
        <w:u w:val="none"/>
        <w:vertAlign w:val="baseline"/>
      </w:rPr>
    </w:lvl>
    <w:lvl w:ilvl="3" w:tentative="0">
      <w:start w:val="1"/>
      <w:numFmt w:val="decimal"/>
      <w:isLgl/>
      <w:suff w:val="space"/>
      <w:lvlText w:val="%1.%2.%3.%4"/>
      <w:lvlJc w:val="left"/>
      <w:pPr>
        <w:ind w:left="0" w:firstLine="0"/>
      </w:pPr>
      <w:rPr>
        <w:rFonts w:hint="default" w:ascii="Times New Roman" w:hAnsi="Times New Roman" w:eastAsia="宋体" w:cs="Coronet"/>
        <w:b w:val="0"/>
        <w:bCs w:val="0"/>
        <w:i w:val="0"/>
        <w:iCs w:val="0"/>
        <w:caps w:val="0"/>
        <w:smallCaps w:val="0"/>
        <w:strike w:val="0"/>
        <w:dstrike w:val="0"/>
        <w:vanish w:val="0"/>
        <w:spacing w:val="0"/>
        <w:kern w:val="0"/>
        <w:position w:val="0"/>
        <w:u w:val="none"/>
        <w:vertAlign w:val="baseline"/>
        <w:lang w:val="en-US"/>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1NzQzYjNhYTE2OGQ5MDI4ZjFiOTZkOTM2ZTYxYzcifQ=="/>
    <w:docVar w:name="KSO_WPS_MARK_KEY" w:val="d26b9c51-6e15-4a45-9ce6-093b6e674425"/>
  </w:docVars>
  <w:rsids>
    <w:rsidRoot w:val="007E248D"/>
    <w:rsid w:val="003C56A9"/>
    <w:rsid w:val="004964B4"/>
    <w:rsid w:val="004E2243"/>
    <w:rsid w:val="00551627"/>
    <w:rsid w:val="00667BE7"/>
    <w:rsid w:val="006E0941"/>
    <w:rsid w:val="00716EAB"/>
    <w:rsid w:val="007E248D"/>
    <w:rsid w:val="008833E6"/>
    <w:rsid w:val="008E7DDF"/>
    <w:rsid w:val="009102E5"/>
    <w:rsid w:val="009C6F11"/>
    <w:rsid w:val="00B8473B"/>
    <w:rsid w:val="00BB7897"/>
    <w:rsid w:val="00C43B00"/>
    <w:rsid w:val="00C514AC"/>
    <w:rsid w:val="00D003EC"/>
    <w:rsid w:val="00D774FB"/>
    <w:rsid w:val="00DC26F3"/>
    <w:rsid w:val="00DE4A81"/>
    <w:rsid w:val="00EC6E6C"/>
    <w:rsid w:val="00F617BE"/>
    <w:rsid w:val="00FB12F8"/>
    <w:rsid w:val="01913DF5"/>
    <w:rsid w:val="02370362"/>
    <w:rsid w:val="02B04EBD"/>
    <w:rsid w:val="03752488"/>
    <w:rsid w:val="046775AC"/>
    <w:rsid w:val="04B77D73"/>
    <w:rsid w:val="05207129"/>
    <w:rsid w:val="05363F97"/>
    <w:rsid w:val="05737345"/>
    <w:rsid w:val="06281A38"/>
    <w:rsid w:val="06C71389"/>
    <w:rsid w:val="06CC7B06"/>
    <w:rsid w:val="07061550"/>
    <w:rsid w:val="07E14CFA"/>
    <w:rsid w:val="081F0F86"/>
    <w:rsid w:val="08EC6D80"/>
    <w:rsid w:val="0994708F"/>
    <w:rsid w:val="09E77F18"/>
    <w:rsid w:val="0A1B1122"/>
    <w:rsid w:val="0B204BAA"/>
    <w:rsid w:val="0BBC2B25"/>
    <w:rsid w:val="0BC649E1"/>
    <w:rsid w:val="0C7E602C"/>
    <w:rsid w:val="0CE57E5A"/>
    <w:rsid w:val="0E130163"/>
    <w:rsid w:val="0E7B0A75"/>
    <w:rsid w:val="0EDB59B8"/>
    <w:rsid w:val="0F0F11BE"/>
    <w:rsid w:val="0FE304CE"/>
    <w:rsid w:val="108E1DC4"/>
    <w:rsid w:val="12130FC5"/>
    <w:rsid w:val="128F6BA3"/>
    <w:rsid w:val="12C7072D"/>
    <w:rsid w:val="141E2CF7"/>
    <w:rsid w:val="151B7857"/>
    <w:rsid w:val="15437E13"/>
    <w:rsid w:val="16733296"/>
    <w:rsid w:val="16B800EE"/>
    <w:rsid w:val="16E15B36"/>
    <w:rsid w:val="16F05D79"/>
    <w:rsid w:val="177121A0"/>
    <w:rsid w:val="17D3547E"/>
    <w:rsid w:val="18552337"/>
    <w:rsid w:val="18A773D4"/>
    <w:rsid w:val="18C9062F"/>
    <w:rsid w:val="19A10D50"/>
    <w:rsid w:val="1A597231"/>
    <w:rsid w:val="1CB02232"/>
    <w:rsid w:val="1D664248"/>
    <w:rsid w:val="1D8B05A9"/>
    <w:rsid w:val="1E460B4D"/>
    <w:rsid w:val="1E7948A6"/>
    <w:rsid w:val="1F7532BF"/>
    <w:rsid w:val="203531CA"/>
    <w:rsid w:val="205C4B20"/>
    <w:rsid w:val="20783D41"/>
    <w:rsid w:val="21162F81"/>
    <w:rsid w:val="21DD6837"/>
    <w:rsid w:val="2250591D"/>
    <w:rsid w:val="232E3EB1"/>
    <w:rsid w:val="233D7B4C"/>
    <w:rsid w:val="23D22A8E"/>
    <w:rsid w:val="23DC56BB"/>
    <w:rsid w:val="23E10AC4"/>
    <w:rsid w:val="24057B5F"/>
    <w:rsid w:val="24696853"/>
    <w:rsid w:val="24765B0F"/>
    <w:rsid w:val="247C78BD"/>
    <w:rsid w:val="250B5DC7"/>
    <w:rsid w:val="256C6F12"/>
    <w:rsid w:val="25B11864"/>
    <w:rsid w:val="260C6FC7"/>
    <w:rsid w:val="266546C4"/>
    <w:rsid w:val="291034DE"/>
    <w:rsid w:val="29CB06AB"/>
    <w:rsid w:val="2B066B68"/>
    <w:rsid w:val="2B665A9B"/>
    <w:rsid w:val="2BA03F96"/>
    <w:rsid w:val="2C2240F7"/>
    <w:rsid w:val="2DFB7085"/>
    <w:rsid w:val="2F130EE6"/>
    <w:rsid w:val="2F1F6DA3"/>
    <w:rsid w:val="2F234AE5"/>
    <w:rsid w:val="2F2B3664"/>
    <w:rsid w:val="2F306B60"/>
    <w:rsid w:val="2F57653D"/>
    <w:rsid w:val="2F723377"/>
    <w:rsid w:val="2FEE4162"/>
    <w:rsid w:val="301A5EE8"/>
    <w:rsid w:val="31857392"/>
    <w:rsid w:val="32C5491C"/>
    <w:rsid w:val="331F7372"/>
    <w:rsid w:val="341C1B03"/>
    <w:rsid w:val="358F67ED"/>
    <w:rsid w:val="35927151"/>
    <w:rsid w:val="369167D9"/>
    <w:rsid w:val="371F1D45"/>
    <w:rsid w:val="37A75B88"/>
    <w:rsid w:val="38207142"/>
    <w:rsid w:val="38453BBB"/>
    <w:rsid w:val="396C7089"/>
    <w:rsid w:val="39A14787"/>
    <w:rsid w:val="39A80255"/>
    <w:rsid w:val="3A783EEF"/>
    <w:rsid w:val="3BAC6099"/>
    <w:rsid w:val="3C25479F"/>
    <w:rsid w:val="3C814BF9"/>
    <w:rsid w:val="3D2A7F67"/>
    <w:rsid w:val="3D7076AF"/>
    <w:rsid w:val="3DD64512"/>
    <w:rsid w:val="3E322D18"/>
    <w:rsid w:val="3E900D0A"/>
    <w:rsid w:val="3EC1562C"/>
    <w:rsid w:val="3F0E35AF"/>
    <w:rsid w:val="3F4E158E"/>
    <w:rsid w:val="407209E5"/>
    <w:rsid w:val="411B561D"/>
    <w:rsid w:val="4222091E"/>
    <w:rsid w:val="4419237E"/>
    <w:rsid w:val="45D948F4"/>
    <w:rsid w:val="46F24DE3"/>
    <w:rsid w:val="474D04FA"/>
    <w:rsid w:val="47587B93"/>
    <w:rsid w:val="47D76015"/>
    <w:rsid w:val="47E96F77"/>
    <w:rsid w:val="4812529F"/>
    <w:rsid w:val="48776584"/>
    <w:rsid w:val="4936052D"/>
    <w:rsid w:val="493F20C4"/>
    <w:rsid w:val="4970227E"/>
    <w:rsid w:val="4A1609FB"/>
    <w:rsid w:val="4AB55994"/>
    <w:rsid w:val="4AD86F66"/>
    <w:rsid w:val="4B9F5BD0"/>
    <w:rsid w:val="4CBF17F2"/>
    <w:rsid w:val="4CCA458A"/>
    <w:rsid w:val="4F0E67C1"/>
    <w:rsid w:val="4FFE5147"/>
    <w:rsid w:val="50C2181E"/>
    <w:rsid w:val="50CC6933"/>
    <w:rsid w:val="50CD705E"/>
    <w:rsid w:val="51134562"/>
    <w:rsid w:val="52E568E7"/>
    <w:rsid w:val="532B39C5"/>
    <w:rsid w:val="54231BA0"/>
    <w:rsid w:val="54CF69F2"/>
    <w:rsid w:val="550F6DEF"/>
    <w:rsid w:val="562D5084"/>
    <w:rsid w:val="56B572CC"/>
    <w:rsid w:val="56E16569"/>
    <w:rsid w:val="56F42E4F"/>
    <w:rsid w:val="594A6647"/>
    <w:rsid w:val="596F60AE"/>
    <w:rsid w:val="5A605F4A"/>
    <w:rsid w:val="5A885A96"/>
    <w:rsid w:val="5AA77AC9"/>
    <w:rsid w:val="5B637E94"/>
    <w:rsid w:val="5B9C5154"/>
    <w:rsid w:val="5BF921B1"/>
    <w:rsid w:val="5C1B42CB"/>
    <w:rsid w:val="5CB62246"/>
    <w:rsid w:val="5CBD2518"/>
    <w:rsid w:val="5D8B722E"/>
    <w:rsid w:val="5E021BE6"/>
    <w:rsid w:val="5EF808F3"/>
    <w:rsid w:val="5FF4730D"/>
    <w:rsid w:val="609006D2"/>
    <w:rsid w:val="610E0E65"/>
    <w:rsid w:val="63D83CD1"/>
    <w:rsid w:val="63F87D72"/>
    <w:rsid w:val="644F7208"/>
    <w:rsid w:val="64C86FBA"/>
    <w:rsid w:val="652E506F"/>
    <w:rsid w:val="654C1999"/>
    <w:rsid w:val="660E4EA0"/>
    <w:rsid w:val="66270550"/>
    <w:rsid w:val="66A60DD7"/>
    <w:rsid w:val="66BE66CF"/>
    <w:rsid w:val="677F3533"/>
    <w:rsid w:val="68833924"/>
    <w:rsid w:val="68991CEA"/>
    <w:rsid w:val="6A2C3B47"/>
    <w:rsid w:val="6AC439C0"/>
    <w:rsid w:val="6ADC4BA2"/>
    <w:rsid w:val="6B762AC2"/>
    <w:rsid w:val="6B997D40"/>
    <w:rsid w:val="6C054650"/>
    <w:rsid w:val="6C4C04D0"/>
    <w:rsid w:val="6C711CE5"/>
    <w:rsid w:val="6D272415"/>
    <w:rsid w:val="6D561607"/>
    <w:rsid w:val="6D904215"/>
    <w:rsid w:val="6E7D6F40"/>
    <w:rsid w:val="6E8623AE"/>
    <w:rsid w:val="6F065AB6"/>
    <w:rsid w:val="70205EFC"/>
    <w:rsid w:val="70787AE6"/>
    <w:rsid w:val="71535E5D"/>
    <w:rsid w:val="71B40FF2"/>
    <w:rsid w:val="721320EC"/>
    <w:rsid w:val="73323C81"/>
    <w:rsid w:val="734D62FA"/>
    <w:rsid w:val="73510DAC"/>
    <w:rsid w:val="7388211F"/>
    <w:rsid w:val="745A0337"/>
    <w:rsid w:val="748F3650"/>
    <w:rsid w:val="754C0619"/>
    <w:rsid w:val="76DD68F5"/>
    <w:rsid w:val="76FA7D0E"/>
    <w:rsid w:val="77B21B30"/>
    <w:rsid w:val="780167E7"/>
    <w:rsid w:val="780A371A"/>
    <w:rsid w:val="786F7A21"/>
    <w:rsid w:val="79621333"/>
    <w:rsid w:val="798C319D"/>
    <w:rsid w:val="79A731EA"/>
    <w:rsid w:val="79E166FC"/>
    <w:rsid w:val="79F35C8E"/>
    <w:rsid w:val="7A85778D"/>
    <w:rsid w:val="7BA55F94"/>
    <w:rsid w:val="7C460A98"/>
    <w:rsid w:val="7CE3278B"/>
    <w:rsid w:val="7D155CFE"/>
    <w:rsid w:val="7D7B4DE1"/>
    <w:rsid w:val="7EB24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qFormat/>
    <w:uiPriority w:val="0"/>
    <w:pPr>
      <w:keepNext/>
      <w:keepLines/>
      <w:numPr>
        <w:ilvl w:val="0"/>
        <w:numId w:val="1"/>
      </w:numPr>
      <w:outlineLvl w:val="0"/>
    </w:pPr>
    <w:rPr>
      <w:b/>
      <w:kern w:val="0"/>
      <w:sz w:val="28"/>
      <w:szCs w:val="28"/>
    </w:rPr>
  </w:style>
  <w:style w:type="paragraph" w:styleId="3">
    <w:name w:val="heading 2"/>
    <w:basedOn w:val="1"/>
    <w:next w:val="1"/>
    <w:qFormat/>
    <w:uiPriority w:val="0"/>
    <w:pPr>
      <w:keepNext/>
      <w:keepLines/>
      <w:widowControl w:val="0"/>
      <w:spacing w:before="50" w:beforeLines="50" w:after="50" w:afterLines="50" w:line="560" w:lineRule="exact"/>
      <w:ind w:firstLine="640" w:firstLineChars="200"/>
      <w:outlineLvl w:val="1"/>
    </w:pPr>
    <w:rPr>
      <w:rFonts w:ascii="仿宋" w:hAnsi="宋体" w:eastAsia="楷体" w:cs="仿宋"/>
      <w:b/>
      <w:bCs/>
      <w:kern w:val="2"/>
      <w:sz w:val="36"/>
      <w:szCs w:val="32"/>
      <w:lang w:val="en-US" w:eastAsia="zh-CN" w:bidi="ar-SA"/>
    </w:rPr>
  </w:style>
  <w:style w:type="paragraph" w:styleId="4">
    <w:name w:val="heading 3"/>
    <w:basedOn w:val="1"/>
    <w:next w:val="1"/>
    <w:qFormat/>
    <w:uiPriority w:val="0"/>
    <w:pPr>
      <w:keepNext/>
      <w:keepLines/>
      <w:spacing w:line="360" w:lineRule="auto"/>
      <w:ind w:firstLine="200" w:firstLineChars="200"/>
      <w:outlineLvl w:val="2"/>
    </w:pPr>
    <w:rPr>
      <w:bCs/>
      <w:szCs w:val="28"/>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宋体" w:hAnsi="宋体"/>
    </w:rPr>
  </w:style>
  <w:style w:type="paragraph" w:styleId="6">
    <w:name w:val="index 5"/>
    <w:basedOn w:val="1"/>
    <w:next w:val="1"/>
    <w:qFormat/>
    <w:uiPriority w:val="0"/>
    <w:pPr>
      <w:ind w:left="800" w:leftChars="800"/>
    </w:pPr>
  </w:style>
  <w:style w:type="paragraph" w:styleId="7">
    <w:name w:val="Body Text"/>
    <w:basedOn w:val="1"/>
    <w:qFormat/>
    <w:uiPriority w:val="0"/>
    <w:rPr>
      <w:rFonts w:eastAsia="华文中宋"/>
      <w:b/>
      <w:bCs/>
      <w:w w:val="90"/>
      <w:sz w:val="44"/>
    </w:rPr>
  </w:style>
  <w:style w:type="paragraph" w:styleId="8">
    <w:name w:val="Body Text Indent"/>
    <w:basedOn w:val="1"/>
    <w:next w:val="7"/>
    <w:qFormat/>
    <w:uiPriority w:val="0"/>
    <w:pPr>
      <w:spacing w:after="120"/>
      <w:ind w:left="420" w:leftChars="200"/>
    </w:pPr>
  </w:style>
  <w:style w:type="paragraph" w:styleId="9">
    <w:name w:val="Block Text"/>
    <w:basedOn w:val="1"/>
    <w:next w:val="10"/>
    <w:qFormat/>
    <w:uiPriority w:val="99"/>
    <w:pPr>
      <w:spacing w:line="480" w:lineRule="exact"/>
      <w:ind w:left="-125" w:right="-56" w:firstLine="570"/>
    </w:pPr>
    <w:rPr>
      <w:sz w:val="28"/>
      <w:szCs w:val="24"/>
    </w:rPr>
  </w:style>
  <w:style w:type="paragraph" w:styleId="10">
    <w:name w:val="toc 9"/>
    <w:basedOn w:val="1"/>
    <w:next w:val="1"/>
    <w:qFormat/>
    <w:uiPriority w:val="39"/>
    <w:pPr>
      <w:jc w:val="center"/>
    </w:pPr>
    <w:rPr>
      <w:sz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index heading"/>
    <w:basedOn w:val="1"/>
    <w:next w:val="14"/>
    <w:qFormat/>
    <w:uiPriority w:val="0"/>
    <w:pPr>
      <w:widowControl/>
      <w:jc w:val="left"/>
    </w:pPr>
    <w:rPr>
      <w:rFonts w:ascii="Arial" w:hAnsi="Arial" w:cs="Arial"/>
      <w:b/>
      <w:bCs/>
      <w:kern w:val="0"/>
      <w:sz w:val="24"/>
    </w:rPr>
  </w:style>
  <w:style w:type="paragraph" w:styleId="14">
    <w:name w:val="index 1"/>
    <w:basedOn w:val="1"/>
    <w:next w:val="1"/>
    <w:qFormat/>
    <w:uiPriority w:val="0"/>
    <w:pPr>
      <w:spacing w:line="360" w:lineRule="auto"/>
      <w:jc w:val="center"/>
    </w:pPr>
  </w:style>
  <w:style w:type="paragraph" w:styleId="15">
    <w:name w:val="footnote text"/>
    <w:basedOn w:val="1"/>
    <w:next w:val="6"/>
    <w:unhideWhenUsed/>
    <w:qFormat/>
    <w:uiPriority w:val="99"/>
    <w:pPr>
      <w:snapToGrid w:val="0"/>
      <w:jc w:val="left"/>
    </w:pPr>
    <w:rPr>
      <w:rFonts w:ascii="Calibri" w:hAnsi="Calibri" w:eastAsia="仿宋" w:cs="Times New Roman"/>
      <w:sz w:val="18"/>
      <w:szCs w:val="18"/>
    </w:rPr>
  </w:style>
  <w:style w:type="paragraph" w:styleId="16">
    <w:name w:val="Body Text 2"/>
    <w:basedOn w:val="1"/>
    <w:unhideWhenUsed/>
    <w:qFormat/>
    <w:uiPriority w:val="99"/>
    <w:pPr>
      <w:spacing w:after="120" w:line="480" w:lineRule="auto"/>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7"/>
    <w:next w:val="19"/>
    <w:unhideWhenUsed/>
    <w:qFormat/>
    <w:uiPriority w:val="0"/>
    <w:pPr>
      <w:widowControl w:val="0"/>
      <w:kinsoku/>
      <w:autoSpaceDE/>
      <w:autoSpaceDN/>
      <w:spacing w:after="120" w:line="360" w:lineRule="auto"/>
      <w:ind w:firstLine="420" w:firstLineChars="100"/>
      <w:jc w:val="both"/>
      <w:textAlignment w:val="auto"/>
    </w:pPr>
    <w:rPr>
      <w:rFonts w:ascii="Times New Roman" w:hAnsi="Times New Roman" w:cs="Times New Roman"/>
      <w:color w:val="auto"/>
      <w:kern w:val="2"/>
      <w:sz w:val="24"/>
      <w:szCs w:val="24"/>
    </w:rPr>
  </w:style>
  <w:style w:type="paragraph" w:styleId="19">
    <w:name w:val="Body Text First Indent 2"/>
    <w:basedOn w:val="8"/>
    <w:next w:val="1"/>
    <w:qFormat/>
    <w:uiPriority w:val="0"/>
    <w:pPr>
      <w:adjustRightInd w:val="0"/>
      <w:spacing w:line="360" w:lineRule="atLeast"/>
      <w:ind w:left="0" w:leftChars="0" w:firstLine="210"/>
      <w:textAlignment w:val="baseline"/>
    </w:pPr>
    <w:rPr>
      <w:sz w:val="24"/>
    </w:rPr>
  </w:style>
  <w:style w:type="character" w:styleId="22">
    <w:name w:val="page number"/>
    <w:basedOn w:val="21"/>
    <w:qFormat/>
    <w:uiPriority w:val="0"/>
  </w:style>
  <w:style w:type="paragraph" w:customStyle="1" w:styleId="23">
    <w:name w:val="Default"/>
    <w:basedOn w:val="24"/>
    <w:next w:val="1"/>
    <w:unhideWhenUsed/>
    <w:qFormat/>
    <w:uiPriority w:val="0"/>
    <w:pPr>
      <w:tabs>
        <w:tab w:val="left" w:pos="2760"/>
      </w:tabs>
      <w:autoSpaceDE w:val="0"/>
      <w:autoSpaceDN w:val="0"/>
    </w:pPr>
    <w:rPr>
      <w:rFonts w:hAnsi="宋体" w:eastAsia="宋体"/>
      <w:color w:val="000000"/>
      <w:sz w:val="24"/>
    </w:rPr>
  </w:style>
  <w:style w:type="paragraph" w:customStyle="1" w:styleId="24">
    <w:name w:val="纯文本1"/>
    <w:basedOn w:val="1"/>
    <w:qFormat/>
    <w:uiPriority w:val="0"/>
    <w:pPr>
      <w:tabs>
        <w:tab w:val="left" w:pos="2760"/>
      </w:tabs>
      <w:adjustRightInd w:val="0"/>
    </w:pPr>
    <w:rPr>
      <w:rFonts w:ascii="宋体" w:hAnsi="Courier New"/>
    </w:rPr>
  </w:style>
  <w:style w:type="paragraph" w:customStyle="1" w:styleId="25">
    <w:name w:val="表头"/>
    <w:basedOn w:val="18"/>
    <w:next w:val="1"/>
    <w:qFormat/>
    <w:uiPriority w:val="0"/>
    <w:pPr>
      <w:jc w:val="center"/>
    </w:pPr>
    <w:rPr>
      <w:rFonts w:ascii="黑体" w:eastAsia="黑体"/>
      <w:kern w:val="0"/>
    </w:rPr>
  </w:style>
  <w:style w:type="paragraph" w:customStyle="1" w:styleId="26">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27">
    <w:name w:val="样式 首行缩进:  2 字符1"/>
    <w:basedOn w:val="1"/>
    <w:qFormat/>
    <w:uiPriority w:val="0"/>
    <w:pPr>
      <w:adjustRightInd w:val="0"/>
      <w:snapToGrid w:val="0"/>
      <w:ind w:firstLine="480"/>
    </w:pPr>
    <w:rPr>
      <w:rFonts w:cs="宋体"/>
      <w:szCs w:val="20"/>
    </w:rPr>
  </w:style>
  <w:style w:type="paragraph" w:customStyle="1" w:styleId="28">
    <w:name w:val="Char"/>
    <w:basedOn w:val="1"/>
    <w:qFormat/>
    <w:uiPriority w:val="0"/>
    <w:rPr>
      <w:rFonts w:cs="宋体"/>
      <w:sz w:val="28"/>
    </w:rPr>
  </w:style>
  <w:style w:type="paragraph" w:customStyle="1" w:styleId="29">
    <w:name w:val="YJ正文*"/>
    <w:basedOn w:val="1"/>
    <w:qFormat/>
    <w:uiPriority w:val="0"/>
    <w:pPr>
      <w:spacing w:line="500" w:lineRule="exact"/>
      <w:ind w:firstLine="200" w:firstLineChars="200"/>
      <w:jc w:val="both"/>
    </w:pPr>
    <w:rPr>
      <w:rFonts w:ascii="等线" w:hAnsi="等线" w:eastAsia="宋体"/>
      <w:sz w:val="24"/>
    </w:rPr>
  </w:style>
  <w:style w:type="paragraph" w:customStyle="1" w:styleId="30">
    <w:name w:val="表字-书"/>
    <w:basedOn w:val="1"/>
    <w:qFormat/>
    <w:uiPriority w:val="0"/>
    <w:pPr>
      <w:spacing w:line="240" w:lineRule="exact"/>
      <w:ind w:firstLine="0" w:firstLineChars="0"/>
      <w:jc w:val="center"/>
    </w:pPr>
    <w:rPr>
      <w:rFonts w:hAnsi="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2495</Words>
  <Characters>2683</Characters>
  <Lines>11</Lines>
  <Paragraphs>3</Paragraphs>
  <TotalTime>14</TotalTime>
  <ScaleCrop>false</ScaleCrop>
  <LinksUpToDate>false</LinksUpToDate>
  <CharactersWithSpaces>2731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2020-12-18T12:29:00Z</dcterms:created>
  <dc:creator>Administrator</dc:creator>
  <cp:lastModifiedBy>Floating dream </cp:lastModifiedBy>
  <cp:lastPrinted>2026-08-21T03:36:40Z</cp:lastPrinted>
  <dcterms:modified xsi:type="dcterms:W3CDTF">2026-08-21T04:14:05Z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4371B435B8E4458BAB9F3A8FFB46C4C5_13</vt:lpwstr>
  </property>
  <property fmtid="{D5CDD505-2E9C-101B-9397-08002B2CF9AE}" pid="4" name="KSOTemplateDocerSaveRecord">
    <vt:lpwstr>eyJoZGlkIjoiODBjNzYxYmIzOWJkMDlmNzJmZjdjMmNkNDkzMGYxZDkiLCJ1c2VySWQiOiIzNjMzMTU4MzUifQ==</vt:lpwstr>
  </property>
</Properties>
</file>