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4E394B">
      <w:pPr>
        <w:keepNext w:val="0"/>
        <w:keepLines w:val="0"/>
        <w:pageBreakBefore w:val="0"/>
        <w:widowControl w:val="0"/>
        <w:kinsoku/>
        <w:wordWrap/>
        <w:overflowPunct/>
        <w:topLinePunct w:val="0"/>
        <w:autoSpaceDE/>
        <w:autoSpaceDN/>
        <w:bidi w:val="0"/>
        <w:adjustRightInd/>
        <w:snapToGrid/>
        <w:spacing w:line="800" w:lineRule="exact"/>
        <w:textAlignment w:val="auto"/>
        <w:rPr>
          <w:rFonts w:hint="default" w:ascii="Times New Roman" w:hAnsi="Times New Roman" w:eastAsia="仿宋_GB2312" w:cs="Times New Roman"/>
          <w:snapToGrid w:val="0"/>
          <w:color w:val="auto"/>
          <w:kern w:val="0"/>
        </w:rPr>
      </w:pPr>
    </w:p>
    <w:p w14:paraId="60852BAE">
      <w:pPr>
        <w:tabs>
          <w:tab w:val="left" w:pos="8500"/>
        </w:tabs>
        <w:spacing w:line="600" w:lineRule="exact"/>
        <w:jc w:val="center"/>
        <w:rPr>
          <w:rFonts w:hint="default" w:ascii="Times New Roman" w:hAnsi="Times New Roman" w:eastAsia="仿宋_GB2312" w:cs="Times New Roman"/>
          <w:snapToGrid w:val="0"/>
          <w:color w:val="auto"/>
          <w:kern w:val="0"/>
          <w:szCs w:val="32"/>
          <w:highlight w:val="none"/>
        </w:rPr>
      </w:pPr>
      <w:r>
        <w:rPr>
          <w:rFonts w:hint="default" w:ascii="Times New Roman" w:hAnsi="Times New Roman" w:eastAsia="仿宋_GB2312" w:cs="Times New Roman"/>
          <w:snapToGrid w:val="0"/>
          <w:color w:val="auto"/>
          <w:kern w:val="0"/>
          <w:szCs w:val="32"/>
        </w:rPr>
        <w:t xml:space="preserve">                             </w:t>
      </w:r>
      <w:r>
        <w:rPr>
          <w:rFonts w:hint="default" w:ascii="Times New Roman" w:hAnsi="Times New Roman" w:eastAsia="仿宋_GB2312" w:cs="Times New Roman"/>
          <w:snapToGrid w:val="0"/>
          <w:color w:val="auto"/>
          <w:kern w:val="0"/>
          <w:szCs w:val="32"/>
          <w:highlight w:val="none"/>
        </w:rPr>
        <w:t xml:space="preserve">  </w:t>
      </w:r>
      <w:r>
        <w:rPr>
          <w:rFonts w:hint="default" w:ascii="Times New Roman" w:hAnsi="Times New Roman" w:eastAsia="仿宋_GB2312" w:cs="Times New Roman"/>
          <w:snapToGrid w:val="0"/>
          <w:color w:val="auto"/>
          <w:kern w:val="0"/>
          <w:szCs w:val="32"/>
          <w:highlight w:val="none"/>
          <w:lang w:val="en-US" w:eastAsia="zh-CN"/>
        </w:rPr>
        <w:t xml:space="preserve">  </w:t>
      </w:r>
      <w:r>
        <w:rPr>
          <w:rFonts w:hint="default" w:ascii="Times New Roman" w:hAnsi="Times New Roman" w:eastAsia="仿宋_GB2312" w:cs="Times New Roman"/>
          <w:snapToGrid w:val="0"/>
          <w:color w:val="auto"/>
          <w:kern w:val="0"/>
          <w:szCs w:val="32"/>
          <w:highlight w:val="none"/>
        </w:rPr>
        <w:t>师市环审〔202</w:t>
      </w:r>
      <w:r>
        <w:rPr>
          <w:rFonts w:hint="default" w:ascii="Times New Roman" w:hAnsi="Times New Roman" w:eastAsia="仿宋_GB2312" w:cs="Times New Roman"/>
          <w:snapToGrid w:val="0"/>
          <w:color w:val="auto"/>
          <w:kern w:val="0"/>
          <w:szCs w:val="32"/>
          <w:highlight w:val="none"/>
          <w:lang w:val="en-US" w:eastAsia="zh-CN"/>
        </w:rPr>
        <w:t>6</w:t>
      </w:r>
      <w:r>
        <w:rPr>
          <w:rFonts w:hint="default" w:ascii="Times New Roman" w:hAnsi="Times New Roman" w:eastAsia="仿宋_GB2312" w:cs="Times New Roman"/>
          <w:snapToGrid w:val="0"/>
          <w:color w:val="auto"/>
          <w:kern w:val="0"/>
          <w:szCs w:val="32"/>
          <w:highlight w:val="none"/>
        </w:rPr>
        <w:t>〕</w:t>
      </w:r>
      <w:r>
        <w:rPr>
          <w:rFonts w:hint="eastAsia" w:eastAsia="仿宋_GB2312" w:cs="Times New Roman"/>
          <w:snapToGrid w:val="0"/>
          <w:color w:val="auto"/>
          <w:kern w:val="0"/>
          <w:szCs w:val="32"/>
          <w:highlight w:val="none"/>
          <w:lang w:val="en-US" w:eastAsia="zh-CN"/>
        </w:rPr>
        <w:t>29</w:t>
      </w:r>
      <w:r>
        <w:rPr>
          <w:rFonts w:hint="default" w:ascii="Times New Roman" w:hAnsi="Times New Roman" w:eastAsia="仿宋_GB2312" w:cs="Times New Roman"/>
          <w:snapToGrid w:val="0"/>
          <w:color w:val="auto"/>
          <w:kern w:val="0"/>
          <w:szCs w:val="32"/>
          <w:highlight w:val="none"/>
        </w:rPr>
        <w:t>号</w:t>
      </w:r>
    </w:p>
    <w:p w14:paraId="7E66B2A4">
      <w:pPr>
        <w:spacing w:line="600" w:lineRule="exact"/>
        <w:rPr>
          <w:rFonts w:hint="default" w:ascii="Times New Roman" w:hAnsi="Times New Roman" w:eastAsia="仿宋_GB2312" w:cs="Times New Roman"/>
          <w:snapToGrid w:val="0"/>
          <w:color w:val="auto"/>
          <w:kern w:val="0"/>
          <w:sz w:val="30"/>
          <w:highlight w:val="none"/>
        </w:rPr>
      </w:pPr>
    </w:p>
    <w:p w14:paraId="73420D1A">
      <w:pPr>
        <w:spacing w:line="600" w:lineRule="exact"/>
        <w:jc w:val="center"/>
        <w:rPr>
          <w:rFonts w:hint="eastAsia" w:ascii="Times New Roman" w:hAnsi="Times New Roman" w:eastAsia="方正小标宋简体"/>
          <w:bCs/>
          <w:color w:val="000000"/>
          <w:sz w:val="44"/>
          <w:szCs w:val="44"/>
        </w:rPr>
      </w:pPr>
      <w:r>
        <w:rPr>
          <w:rFonts w:hint="default" w:ascii="Times New Roman" w:hAnsi="Times New Roman" w:eastAsia="方正小标宋简体" w:cs="Times New Roman"/>
          <w:color w:val="auto"/>
          <w:sz w:val="44"/>
          <w:szCs w:val="44"/>
          <w:highlight w:val="none"/>
          <w:lang w:val="zh-CN"/>
        </w:rPr>
        <w:t>关</w:t>
      </w:r>
      <w:r>
        <w:rPr>
          <w:rFonts w:hint="eastAsia" w:ascii="方正小标宋简体" w:hAnsi="方正小标宋简体" w:eastAsia="方正小标宋简体" w:cs="方正小标宋简体"/>
          <w:color w:val="auto"/>
          <w:sz w:val="44"/>
          <w:szCs w:val="44"/>
          <w:highlight w:val="none"/>
          <w:lang w:val="zh-CN"/>
        </w:rPr>
        <w:t>于</w:t>
      </w:r>
      <w:r>
        <w:rPr>
          <w:rFonts w:hint="eastAsia" w:ascii="Times New Roman" w:hAnsi="Times New Roman" w:eastAsia="方正小标宋简体" w:cs="Times New Roman"/>
          <w:b w:val="0"/>
          <w:bCs/>
          <w:color w:val="auto"/>
          <w:sz w:val="44"/>
          <w:szCs w:val="44"/>
          <w:lang w:val="zh-CN" w:eastAsia="zh-CN" w:bidi="ar"/>
        </w:rPr>
        <w:t>新疆宏苏通达屠宰有限公司日屠宰</w:t>
      </w:r>
      <w:r>
        <w:rPr>
          <w:rFonts w:hint="eastAsia" w:ascii="方正小标宋简体" w:hAnsi="方正小标宋简体" w:eastAsia="方正小标宋简体" w:cs="方正小标宋简体"/>
          <w:b w:val="0"/>
          <w:bCs/>
          <w:color w:val="auto"/>
          <w:sz w:val="44"/>
          <w:szCs w:val="44"/>
          <w:lang w:val="zh-CN" w:eastAsia="zh-CN" w:bidi="ar"/>
        </w:rPr>
        <w:t>500</w:t>
      </w:r>
      <w:r>
        <w:rPr>
          <w:rFonts w:hint="eastAsia" w:ascii="Times New Roman" w:hAnsi="Times New Roman" w:eastAsia="方正小标宋简体" w:cs="Times New Roman"/>
          <w:b w:val="0"/>
          <w:bCs/>
          <w:color w:val="auto"/>
          <w:sz w:val="44"/>
          <w:szCs w:val="44"/>
          <w:lang w:val="zh-CN" w:eastAsia="zh-CN" w:bidi="ar"/>
        </w:rPr>
        <w:t>头生猪屠宰加工项目环境影响报告</w:t>
      </w:r>
      <w:r>
        <w:rPr>
          <w:rFonts w:hint="eastAsia" w:ascii="Times New Roman" w:hAnsi="Times New Roman" w:eastAsia="方正小标宋简体" w:cs="Times New Roman"/>
          <w:b w:val="0"/>
          <w:bCs/>
          <w:color w:val="auto"/>
          <w:sz w:val="44"/>
          <w:szCs w:val="44"/>
          <w:lang w:val="en-US" w:eastAsia="zh-CN" w:bidi="ar"/>
        </w:rPr>
        <w:t>书</w:t>
      </w:r>
    </w:p>
    <w:p w14:paraId="6A46747D">
      <w:pPr>
        <w:spacing w:line="600" w:lineRule="exact"/>
        <w:jc w:val="center"/>
        <w:rPr>
          <w:rFonts w:hint="default" w:ascii="Times New Roman" w:hAnsi="Times New Roman" w:eastAsia="仿宋_GB2312" w:cs="Times New Roman"/>
          <w:color w:val="auto"/>
          <w:kern w:val="0"/>
          <w:szCs w:val="32"/>
          <w:highlight w:val="none"/>
        </w:rPr>
      </w:pPr>
      <w:r>
        <w:rPr>
          <w:rFonts w:hint="default" w:ascii="Times New Roman" w:hAnsi="Times New Roman" w:eastAsia="方正小标宋简体" w:cs="Times New Roman"/>
          <w:color w:val="auto"/>
          <w:sz w:val="44"/>
          <w:szCs w:val="44"/>
          <w:highlight w:val="none"/>
          <w:lang w:val="zh-CN"/>
        </w:rPr>
        <w:t>的</w:t>
      </w:r>
      <w:r>
        <w:rPr>
          <w:rFonts w:hint="default" w:ascii="Times New Roman" w:hAnsi="Times New Roman" w:eastAsia="方正小标宋简体" w:cs="Times New Roman"/>
          <w:snapToGrid w:val="0"/>
          <w:color w:val="auto"/>
          <w:kern w:val="0"/>
          <w:sz w:val="44"/>
          <w:szCs w:val="44"/>
          <w:highlight w:val="none"/>
        </w:rPr>
        <w:t>批复</w:t>
      </w:r>
    </w:p>
    <w:p w14:paraId="019C596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0"/>
          <w:szCs w:val="32"/>
          <w:highlight w:val="none"/>
        </w:rPr>
      </w:pPr>
    </w:p>
    <w:p w14:paraId="6A9256D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0"/>
          <w:szCs w:val="32"/>
          <w:highlight w:val="none"/>
        </w:rPr>
      </w:pPr>
      <w:r>
        <w:rPr>
          <w:rFonts w:hint="default" w:ascii="Times New Roman" w:hAnsi="Times New Roman" w:eastAsia="仿宋_GB2312" w:cs="Times New Roman"/>
          <w:bCs/>
          <w:color w:val="auto"/>
          <w:szCs w:val="32"/>
          <w:highlight w:val="none"/>
          <w:lang w:eastAsia="zh-CN"/>
        </w:rPr>
        <w:t>新疆宏苏通达屠宰有限公司</w:t>
      </w:r>
      <w:r>
        <w:rPr>
          <w:rFonts w:hint="default" w:ascii="Times New Roman" w:hAnsi="Times New Roman" w:eastAsia="仿宋_GB2312" w:cs="Times New Roman"/>
          <w:bCs/>
          <w:color w:val="auto"/>
          <w:szCs w:val="32"/>
          <w:highlight w:val="none"/>
        </w:rPr>
        <w:t>：</w:t>
      </w:r>
    </w:p>
    <w:p w14:paraId="15084EC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snapToGrid w:val="0"/>
          <w:color w:val="auto"/>
          <w:kern w:val="0"/>
          <w:szCs w:val="32"/>
          <w:highlight w:val="none"/>
        </w:rPr>
      </w:pPr>
      <w:r>
        <w:rPr>
          <w:rFonts w:hint="default" w:ascii="Times New Roman" w:hAnsi="Times New Roman" w:eastAsia="仿宋_GB2312" w:cs="Times New Roman"/>
          <w:bCs/>
          <w:color w:val="auto"/>
          <w:szCs w:val="32"/>
          <w:highlight w:val="none"/>
        </w:rPr>
        <w:t>你</w:t>
      </w:r>
      <w:r>
        <w:rPr>
          <w:rFonts w:hint="eastAsia" w:eastAsia="仿宋_GB2312" w:cs="Times New Roman"/>
          <w:bCs/>
          <w:color w:val="auto"/>
          <w:szCs w:val="32"/>
          <w:highlight w:val="none"/>
          <w:lang w:val="en-US" w:eastAsia="zh-CN"/>
        </w:rPr>
        <w:t>公司</w:t>
      </w:r>
      <w:r>
        <w:rPr>
          <w:rFonts w:hint="default" w:ascii="Times New Roman" w:hAnsi="Times New Roman" w:eastAsia="仿宋_GB2312" w:cs="Times New Roman"/>
          <w:bCs/>
          <w:color w:val="auto"/>
          <w:szCs w:val="32"/>
          <w:highlight w:val="none"/>
        </w:rPr>
        <w:t>《关于审批&lt;</w:t>
      </w:r>
      <w:r>
        <w:rPr>
          <w:rFonts w:hint="default" w:ascii="Times New Roman" w:hAnsi="Times New Roman" w:eastAsia="仿宋_GB2312" w:cs="Times New Roman"/>
          <w:bCs/>
          <w:color w:val="auto"/>
          <w:szCs w:val="32"/>
          <w:highlight w:val="none"/>
          <w:lang w:val="zh-CN" w:eastAsia="zh-CN"/>
        </w:rPr>
        <w:t>新疆宏苏通达屠宰有限公司日屠宰500头生猪屠宰加工项目</w:t>
      </w:r>
      <w:r>
        <w:rPr>
          <w:rFonts w:hint="default" w:ascii="Times New Roman" w:hAnsi="Times New Roman" w:eastAsia="仿宋_GB2312" w:cs="Times New Roman"/>
          <w:bCs/>
          <w:color w:val="auto"/>
          <w:szCs w:val="32"/>
          <w:highlight w:val="none"/>
        </w:rPr>
        <w:t>&gt;的请示》收悉。经研究，批复如下：</w:t>
      </w:r>
    </w:p>
    <w:p w14:paraId="61B75DFE">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default" w:ascii="Times New Roman" w:hAnsi="Times New Roman" w:eastAsia="仿宋_GB2312" w:cs="Times New Roman"/>
          <w:bCs/>
          <w:color w:val="auto"/>
          <w:szCs w:val="32"/>
          <w:highlight w:val="none"/>
          <w:lang w:val="zh-CN"/>
        </w:rPr>
      </w:pPr>
      <w:r>
        <w:rPr>
          <w:rFonts w:hint="default" w:ascii="Times New Roman" w:hAnsi="Times New Roman" w:eastAsia="仿宋_GB2312" w:cs="Times New Roman"/>
          <w:color w:val="auto"/>
          <w:szCs w:val="32"/>
          <w:highlight w:val="none"/>
          <w:lang w:val="en-US" w:eastAsia="zh-CN"/>
        </w:rPr>
        <w:t>一、</w:t>
      </w:r>
      <w:r>
        <w:rPr>
          <w:rFonts w:hint="default" w:ascii="Times New Roman" w:hAnsi="Times New Roman" w:eastAsia="仿宋_GB2312" w:cs="Times New Roman"/>
          <w:color w:val="auto"/>
          <w:szCs w:val="32"/>
          <w:highlight w:val="none"/>
        </w:rPr>
        <w:t>该项目位于</w:t>
      </w:r>
      <w:r>
        <w:rPr>
          <w:rFonts w:hint="eastAsia" w:ascii="Times New Roman" w:hAnsi="Times New Roman" w:eastAsia="仿宋_GB2312" w:cs="Times New Roman"/>
          <w:color w:val="000000"/>
          <w:szCs w:val="32"/>
          <w:lang w:eastAsia="zh-CN"/>
        </w:rPr>
        <w:t>第七师123团10连</w:t>
      </w:r>
      <w:r>
        <w:rPr>
          <w:rFonts w:hint="default" w:ascii="Times New Roman" w:hAnsi="Times New Roman" w:eastAsia="仿宋_GB2312" w:cs="Times New Roman"/>
          <w:color w:val="auto"/>
          <w:szCs w:val="32"/>
          <w:highlight w:val="none"/>
        </w:rPr>
        <w:t>，项目中心地理位置坐标为东经</w:t>
      </w:r>
      <w:r>
        <w:rPr>
          <w:rFonts w:hint="default" w:ascii="Times New Roman" w:hAnsi="Times New Roman" w:eastAsia="仿宋_GB2312" w:cs="Times New Roman"/>
          <w:color w:val="auto"/>
          <w:szCs w:val="32"/>
          <w:highlight w:val="none"/>
          <w:lang w:eastAsia="zh-CN"/>
        </w:rPr>
        <w:t>84°</w:t>
      </w:r>
      <w:r>
        <w:rPr>
          <w:rFonts w:hint="default" w:ascii="Times New Roman" w:hAnsi="Times New Roman" w:eastAsia="仿宋_GB2312" w:cs="Times New Roman"/>
          <w:color w:val="auto"/>
          <w:szCs w:val="32"/>
          <w:highlight w:val="none"/>
          <w:lang w:val="en-US" w:eastAsia="zh-CN"/>
        </w:rPr>
        <w:t>32</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lang w:val="en-US" w:eastAsia="zh-CN"/>
        </w:rPr>
        <w:t>59.88</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，北纬</w:t>
      </w:r>
      <w:r>
        <w:rPr>
          <w:rFonts w:hint="default" w:ascii="Times New Roman" w:hAnsi="Times New Roman" w:eastAsia="仿宋_GB2312" w:cs="Times New Roman"/>
          <w:color w:val="auto"/>
          <w:szCs w:val="32"/>
          <w:highlight w:val="none"/>
          <w:lang w:eastAsia="zh-CN"/>
        </w:rPr>
        <w:t>44°</w:t>
      </w:r>
      <w:r>
        <w:rPr>
          <w:rFonts w:hint="default" w:ascii="Times New Roman" w:hAnsi="Times New Roman" w:eastAsia="仿宋_GB2312" w:cs="Times New Roman"/>
          <w:color w:val="auto"/>
          <w:szCs w:val="32"/>
          <w:highlight w:val="none"/>
          <w:lang w:val="en-US" w:eastAsia="zh-CN"/>
        </w:rPr>
        <w:t>54</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lang w:val="en-US" w:eastAsia="zh-CN"/>
        </w:rPr>
        <w:t>49.13</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w:t>
      </w:r>
      <w:r>
        <w:rPr>
          <w:rFonts w:hint="default" w:ascii="Times New Roman" w:hAnsi="Times New Roman" w:eastAsia="仿宋_GB2312" w:cs="Times New Roman"/>
          <w:color w:val="auto"/>
          <w:szCs w:val="32"/>
          <w:highlight w:val="none"/>
          <w:lang w:val="en-US" w:eastAsia="zh-CN"/>
        </w:rPr>
        <w:t>项目为新建项目，</w:t>
      </w:r>
      <w:r>
        <w:rPr>
          <w:rFonts w:hint="eastAsia" w:ascii="Times New Roman" w:hAnsi="Times New Roman" w:eastAsia="仿宋_GB2312" w:cs="Times New Roman"/>
          <w:color w:val="000000"/>
          <w:szCs w:val="32"/>
          <w:lang w:eastAsia="zh-CN"/>
        </w:rPr>
        <w:t>建设内容主要包括自动化生产线的屠宰车间、待宰区、检疫室、粪污存储间、冷库，以及办公楼、宿舍、库房等辅助设施，建成后</w:t>
      </w:r>
      <w:r>
        <w:rPr>
          <w:rFonts w:hint="eastAsia" w:ascii="Times New Roman" w:hAnsi="Times New Roman" w:eastAsia="仿宋_GB2312" w:cs="Times New Roman"/>
          <w:color w:val="000000"/>
          <w:szCs w:val="32"/>
          <w:lang w:val="en-US" w:eastAsia="zh-CN"/>
        </w:rPr>
        <w:t>可</w:t>
      </w:r>
      <w:r>
        <w:rPr>
          <w:rFonts w:hint="eastAsia" w:ascii="Times New Roman" w:hAnsi="Times New Roman" w:eastAsia="仿宋_GB2312" w:cs="Times New Roman"/>
          <w:color w:val="000000"/>
          <w:szCs w:val="32"/>
          <w:lang w:eastAsia="zh-CN"/>
        </w:rPr>
        <w:t>年屠宰生猪18万头。</w:t>
      </w:r>
      <w:r>
        <w:rPr>
          <w:rFonts w:hint="eastAsia" w:ascii="Times New Roman" w:hAnsi="Times New Roman" w:eastAsia="仿宋_GB2312" w:cs="Times New Roman"/>
          <w:color w:val="000000"/>
          <w:szCs w:val="32"/>
          <w:lang w:val="en-US" w:eastAsia="zh-CN"/>
        </w:rPr>
        <w:t>项目总投资2500万元，其中环保投资601.5万元，占总投资的24.06%。</w:t>
      </w:r>
    </w:p>
    <w:p w14:paraId="0E9A18AB">
      <w:pPr>
        <w:keepNext w:val="0"/>
        <w:keepLines w:val="0"/>
        <w:pageBreakBefore w:val="0"/>
        <w:widowControl w:val="0"/>
        <w:numPr>
          <w:ilvl w:val="0"/>
          <w:numId w:val="0"/>
        </w:numPr>
        <w:kinsoku/>
        <w:wordWrap/>
        <w:overflowPunct/>
        <w:topLinePunct w:val="0"/>
        <w:autoSpaceDE/>
        <w:autoSpaceDN/>
        <w:bidi w:val="0"/>
        <w:spacing w:line="560" w:lineRule="exact"/>
        <w:ind w:firstLine="632" w:firstLineChars="200"/>
        <w:textAlignment w:val="auto"/>
        <w:rPr>
          <w:rFonts w:hint="default" w:ascii="Times New Roman" w:hAnsi="Times New Roman" w:eastAsia="仿宋_GB2312" w:cs="Times New Roman"/>
          <w:color w:val="FF0000"/>
          <w:szCs w:val="32"/>
          <w:highlight w:val="none"/>
        </w:rPr>
      </w:pPr>
      <w:r>
        <w:rPr>
          <w:rFonts w:hint="default" w:ascii="Times New Roman" w:hAnsi="Times New Roman" w:eastAsia="仿宋_GB2312" w:cs="Times New Roman"/>
          <w:bCs/>
          <w:color w:val="auto"/>
          <w:szCs w:val="32"/>
          <w:highlight w:val="none"/>
        </w:rPr>
        <w:t>二、</w:t>
      </w:r>
      <w:r>
        <w:rPr>
          <w:rFonts w:hint="default" w:ascii="Times New Roman" w:hAnsi="Times New Roman" w:eastAsia="仿宋_GB2312" w:cs="Times New Roman"/>
          <w:color w:val="auto"/>
          <w:szCs w:val="32"/>
          <w:highlight w:val="none"/>
        </w:rPr>
        <w:t>在全面落实报告</w:t>
      </w:r>
      <w:r>
        <w:rPr>
          <w:rFonts w:hint="eastAsia" w:eastAsia="仿宋_GB2312" w:cs="Times New Roman"/>
          <w:color w:val="auto"/>
          <w:szCs w:val="32"/>
          <w:highlight w:val="none"/>
          <w:lang w:val="en-US" w:eastAsia="zh-CN"/>
        </w:rPr>
        <w:t>书</w:t>
      </w:r>
      <w:r>
        <w:rPr>
          <w:rFonts w:hint="default" w:ascii="Times New Roman" w:hAnsi="Times New Roman" w:eastAsia="仿宋_GB2312" w:cs="Times New Roman"/>
          <w:color w:val="auto"/>
          <w:szCs w:val="32"/>
          <w:highlight w:val="none"/>
        </w:rPr>
        <w:t>提出的各项生态保护和污染防治措施后，项目建设和运营过程中对环境的不利影响能够得到缓解和控制。因此，综合各方面因素，从环境保护角度考虑，我局原则同意你单位按照报告</w:t>
      </w:r>
      <w:r>
        <w:rPr>
          <w:rFonts w:hint="eastAsia" w:eastAsia="仿宋_GB2312" w:cs="Times New Roman"/>
          <w:color w:val="auto"/>
          <w:szCs w:val="32"/>
          <w:highlight w:val="none"/>
          <w:lang w:val="en-US" w:eastAsia="zh-CN"/>
        </w:rPr>
        <w:t>书</w:t>
      </w:r>
      <w:r>
        <w:rPr>
          <w:rFonts w:hint="default" w:ascii="Times New Roman" w:hAnsi="Times New Roman" w:eastAsia="仿宋_GB2312" w:cs="Times New Roman"/>
          <w:color w:val="auto"/>
          <w:szCs w:val="32"/>
          <w:highlight w:val="none"/>
        </w:rPr>
        <w:t>中所列建设项目地点、性质、规模和拟采取的环境保护对策措施进行项目建设。</w:t>
      </w:r>
    </w:p>
    <w:p w14:paraId="1381139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color w:val="auto"/>
          <w:szCs w:val="32"/>
          <w:highlight w:val="none"/>
        </w:rPr>
        <w:t>三、项目建设和运营中应重点做好以下工作：</w:t>
      </w:r>
    </w:p>
    <w:p w14:paraId="327348F3">
      <w:pPr>
        <w:keepNext w:val="0"/>
        <w:keepLines w:val="0"/>
        <w:pageBreakBefore w:val="0"/>
        <w:widowControl w:val="0"/>
        <w:kinsoku/>
        <w:wordWrap/>
        <w:overflowPunct/>
        <w:topLinePunct w:val="0"/>
        <w:autoSpaceDE/>
        <w:autoSpaceDN/>
        <w:bidi w:val="0"/>
        <w:adjustRightInd/>
        <w:snapToGrid/>
        <w:spacing w:line="540" w:lineRule="exact"/>
        <w:ind w:firstLine="632"/>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w:t>
      </w:r>
      <w:r>
        <w:rPr>
          <w:rFonts w:hint="eastAsia" w:eastAsia="仿宋_GB2312" w:cs="Times New Roman"/>
          <w:bCs/>
          <w:color w:val="auto"/>
          <w:szCs w:val="32"/>
          <w:highlight w:val="none"/>
          <w:lang w:val="en-US" w:eastAsia="zh-CN"/>
        </w:rPr>
        <w:t>一</w:t>
      </w:r>
      <w:r>
        <w:rPr>
          <w:rFonts w:hint="default" w:ascii="Times New Roman" w:hAnsi="Times New Roman" w:eastAsia="仿宋_GB2312" w:cs="Times New Roman"/>
          <w:bCs/>
          <w:color w:val="auto"/>
          <w:szCs w:val="32"/>
          <w:highlight w:val="none"/>
        </w:rPr>
        <w:t>）严格落实大气污染防治措施。</w:t>
      </w:r>
      <w:r>
        <w:rPr>
          <w:rFonts w:hint="default" w:ascii="Times New Roman" w:hAnsi="Times New Roman" w:eastAsia="仿宋_GB2312" w:cs="Times New Roman"/>
          <w:color w:val="auto"/>
          <w:szCs w:val="32"/>
          <w:lang w:val="en-US" w:eastAsia="zh-CN"/>
        </w:rPr>
        <w:t>生猪待宰区废气</w:t>
      </w:r>
      <w:r>
        <w:rPr>
          <w:rFonts w:hint="eastAsia" w:ascii="Times New Roman" w:hAnsi="Times New Roman" w:eastAsia="仿宋_GB2312" w:cs="Times New Roman"/>
          <w:color w:val="auto"/>
          <w:szCs w:val="32"/>
          <w:lang w:val="en-US" w:eastAsia="zh-CN"/>
        </w:rPr>
        <w:t>采取</w:t>
      </w:r>
      <w:r>
        <w:rPr>
          <w:rFonts w:hint="default" w:ascii="Times New Roman" w:hAnsi="Times New Roman" w:eastAsia="仿宋_GB2312" w:cs="Times New Roman"/>
          <w:color w:val="auto"/>
          <w:szCs w:val="32"/>
          <w:lang w:val="en-US" w:eastAsia="zh-CN"/>
        </w:rPr>
        <w:t>生物过滤除臭塔处理后，通过15米高排气筒（DA00</w:t>
      </w:r>
      <w:r>
        <w:rPr>
          <w:rFonts w:hint="eastAsia" w:ascii="Times New Roman" w:hAnsi="Times New Roman" w:eastAsia="仿宋_GB2312" w:cs="Times New Roman"/>
          <w:color w:val="auto"/>
          <w:szCs w:val="32"/>
          <w:lang w:val="en-US" w:eastAsia="zh-CN"/>
        </w:rPr>
        <w:t>1</w:t>
      </w:r>
      <w:r>
        <w:rPr>
          <w:rFonts w:hint="default" w:ascii="Times New Roman" w:hAnsi="Times New Roman" w:eastAsia="仿宋_GB2312" w:cs="Times New Roman"/>
          <w:color w:val="auto"/>
          <w:szCs w:val="32"/>
          <w:lang w:val="en-US" w:eastAsia="zh-CN"/>
        </w:rPr>
        <w:t>）排放</w:t>
      </w:r>
      <w:r>
        <w:rPr>
          <w:rFonts w:hint="eastAsia" w:ascii="Times New Roman" w:hAnsi="Times New Roman" w:eastAsia="仿宋_GB2312" w:cs="Times New Roman"/>
          <w:color w:val="auto"/>
          <w:szCs w:val="32"/>
          <w:lang w:val="en-US" w:eastAsia="zh-CN"/>
        </w:rPr>
        <w:t>；生猪屠宰车间废气采取</w:t>
      </w:r>
      <w:r>
        <w:rPr>
          <w:rFonts w:hint="default" w:ascii="Times New Roman" w:hAnsi="Times New Roman" w:eastAsia="仿宋_GB2312" w:cs="Times New Roman"/>
          <w:color w:val="auto"/>
          <w:szCs w:val="32"/>
          <w:lang w:val="en-US" w:eastAsia="zh-CN"/>
        </w:rPr>
        <w:t>生物过滤除臭塔处理后，通过15米高排气筒（DA00</w:t>
      </w:r>
      <w:r>
        <w:rPr>
          <w:rFonts w:hint="eastAsia" w:ascii="Times New Roman" w:hAnsi="Times New Roman" w:eastAsia="仿宋_GB2312" w:cs="Times New Roman"/>
          <w:color w:val="auto"/>
          <w:szCs w:val="32"/>
          <w:lang w:val="en-US" w:eastAsia="zh-CN"/>
        </w:rPr>
        <w:t>2</w:t>
      </w:r>
      <w:r>
        <w:rPr>
          <w:rFonts w:hint="default" w:ascii="Times New Roman" w:hAnsi="Times New Roman" w:eastAsia="仿宋_GB2312" w:cs="Times New Roman"/>
          <w:color w:val="auto"/>
          <w:szCs w:val="32"/>
          <w:lang w:val="en-US" w:eastAsia="zh-CN"/>
        </w:rPr>
        <w:t>）排放</w:t>
      </w:r>
      <w:r>
        <w:rPr>
          <w:rFonts w:hint="eastAsia" w:ascii="Times New Roman" w:hAnsi="Times New Roman" w:eastAsia="仿宋_GB2312" w:cs="Times New Roman"/>
          <w:color w:val="auto"/>
          <w:szCs w:val="32"/>
          <w:lang w:val="en-US" w:eastAsia="zh-CN"/>
        </w:rPr>
        <w:t>；污水处理站废气采取</w:t>
      </w:r>
      <w:r>
        <w:rPr>
          <w:rFonts w:hint="default" w:ascii="Times New Roman" w:hAnsi="Times New Roman" w:eastAsia="仿宋_GB2312" w:cs="Times New Roman"/>
          <w:color w:val="auto"/>
          <w:szCs w:val="32"/>
          <w:lang w:val="en-US" w:eastAsia="zh-CN"/>
        </w:rPr>
        <w:t>生物过滤除臭塔处理后，通过15米高排气筒（DA00</w:t>
      </w:r>
      <w:r>
        <w:rPr>
          <w:rFonts w:hint="eastAsia" w:ascii="Times New Roman" w:hAnsi="Times New Roman" w:eastAsia="仿宋_GB2312" w:cs="Times New Roman"/>
          <w:color w:val="auto"/>
          <w:szCs w:val="32"/>
          <w:lang w:val="en-US" w:eastAsia="zh-CN"/>
        </w:rPr>
        <w:t>3</w:t>
      </w:r>
      <w:r>
        <w:rPr>
          <w:rFonts w:hint="default" w:ascii="Times New Roman" w:hAnsi="Times New Roman" w:eastAsia="仿宋_GB2312" w:cs="Times New Roman"/>
          <w:color w:val="auto"/>
          <w:szCs w:val="32"/>
          <w:lang w:val="en-US" w:eastAsia="zh-CN"/>
        </w:rPr>
        <w:t>）排放</w:t>
      </w:r>
      <w:r>
        <w:rPr>
          <w:rFonts w:hint="eastAsia" w:ascii="Times New Roman" w:hAnsi="Times New Roman" w:eastAsia="仿宋_GB2312" w:cs="Times New Roman"/>
          <w:color w:val="auto"/>
          <w:szCs w:val="32"/>
          <w:lang w:val="en-US" w:eastAsia="zh-CN"/>
        </w:rPr>
        <w:t>；生物质锅炉废气</w:t>
      </w:r>
      <w:r>
        <w:rPr>
          <w:rFonts w:hint="default" w:ascii="Times New Roman" w:hAnsi="Times New Roman" w:eastAsia="仿宋_GB2312" w:cs="Times New Roman"/>
          <w:color w:val="auto"/>
          <w:szCs w:val="32"/>
          <w:lang w:val="en-US" w:eastAsia="zh-CN"/>
        </w:rPr>
        <w:t>采取低氮燃烧+旋风除尘器+布袋除尘器处理后，通过15米高排气筒（DA00</w:t>
      </w:r>
      <w:r>
        <w:rPr>
          <w:rFonts w:hint="eastAsia" w:ascii="Times New Roman" w:hAnsi="Times New Roman" w:eastAsia="仿宋_GB2312" w:cs="Times New Roman"/>
          <w:color w:val="auto"/>
          <w:szCs w:val="32"/>
          <w:lang w:val="en-US" w:eastAsia="zh-CN"/>
        </w:rPr>
        <w:t>4</w:t>
      </w:r>
      <w:r>
        <w:rPr>
          <w:rFonts w:hint="default" w:ascii="Times New Roman" w:hAnsi="Times New Roman" w:eastAsia="仿宋_GB2312" w:cs="Times New Roman"/>
          <w:color w:val="auto"/>
          <w:szCs w:val="32"/>
          <w:lang w:val="en-US" w:eastAsia="zh-CN"/>
        </w:rPr>
        <w:t>）排放</w:t>
      </w:r>
      <w:r>
        <w:rPr>
          <w:rFonts w:hint="eastAsia" w:ascii="Times New Roman" w:hAnsi="Times New Roman" w:eastAsia="仿宋_GB2312" w:cs="Times New Roman"/>
          <w:color w:val="auto"/>
          <w:szCs w:val="32"/>
          <w:lang w:val="en-US" w:eastAsia="zh-CN"/>
        </w:rPr>
        <w:t>。</w:t>
      </w:r>
      <w:r>
        <w:rPr>
          <w:rFonts w:hint="default" w:ascii="Times New Roman" w:hAnsi="Times New Roman" w:eastAsia="仿宋_GB2312" w:cs="Times New Roman"/>
          <w:b w:val="0"/>
          <w:bCs w:val="0"/>
          <w:color w:val="auto"/>
          <w:szCs w:val="32"/>
          <w:lang w:val="en-US" w:eastAsia="zh-CN"/>
        </w:rPr>
        <w:t>氨</w:t>
      </w:r>
      <w:r>
        <w:rPr>
          <w:rFonts w:hint="eastAsia" w:ascii="Times New Roman" w:hAnsi="Times New Roman" w:eastAsia="仿宋_GB2312" w:cs="Times New Roman"/>
          <w:b w:val="0"/>
          <w:bCs w:val="0"/>
          <w:color w:val="auto"/>
          <w:szCs w:val="32"/>
          <w:lang w:val="en-US" w:eastAsia="zh-CN"/>
        </w:rPr>
        <w:t>、硫化氢、臭气浓度</w:t>
      </w:r>
      <w:r>
        <w:rPr>
          <w:rFonts w:hint="default" w:ascii="Times New Roman" w:hAnsi="Times New Roman" w:eastAsia="仿宋_GB2312" w:cs="Times New Roman"/>
          <w:b w:val="0"/>
          <w:bCs w:val="0"/>
          <w:color w:val="auto"/>
          <w:szCs w:val="32"/>
          <w:lang w:val="en-US" w:eastAsia="zh-CN"/>
        </w:rPr>
        <w:t>执行《恶臭污染物排放标准》（GB 14554-93）表2中排放限值要求；二氧化硫</w:t>
      </w:r>
      <w:r>
        <w:rPr>
          <w:rFonts w:hint="eastAsia" w:ascii="Times New Roman" w:hAnsi="Times New Roman" w:eastAsia="仿宋_GB2312" w:cs="Times New Roman"/>
          <w:b w:val="0"/>
          <w:bCs w:val="0"/>
          <w:color w:val="auto"/>
          <w:szCs w:val="32"/>
          <w:lang w:val="en-US" w:eastAsia="zh-CN"/>
        </w:rPr>
        <w:t>、氮氧化物、颗粒物排放</w:t>
      </w:r>
      <w:r>
        <w:rPr>
          <w:rFonts w:hint="eastAsia" w:ascii="Times New Roman" w:hAnsi="Times New Roman" w:eastAsia="仿宋_GB2312" w:cs="Times New Roman"/>
          <w:color w:val="auto"/>
          <w:szCs w:val="32"/>
          <w:lang w:val="en-US" w:eastAsia="zh-CN"/>
        </w:rPr>
        <w:t>执行</w:t>
      </w:r>
      <w:r>
        <w:rPr>
          <w:rFonts w:hint="eastAsia" w:ascii="Times New Roman" w:hAnsi="Times New Roman" w:eastAsia="仿宋_GB2312" w:cs="Times New Roman"/>
          <w:b w:val="0"/>
          <w:bCs w:val="0"/>
          <w:color w:val="auto"/>
          <w:szCs w:val="32"/>
          <w:lang w:val="en-US" w:eastAsia="zh-CN"/>
        </w:rPr>
        <w:t>《锅炉大气污染物排放标准》（GB13271-2014）表2 燃煤锅炉排放标</w:t>
      </w:r>
      <w:r>
        <w:rPr>
          <w:rFonts w:hint="eastAsia" w:ascii="Times New Roman" w:hAnsi="Times New Roman" w:eastAsia="仿宋_GB2312" w:cs="Times New Roman"/>
          <w:b w:val="0"/>
          <w:bCs w:val="0"/>
          <w:color w:val="auto"/>
          <w:szCs w:val="32"/>
          <w:highlight w:val="none"/>
          <w:lang w:val="en-US" w:eastAsia="zh-CN"/>
        </w:rPr>
        <w:t>准要求。</w:t>
      </w:r>
    </w:p>
    <w:p w14:paraId="1DBAEB90">
      <w:pPr>
        <w:keepNext w:val="0"/>
        <w:keepLines w:val="0"/>
        <w:pageBreakBefore w:val="0"/>
        <w:widowControl w:val="0"/>
        <w:numPr>
          <w:ilvl w:val="0"/>
          <w:numId w:val="0"/>
        </w:numPr>
        <w:tabs>
          <w:tab w:val="left" w:pos="379"/>
          <w:tab w:val="left" w:pos="844"/>
          <w:tab w:val="left" w:pos="3060"/>
        </w:tabs>
        <w:kinsoku/>
        <w:wordWrap/>
        <w:overflowPunct/>
        <w:topLinePunct w:val="0"/>
        <w:autoSpaceDE/>
        <w:autoSpaceDN/>
        <w:bidi w:val="0"/>
        <w:adjustRightInd/>
        <w:snapToGrid/>
        <w:spacing w:line="560" w:lineRule="exact"/>
        <w:ind w:left="0" w:leftChars="0" w:firstLine="632" w:firstLineChars="200"/>
        <w:textAlignment w:val="auto"/>
        <w:rPr>
          <w:rFonts w:hint="eastAsia" w:ascii="Times New Roman" w:hAnsi="Times New Roman" w:eastAsia="仿宋_GB2312" w:cs="Times New Roman"/>
          <w:color w:val="auto"/>
          <w:szCs w:val="32"/>
          <w:lang w:val="en-US" w:eastAsia="zh-CN"/>
        </w:rPr>
      </w:pPr>
      <w:r>
        <w:rPr>
          <w:rFonts w:hint="eastAsia" w:ascii="Times New Roman" w:hAnsi="Times New Roman" w:eastAsia="仿宋_GB2312" w:cs="Times New Roman"/>
          <w:color w:val="auto"/>
          <w:szCs w:val="32"/>
          <w:lang w:val="en-US" w:eastAsia="zh-CN"/>
        </w:rPr>
        <w:t>生猪待宰区采取密闭车间，负压收集，定期喷洒除臭剂，及时清洗、清运粪便等措施；生猪屠宰车间采用负压，定期通风，及时清运产品及屠宰残余物等措施；厂内综合污水处理站四周设置绿化，格栅、调节池、污泥池加盖处理。厂界氨、硫化氢、臭气浓度执行《恶臭污染物排放标准》（GB14554-93）中表1“恶臭污染物厂界标准值”。</w:t>
      </w:r>
    </w:p>
    <w:p w14:paraId="3738C764">
      <w:pPr>
        <w:keepNext w:val="0"/>
        <w:keepLines w:val="0"/>
        <w:pageBreakBefore w:val="0"/>
        <w:widowControl w:val="0"/>
        <w:numPr>
          <w:ilvl w:val="0"/>
          <w:numId w:val="0"/>
        </w:numPr>
        <w:tabs>
          <w:tab w:val="left" w:pos="379"/>
          <w:tab w:val="left" w:pos="844"/>
          <w:tab w:val="left" w:pos="3060"/>
        </w:tabs>
        <w:kinsoku/>
        <w:wordWrap/>
        <w:overflowPunct/>
        <w:topLinePunct w:val="0"/>
        <w:autoSpaceDE/>
        <w:autoSpaceDN/>
        <w:bidi w:val="0"/>
        <w:adjustRightInd/>
        <w:snapToGrid/>
        <w:spacing w:line="560" w:lineRule="exact"/>
        <w:ind w:left="0" w:leftChars="0" w:firstLine="632" w:firstLineChars="200"/>
        <w:textAlignment w:val="auto"/>
        <w:rPr>
          <w:rFonts w:hint="eastAsia" w:ascii="Times New Roman" w:hAnsi="Times New Roman" w:eastAsia="仿宋_GB2312" w:cs="Times New Roman"/>
          <w:bCs/>
          <w:color w:val="auto"/>
          <w:kern w:val="2"/>
          <w:sz w:val="32"/>
          <w:szCs w:val="32"/>
          <w:lang w:val="en-US" w:eastAsia="zh-CN" w:bidi="ar-SA"/>
        </w:rPr>
      </w:pPr>
      <w:r>
        <w:rPr>
          <w:rFonts w:hint="eastAsia" w:ascii="Times New Roman" w:hAnsi="Times New Roman" w:eastAsia="仿宋_GB2312" w:cs="Times New Roman"/>
          <w:bCs/>
          <w:color w:val="auto"/>
          <w:kern w:val="2"/>
          <w:sz w:val="32"/>
          <w:szCs w:val="32"/>
          <w:lang w:val="en-US" w:eastAsia="zh-CN" w:bidi="ar-SA"/>
        </w:rPr>
        <w:t>该项目NO</w:t>
      </w:r>
      <w:r>
        <w:rPr>
          <w:rFonts w:hint="eastAsia" w:ascii="Times New Roman" w:hAnsi="Times New Roman" w:eastAsia="仿宋_GB2312" w:cs="Times New Roman"/>
          <w:bCs/>
          <w:color w:val="auto"/>
          <w:kern w:val="2"/>
          <w:sz w:val="32"/>
          <w:szCs w:val="32"/>
          <w:vertAlign w:val="subscript"/>
          <w:lang w:val="en-US" w:eastAsia="zh-CN" w:bidi="ar-SA"/>
        </w:rPr>
        <w:t>X</w:t>
      </w:r>
      <w:r>
        <w:rPr>
          <w:rFonts w:hint="eastAsia" w:ascii="Times New Roman" w:hAnsi="Times New Roman" w:eastAsia="仿宋_GB2312" w:cs="Times New Roman"/>
          <w:bCs/>
          <w:color w:val="auto"/>
          <w:kern w:val="2"/>
          <w:sz w:val="32"/>
          <w:szCs w:val="32"/>
          <w:lang w:val="en-US" w:eastAsia="zh-CN" w:bidi="ar-SA"/>
        </w:rPr>
        <w:t>排放总量不超过</w:t>
      </w:r>
      <w:r>
        <w:rPr>
          <w:rFonts w:hint="eastAsia" w:eastAsia="仿宋_GB2312" w:cs="Times New Roman"/>
          <w:bCs/>
          <w:color w:val="auto"/>
          <w:kern w:val="2"/>
          <w:sz w:val="32"/>
          <w:szCs w:val="32"/>
          <w:lang w:val="en-US" w:eastAsia="zh-CN" w:bidi="ar-SA"/>
        </w:rPr>
        <w:t>0.6426</w:t>
      </w:r>
      <w:r>
        <w:rPr>
          <w:rFonts w:hint="eastAsia" w:ascii="Times New Roman" w:hAnsi="Times New Roman" w:eastAsia="仿宋_GB2312" w:cs="Times New Roman"/>
          <w:bCs/>
          <w:color w:val="auto"/>
          <w:kern w:val="2"/>
          <w:sz w:val="32"/>
          <w:szCs w:val="32"/>
          <w:lang w:val="en-US" w:eastAsia="zh-CN" w:bidi="ar-SA"/>
        </w:rPr>
        <w:t>吨/年。</w:t>
      </w:r>
    </w:p>
    <w:p w14:paraId="41381AD8">
      <w:pPr>
        <w:keepNext w:val="0"/>
        <w:keepLines w:val="0"/>
        <w:pageBreakBefore w:val="0"/>
        <w:widowControl w:val="0"/>
        <w:numPr>
          <w:ilvl w:val="0"/>
          <w:numId w:val="0"/>
        </w:numPr>
        <w:tabs>
          <w:tab w:val="left" w:pos="379"/>
          <w:tab w:val="left" w:pos="844"/>
          <w:tab w:val="left" w:pos="3060"/>
        </w:tabs>
        <w:kinsoku/>
        <w:wordWrap/>
        <w:overflowPunct/>
        <w:topLinePunct w:val="0"/>
        <w:autoSpaceDE/>
        <w:autoSpaceDN/>
        <w:bidi w:val="0"/>
        <w:adjustRightInd/>
        <w:snapToGrid/>
        <w:spacing w:line="560" w:lineRule="exact"/>
        <w:ind w:left="0" w:leftChars="0" w:firstLine="632" w:firstLineChars="200"/>
        <w:textAlignment w:val="auto"/>
        <w:rPr>
          <w:rFonts w:hint="default" w:ascii="Times New Roman" w:hAnsi="Times New Roman" w:eastAsia="仿宋_GB2312" w:cs="Times New Roman"/>
          <w:bCs/>
          <w:color w:val="auto"/>
          <w:szCs w:val="32"/>
          <w:highlight w:val="none"/>
        </w:rPr>
      </w:pPr>
      <w:r>
        <w:rPr>
          <w:rFonts w:hint="eastAsia" w:ascii="Times New Roman" w:hAnsi="Times New Roman" w:eastAsia="仿宋_GB2312" w:cs="Times New Roman"/>
          <w:bCs/>
          <w:color w:val="auto"/>
          <w:kern w:val="2"/>
          <w:sz w:val="32"/>
          <w:szCs w:val="32"/>
          <w:lang w:val="en-US" w:eastAsia="zh-CN" w:bidi="ar-SA"/>
        </w:rPr>
        <w:t>（二）</w:t>
      </w:r>
      <w:r>
        <w:rPr>
          <w:rFonts w:hint="eastAsia" w:eastAsia="仿宋_GB2312" w:cs="Times New Roman"/>
          <w:bCs/>
          <w:color w:val="auto"/>
          <w:szCs w:val="32"/>
          <w:highlight w:val="none"/>
          <w:lang w:val="en-US" w:eastAsia="zh-CN"/>
        </w:rPr>
        <w:t>严格</w:t>
      </w:r>
      <w:r>
        <w:rPr>
          <w:rFonts w:hint="default" w:ascii="Times New Roman" w:hAnsi="Times New Roman" w:eastAsia="仿宋_GB2312" w:cs="Times New Roman"/>
          <w:bCs/>
          <w:color w:val="auto"/>
          <w:szCs w:val="32"/>
          <w:highlight w:val="none"/>
        </w:rPr>
        <w:t>落实水污染防治措施。</w:t>
      </w:r>
      <w:r>
        <w:rPr>
          <w:rFonts w:hint="default" w:ascii="Times New Roman" w:hAnsi="Times New Roman" w:eastAsia="仿宋_GB2312" w:cs="Times New Roman"/>
          <w:bCs/>
          <w:color w:val="auto"/>
          <w:szCs w:val="32"/>
          <w:highlight w:val="none"/>
          <w:lang w:val="en-US" w:eastAsia="zh-CN"/>
        </w:rPr>
        <w:t>生活污水和生产废水</w:t>
      </w:r>
      <w:r>
        <w:rPr>
          <w:rFonts w:hint="eastAsia" w:eastAsia="仿宋_GB2312" w:cs="Times New Roman"/>
          <w:bCs/>
          <w:color w:val="auto"/>
          <w:szCs w:val="32"/>
          <w:highlight w:val="none"/>
          <w:lang w:val="en-US" w:eastAsia="zh-CN"/>
        </w:rPr>
        <w:t>通过厂区污水处理站处理</w:t>
      </w:r>
      <w:r>
        <w:rPr>
          <w:rFonts w:hint="default" w:ascii="Times New Roman" w:hAnsi="Times New Roman" w:eastAsia="仿宋_GB2312" w:cs="Times New Roman"/>
          <w:bCs/>
          <w:color w:val="auto"/>
          <w:szCs w:val="32"/>
          <w:highlight w:val="none"/>
          <w:lang w:val="en-US" w:eastAsia="zh-CN"/>
        </w:rPr>
        <w:t>，达到《农田灌溉水质标准》（GB5084-2021）中旱地作物标准及《屠宰及肉类加工工业水污染物排放标准》（GB 13457-2025）直接排放标准限值要求</w:t>
      </w:r>
      <w:r>
        <w:rPr>
          <w:rFonts w:hint="eastAsia" w:eastAsia="仿宋_GB2312" w:cs="Times New Roman"/>
          <w:bCs/>
          <w:color w:val="auto"/>
          <w:szCs w:val="32"/>
          <w:highlight w:val="none"/>
          <w:lang w:val="en-US" w:eastAsia="zh-CN"/>
        </w:rPr>
        <w:t>后，</w:t>
      </w:r>
      <w:r>
        <w:rPr>
          <w:rFonts w:hint="default" w:ascii="Times New Roman" w:hAnsi="Times New Roman" w:eastAsia="仿宋_GB2312" w:cs="Times New Roman"/>
          <w:bCs/>
          <w:color w:val="auto"/>
          <w:szCs w:val="32"/>
          <w:highlight w:val="none"/>
          <w:lang w:val="en-US" w:eastAsia="zh-CN"/>
        </w:rPr>
        <w:t>灌溉季节用于林地灌溉，非灌溉季节储存在蓄水池。</w:t>
      </w:r>
    </w:p>
    <w:p w14:paraId="308DBFFA">
      <w:pPr>
        <w:keepNext w:val="0"/>
        <w:keepLines w:val="0"/>
        <w:pageBreakBefore w:val="0"/>
        <w:widowControl w:val="0"/>
        <w:numPr>
          <w:ilvl w:val="0"/>
          <w:numId w:val="0"/>
        </w:numPr>
        <w:tabs>
          <w:tab w:val="left" w:pos="379"/>
          <w:tab w:val="left" w:pos="844"/>
          <w:tab w:val="left" w:pos="3060"/>
        </w:tabs>
        <w:kinsoku/>
        <w:wordWrap/>
        <w:overflowPunct/>
        <w:topLinePunct w:val="0"/>
        <w:autoSpaceDE/>
        <w:autoSpaceDN/>
        <w:bidi w:val="0"/>
        <w:adjustRightInd/>
        <w:snapToGrid/>
        <w:spacing w:line="560" w:lineRule="exact"/>
        <w:ind w:left="0" w:leftChars="0" w:firstLine="632" w:firstLineChars="200"/>
        <w:textAlignment w:val="auto"/>
        <w:rPr>
          <w:rFonts w:hint="default" w:ascii="Times New Roman" w:hAnsi="Times New Roman" w:eastAsia="仿宋_GB2312" w:cs="Times New Roman"/>
          <w:bCs/>
          <w:color w:val="auto"/>
          <w:szCs w:val="32"/>
          <w:highlight w:val="none"/>
          <w:lang w:val="en-US" w:eastAsia="zh-CN"/>
        </w:rPr>
      </w:pPr>
      <w:r>
        <w:rPr>
          <w:rFonts w:hint="eastAsia" w:ascii="Times New Roman" w:hAnsi="Times New Roman" w:eastAsia="仿宋_GB2312" w:cs="Times New Roman"/>
          <w:bCs/>
          <w:color w:val="auto"/>
          <w:kern w:val="2"/>
          <w:sz w:val="32"/>
          <w:szCs w:val="32"/>
          <w:lang w:val="en-US" w:eastAsia="zh-CN" w:bidi="ar-SA"/>
        </w:rPr>
        <w:t>该项目COD排放总量不超过</w:t>
      </w:r>
      <w:r>
        <w:rPr>
          <w:rFonts w:hint="eastAsia" w:eastAsia="仿宋_GB2312" w:cs="Times New Roman"/>
          <w:bCs/>
          <w:color w:val="auto"/>
          <w:kern w:val="2"/>
          <w:sz w:val="32"/>
          <w:szCs w:val="32"/>
          <w:lang w:val="en-US" w:eastAsia="zh-CN" w:bidi="ar-SA"/>
        </w:rPr>
        <w:t>6.39</w:t>
      </w:r>
      <w:r>
        <w:rPr>
          <w:rFonts w:hint="eastAsia" w:ascii="Times New Roman" w:hAnsi="Times New Roman" w:eastAsia="仿宋_GB2312" w:cs="Times New Roman"/>
          <w:bCs/>
          <w:color w:val="auto"/>
          <w:kern w:val="2"/>
          <w:sz w:val="32"/>
          <w:szCs w:val="32"/>
          <w:lang w:val="en-US" w:eastAsia="zh-CN" w:bidi="ar-SA"/>
        </w:rPr>
        <w:t>吨/年，氨氮排放总量不超过</w:t>
      </w:r>
      <w:r>
        <w:rPr>
          <w:rFonts w:hint="eastAsia" w:eastAsia="仿宋_GB2312" w:cs="Times New Roman"/>
          <w:bCs/>
          <w:color w:val="auto"/>
          <w:kern w:val="2"/>
          <w:sz w:val="32"/>
          <w:szCs w:val="32"/>
          <w:lang w:val="en-US" w:eastAsia="zh-CN" w:bidi="ar-SA"/>
        </w:rPr>
        <w:t>1.46</w:t>
      </w:r>
      <w:r>
        <w:rPr>
          <w:rFonts w:hint="eastAsia" w:ascii="Times New Roman" w:hAnsi="Times New Roman" w:eastAsia="仿宋_GB2312" w:cs="Times New Roman"/>
          <w:bCs/>
          <w:color w:val="auto"/>
          <w:kern w:val="2"/>
          <w:sz w:val="32"/>
          <w:szCs w:val="32"/>
          <w:lang w:val="en-US" w:eastAsia="zh-CN" w:bidi="ar-SA"/>
        </w:rPr>
        <w:t>吨/年。</w:t>
      </w:r>
    </w:p>
    <w:p w14:paraId="5A968F02">
      <w:pPr>
        <w:keepNext w:val="0"/>
        <w:keepLines w:val="0"/>
        <w:pageBreakBefore w:val="0"/>
        <w:widowControl w:val="0"/>
        <w:numPr>
          <w:ilvl w:val="0"/>
          <w:numId w:val="0"/>
        </w:numPr>
        <w:tabs>
          <w:tab w:val="left" w:pos="379"/>
          <w:tab w:val="left" w:pos="844"/>
          <w:tab w:val="left" w:pos="3060"/>
        </w:tabs>
        <w:kinsoku/>
        <w:wordWrap/>
        <w:overflowPunct/>
        <w:topLinePunct w:val="0"/>
        <w:autoSpaceDE/>
        <w:autoSpaceDN/>
        <w:bidi w:val="0"/>
        <w:adjustRightInd/>
        <w:snapToGrid/>
        <w:spacing w:line="560" w:lineRule="exact"/>
        <w:ind w:left="0" w:leftChars="0" w:firstLine="632" w:firstLineChars="200"/>
        <w:textAlignment w:val="auto"/>
        <w:rPr>
          <w:rFonts w:hint="default" w:ascii="Times New Roman" w:hAnsi="Times New Roman" w:eastAsia="仿宋_GB2312" w:cs="Times New Roman"/>
          <w:bCs/>
          <w:color w:val="auto"/>
          <w:szCs w:val="32"/>
          <w:highlight w:val="none"/>
          <w:lang w:val="en-US" w:eastAsia="zh-CN"/>
        </w:rPr>
      </w:pPr>
      <w:r>
        <w:rPr>
          <w:rFonts w:hint="eastAsia" w:ascii="Times New Roman" w:hAnsi="Times New Roman" w:eastAsia="仿宋_GB2312" w:cs="Times New Roman"/>
          <w:bCs/>
          <w:color w:val="auto"/>
          <w:szCs w:val="32"/>
          <w:highlight w:val="none"/>
          <w:lang w:val="en-US" w:eastAsia="zh-CN"/>
        </w:rPr>
        <w:t>（三）</w:t>
      </w:r>
      <w:r>
        <w:rPr>
          <w:rFonts w:hint="default" w:ascii="Times New Roman" w:hAnsi="Times New Roman" w:eastAsia="仿宋_GB2312" w:cs="Times New Roman"/>
          <w:bCs/>
          <w:color w:val="auto"/>
          <w:szCs w:val="32"/>
          <w:highlight w:val="none"/>
          <w:lang w:val="en-US" w:eastAsia="zh-CN"/>
        </w:rPr>
        <w:t>严格落实噪声防治措施。</w:t>
      </w:r>
      <w:r>
        <w:rPr>
          <w:rFonts w:ascii="Times New Roman" w:hAnsi="Times New Roman" w:eastAsia="仿宋_GB2312"/>
          <w:highlight w:val="none"/>
        </w:rPr>
        <w:t>选择先进可靠的低噪声设备，对高噪声设备采用减振</w:t>
      </w:r>
      <w:r>
        <w:rPr>
          <w:rFonts w:hint="eastAsia" w:ascii="Times New Roman" w:hAnsi="Times New Roman" w:eastAsia="仿宋_GB2312"/>
          <w:highlight w:val="none"/>
          <w:lang w:eastAsia="zh-CN"/>
        </w:rPr>
        <w:t>、</w:t>
      </w:r>
      <w:r>
        <w:rPr>
          <w:rFonts w:ascii="Times New Roman" w:hAnsi="Times New Roman" w:eastAsia="仿宋_GB2312"/>
          <w:highlight w:val="none"/>
        </w:rPr>
        <w:t>隔声</w:t>
      </w:r>
      <w:r>
        <w:rPr>
          <w:rFonts w:hint="eastAsia" w:eastAsia="仿宋_GB2312"/>
          <w:highlight w:val="none"/>
          <w:lang w:val="en-US" w:eastAsia="zh-CN"/>
        </w:rPr>
        <w:t>等措施处理</w:t>
      </w:r>
      <w:r>
        <w:rPr>
          <w:rFonts w:hint="eastAsia" w:ascii="Times New Roman" w:hAnsi="Times New Roman" w:eastAsia="仿宋_GB2312"/>
          <w:highlight w:val="none"/>
          <w:lang w:eastAsia="zh-CN"/>
        </w:rPr>
        <w:t>。</w:t>
      </w:r>
      <w:r>
        <w:rPr>
          <w:rFonts w:ascii="Times New Roman" w:hAnsi="Times New Roman" w:eastAsia="仿宋_GB2312"/>
          <w:highlight w:val="none"/>
        </w:rPr>
        <w:t>厂界噪声排放</w:t>
      </w:r>
      <w:r>
        <w:rPr>
          <w:rFonts w:hint="eastAsia" w:ascii="Times New Roman" w:hAnsi="Times New Roman" w:eastAsia="仿宋_GB2312"/>
          <w:highlight w:val="none"/>
          <w:lang w:val="en-US" w:eastAsia="zh-CN"/>
        </w:rPr>
        <w:t>执行</w:t>
      </w:r>
      <w:r>
        <w:rPr>
          <w:rFonts w:ascii="Times New Roman" w:hAnsi="Times New Roman" w:eastAsia="仿宋_GB2312"/>
          <w:highlight w:val="none"/>
        </w:rPr>
        <w:t>《工业企业厂界环境噪声排放标准》（GB12348-2008）中</w:t>
      </w:r>
      <w:r>
        <w:rPr>
          <w:rFonts w:hint="eastAsia" w:eastAsia="仿宋_GB2312"/>
          <w:highlight w:val="none"/>
          <w:lang w:val="en-US" w:eastAsia="zh-CN"/>
        </w:rPr>
        <w:t>2</w:t>
      </w:r>
      <w:r>
        <w:rPr>
          <w:rFonts w:ascii="Times New Roman" w:hAnsi="Times New Roman" w:eastAsia="仿宋_GB2312"/>
          <w:highlight w:val="none"/>
        </w:rPr>
        <w:t>类标准要求。</w:t>
      </w:r>
    </w:p>
    <w:p w14:paraId="280E3420">
      <w:pPr>
        <w:keepNext w:val="0"/>
        <w:keepLines w:val="0"/>
        <w:pageBreakBefore w:val="0"/>
        <w:widowControl w:val="0"/>
        <w:numPr>
          <w:ilvl w:val="0"/>
          <w:numId w:val="0"/>
        </w:numPr>
        <w:tabs>
          <w:tab w:val="left" w:pos="379"/>
          <w:tab w:val="left" w:pos="844"/>
          <w:tab w:val="left" w:pos="3060"/>
        </w:tabs>
        <w:kinsoku/>
        <w:wordWrap/>
        <w:overflowPunct/>
        <w:topLinePunct w:val="0"/>
        <w:autoSpaceDE/>
        <w:autoSpaceDN/>
        <w:bidi w:val="0"/>
        <w:adjustRightInd/>
        <w:snapToGrid/>
        <w:spacing w:line="560" w:lineRule="exact"/>
        <w:ind w:left="0" w:leftChars="0" w:firstLine="632" w:firstLineChars="200"/>
        <w:textAlignment w:val="auto"/>
        <w:rPr>
          <w:rFonts w:hint="default" w:ascii="Times New Roman" w:hAnsi="Times New Roman" w:eastAsia="仿宋_GB2312" w:cs="Times New Roman"/>
          <w:bCs/>
          <w:color w:val="auto"/>
          <w:szCs w:val="32"/>
          <w:highlight w:val="none"/>
          <w:lang w:val="en-US" w:eastAsia="zh-CN"/>
        </w:rPr>
      </w:pPr>
      <w:r>
        <w:rPr>
          <w:rFonts w:hint="eastAsia" w:ascii="Times New Roman" w:hAnsi="Times New Roman" w:eastAsia="仿宋_GB2312" w:cs="Times New Roman"/>
          <w:bCs/>
          <w:color w:val="auto"/>
          <w:kern w:val="2"/>
          <w:sz w:val="32"/>
          <w:szCs w:val="32"/>
          <w:lang w:val="en-US" w:eastAsia="zh-CN" w:bidi="ar-SA"/>
        </w:rPr>
        <w:t>（四）</w:t>
      </w:r>
      <w:r>
        <w:rPr>
          <w:rFonts w:hint="default" w:ascii="Times New Roman" w:hAnsi="Times New Roman" w:eastAsia="仿宋_GB2312" w:cs="Times New Roman"/>
          <w:bCs/>
          <w:color w:val="auto"/>
          <w:szCs w:val="32"/>
          <w:highlight w:val="none"/>
        </w:rPr>
        <w:t>固体废物实施分类管理和妥善处理处置。</w:t>
      </w:r>
      <w:r>
        <w:rPr>
          <w:rFonts w:hint="eastAsia" w:ascii="Times New Roman" w:hAnsi="Times New Roman" w:eastAsia="仿宋_GB2312"/>
          <w:highlight w:val="none"/>
          <w:lang w:val="en-US" w:eastAsia="zh-CN"/>
        </w:rPr>
        <w:t>一般固体废物中</w:t>
      </w:r>
      <w:r>
        <w:rPr>
          <w:rFonts w:hint="default" w:ascii="Times New Roman" w:hAnsi="Times New Roman" w:eastAsia="仿宋_GB2312" w:cs="Times New Roman"/>
          <w:color w:val="auto"/>
          <w:szCs w:val="32"/>
          <w:lang w:val="en-US" w:eastAsia="zh-CN"/>
        </w:rPr>
        <w:t>病死畜禽及不合格病肉经分类收集后暂存于无害化暂存间，定期交由定点无害化处置单位拉运处置；待宰圈粪便、胃肠内容物、栅渣及污泥均采用密闭容器收集，暂存于一般固废暂存间，外售作为堆肥原料或由专业单位回收利用；除尘灰、废布袋及炉渣分别收集后外售</w:t>
      </w:r>
      <w:r>
        <w:rPr>
          <w:rFonts w:hint="default" w:ascii="Times New Roman" w:hAnsi="Times New Roman" w:eastAsia="仿宋_GB2312" w:cs="Times New Roman"/>
          <w:color w:val="auto"/>
          <w:szCs w:val="32"/>
          <w:lang w:val="en-US" w:eastAsia="zh-CN"/>
        </w:rPr>
        <w:t>或综合利用</w:t>
      </w:r>
      <w:r>
        <w:rPr>
          <w:rFonts w:hint="default" w:ascii="Times New Roman" w:hAnsi="Times New Roman" w:eastAsia="仿宋_GB2312" w:cs="Times New Roman"/>
          <w:color w:val="auto"/>
          <w:szCs w:val="32"/>
          <w:lang w:val="en-US" w:eastAsia="zh-CN"/>
        </w:rPr>
        <w:t>；废离子交换树脂、生物除臭塔废填料更换后由生产厂家直接回收，不在厂内贮存</w:t>
      </w:r>
      <w:r>
        <w:rPr>
          <w:rFonts w:hint="eastAsia" w:ascii="Times New Roman" w:hAnsi="Times New Roman" w:eastAsia="仿宋_GB2312" w:cs="Times New Roman"/>
          <w:color w:val="auto"/>
          <w:szCs w:val="32"/>
          <w:lang w:val="en-US" w:eastAsia="zh-CN"/>
        </w:rPr>
        <w:t>。</w:t>
      </w:r>
      <w:r>
        <w:rPr>
          <w:rFonts w:hint="default" w:ascii="Times New Roman" w:hAnsi="Times New Roman" w:eastAsia="仿宋_GB2312" w:cs="Times New Roman"/>
          <w:color w:val="auto"/>
          <w:szCs w:val="32"/>
          <w:lang w:val="en-US" w:eastAsia="zh-CN"/>
        </w:rPr>
        <w:t>在线监测废液</w:t>
      </w:r>
      <w:r>
        <w:rPr>
          <w:rFonts w:hint="eastAsia" w:ascii="Times New Roman" w:hAnsi="Times New Roman" w:eastAsia="仿宋_GB2312"/>
          <w:color w:val="000000"/>
          <w:lang w:val="en-US" w:eastAsia="zh-CN"/>
        </w:rPr>
        <w:t>属于</w:t>
      </w:r>
      <w:r>
        <w:rPr>
          <w:rFonts w:hint="eastAsia" w:eastAsia="仿宋_GB2312" w:cs="Times New Roman"/>
          <w:bCs/>
          <w:color w:val="auto"/>
          <w:szCs w:val="32"/>
          <w:highlight w:val="none"/>
          <w:lang w:val="en-US" w:eastAsia="zh-CN"/>
        </w:rPr>
        <w:t>危险废物，</w:t>
      </w:r>
      <w:r>
        <w:rPr>
          <w:rFonts w:hint="default" w:ascii="Times New Roman" w:hAnsi="Times New Roman" w:eastAsia="仿宋_GB2312" w:cs="Times New Roman"/>
          <w:color w:val="auto"/>
          <w:szCs w:val="32"/>
          <w:lang w:val="en-US" w:eastAsia="zh-CN"/>
        </w:rPr>
        <w:t>收集后暂存于危废贮存库，定期委托有资质单位处置</w:t>
      </w:r>
      <w:r>
        <w:rPr>
          <w:rFonts w:hint="eastAsia" w:ascii="Times New Roman" w:hAnsi="Times New Roman" w:eastAsia="仿宋_GB2312" w:cs="Times New Roman"/>
          <w:color w:val="auto"/>
          <w:szCs w:val="32"/>
          <w:lang w:val="en-US" w:eastAsia="zh-CN"/>
        </w:rPr>
        <w:t>。</w:t>
      </w:r>
      <w:r>
        <w:rPr>
          <w:rFonts w:hint="default" w:ascii="Times New Roman" w:hAnsi="Times New Roman" w:eastAsia="仿宋_GB2312" w:cs="Times New Roman"/>
          <w:bCs/>
          <w:color w:val="auto"/>
          <w:szCs w:val="32"/>
          <w:highlight w:val="none"/>
          <w:lang w:val="en-US" w:eastAsia="zh-CN"/>
        </w:rPr>
        <w:t>危险废物的收集、贮存、运输须符合《危险废物收集 贮存 运输技术规范》（HJ2025-2012）及《危险废物贮存污染控制标准》（GB18597-2023）的相关要求。</w:t>
      </w:r>
      <w:r>
        <w:rPr>
          <w:rFonts w:hint="default" w:ascii="Times New Roman" w:hAnsi="Times New Roman" w:eastAsia="仿宋_GB2312" w:cs="Times New Roman"/>
          <w:color w:val="auto"/>
          <w:szCs w:val="32"/>
          <w:lang w:val="en-US" w:eastAsia="zh-CN"/>
        </w:rPr>
        <w:t>生活垃圾由环卫部门统一清运，日产日清。</w:t>
      </w:r>
      <w:bookmarkStart w:id="0" w:name="_GoBack"/>
      <w:bookmarkEnd w:id="0"/>
    </w:p>
    <w:p w14:paraId="06209AD6">
      <w:pPr>
        <w:keepNext w:val="0"/>
        <w:keepLines w:val="0"/>
        <w:pageBreakBefore w:val="0"/>
        <w:widowControl w:val="0"/>
        <w:tabs>
          <w:tab w:val="left" w:pos="379"/>
          <w:tab w:val="left" w:pos="844"/>
          <w:tab w:val="left" w:pos="3060"/>
        </w:tabs>
        <w:kinsoku/>
        <w:wordWrap/>
        <w:overflowPunct/>
        <w:topLinePunct w:val="0"/>
        <w:autoSpaceDE/>
        <w:autoSpaceDN/>
        <w:bidi w:val="0"/>
        <w:adjustRightInd/>
        <w:snapToGrid/>
        <w:spacing w:line="560" w:lineRule="exact"/>
        <w:ind w:firstLine="632" w:firstLineChars="200"/>
        <w:textAlignment w:val="auto"/>
        <w:rPr>
          <w:rFonts w:hint="eastAsia" w:eastAsia="仿宋_GB2312" w:cs="Times New Roman"/>
          <w:color w:val="auto"/>
          <w:kern w:val="2"/>
          <w:szCs w:val="32"/>
          <w:highlight w:val="none"/>
          <w:lang w:eastAsia="zh-CN"/>
        </w:rPr>
      </w:pPr>
      <w:r>
        <w:rPr>
          <w:rFonts w:hint="default" w:ascii="Times New Roman" w:hAnsi="Times New Roman" w:eastAsia="仿宋_GB2312" w:cs="Times New Roman"/>
        </w:rPr>
        <w:t>（</w:t>
      </w:r>
      <w:r>
        <w:rPr>
          <w:rFonts w:hint="eastAsia" w:eastAsia="仿宋_GB2312" w:cs="Times New Roman"/>
          <w:lang w:val="en-US" w:eastAsia="zh-CN"/>
        </w:rPr>
        <w:t>五</w:t>
      </w:r>
      <w:r>
        <w:rPr>
          <w:rFonts w:hint="default" w:ascii="Times New Roman" w:hAnsi="Times New Roman" w:eastAsia="仿宋_GB2312" w:cs="Times New Roman"/>
        </w:rPr>
        <w:t>）严格落实</w:t>
      </w:r>
      <w:r>
        <w:rPr>
          <w:rFonts w:hint="default" w:ascii="Times New Roman" w:hAnsi="Times New Roman" w:eastAsia="仿宋_GB2312" w:cs="Times New Roman"/>
          <w:lang w:val="en-US" w:eastAsia="zh-CN"/>
        </w:rPr>
        <w:t>地下水及</w:t>
      </w:r>
      <w:r>
        <w:rPr>
          <w:rFonts w:hint="default" w:ascii="Times New Roman" w:hAnsi="Times New Roman" w:eastAsia="仿宋_GB2312" w:cs="Times New Roman"/>
        </w:rPr>
        <w:t>土壤污染防治措施。</w:t>
      </w:r>
      <w:r>
        <w:rPr>
          <w:rFonts w:hint="eastAsia" w:eastAsia="仿宋_GB2312" w:cs="Times New Roman"/>
          <w:bCs/>
          <w:color w:val="auto"/>
          <w:szCs w:val="32"/>
          <w:highlight w:val="none"/>
          <w:lang w:eastAsia="zh-CN"/>
        </w:rPr>
        <w:t>按照源头防控、分区防治、污染监控、应急响应的原则进行地下水污染防治。严格按照导则要求，落实分区防渗和监控措施，</w:t>
      </w:r>
      <w:r>
        <w:rPr>
          <w:rFonts w:hint="eastAsia" w:eastAsia="仿宋_GB2312" w:cs="Times New Roman"/>
          <w:bCs/>
          <w:color w:val="auto"/>
          <w:szCs w:val="32"/>
          <w:highlight w:val="none"/>
          <w:lang w:val="en-US" w:eastAsia="zh-CN"/>
        </w:rPr>
        <w:t>对</w:t>
      </w:r>
      <w:r>
        <w:rPr>
          <w:rFonts w:hint="eastAsia" w:ascii="Times New Roman" w:hAnsi="Times New Roman" w:eastAsia="仿宋_GB2312" w:cs="Times New Roman"/>
          <w:color w:val="auto"/>
          <w:szCs w:val="32"/>
          <w:lang w:val="en-US" w:eastAsia="zh-CN"/>
        </w:rPr>
        <w:t>污水处理站、屠宰车间、待宰区、危废贮存库、蓄水池等区域</w:t>
      </w:r>
      <w:r>
        <w:rPr>
          <w:rFonts w:hint="eastAsia" w:ascii="Times New Roman" w:hAnsi="Times New Roman" w:eastAsia="仿宋_GB2312"/>
          <w:color w:val="000000"/>
          <w:lang w:val="en-US" w:eastAsia="zh-CN"/>
        </w:rPr>
        <w:t>进行</w:t>
      </w:r>
      <w:r>
        <w:rPr>
          <w:rFonts w:hint="eastAsia" w:eastAsia="仿宋_GB2312" w:cs="Times New Roman"/>
          <w:lang w:val="en-US" w:eastAsia="zh-CN"/>
        </w:rPr>
        <w:t>重点</w:t>
      </w:r>
      <w:r>
        <w:rPr>
          <w:rFonts w:hint="default" w:ascii="Times New Roman" w:hAnsi="Times New Roman" w:eastAsia="仿宋_GB2312" w:cs="Times New Roman"/>
        </w:rPr>
        <w:t>防渗</w:t>
      </w:r>
      <w:r>
        <w:rPr>
          <w:rFonts w:hint="eastAsia" w:eastAsia="仿宋_GB2312" w:cs="Times New Roman"/>
          <w:lang w:eastAsia="zh-CN"/>
        </w:rPr>
        <w:t>。</w:t>
      </w:r>
      <w:r>
        <w:rPr>
          <w:rFonts w:hint="eastAsia" w:eastAsia="仿宋_GB2312" w:cs="Times New Roman"/>
          <w:color w:val="auto"/>
          <w:kern w:val="2"/>
          <w:szCs w:val="32"/>
          <w:highlight w:val="none"/>
          <w:lang w:eastAsia="zh-CN"/>
        </w:rPr>
        <w:t>加强防渗设施的日常维护，对出现损坏的防渗设施应及时修复和加固，确保防渗设施牢固安全。</w:t>
      </w:r>
    </w:p>
    <w:p w14:paraId="1172D56E">
      <w:pPr>
        <w:keepNext w:val="0"/>
        <w:keepLines w:val="0"/>
        <w:pageBreakBefore w:val="0"/>
        <w:widowControl w:val="0"/>
        <w:tabs>
          <w:tab w:val="left" w:pos="379"/>
          <w:tab w:val="left" w:pos="844"/>
          <w:tab w:val="left" w:pos="3060"/>
        </w:tabs>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w:t>
      </w:r>
      <w:r>
        <w:rPr>
          <w:rFonts w:hint="eastAsia" w:eastAsia="仿宋_GB2312" w:cs="Times New Roman"/>
          <w:bCs/>
          <w:color w:val="auto"/>
          <w:szCs w:val="32"/>
          <w:highlight w:val="none"/>
          <w:lang w:val="en-US" w:eastAsia="zh-CN"/>
        </w:rPr>
        <w:t>六</w:t>
      </w:r>
      <w:r>
        <w:rPr>
          <w:rFonts w:hint="default" w:ascii="Times New Roman" w:hAnsi="Times New Roman" w:eastAsia="仿宋_GB2312" w:cs="Times New Roman"/>
          <w:bCs/>
          <w:color w:val="auto"/>
          <w:szCs w:val="32"/>
          <w:highlight w:val="none"/>
        </w:rPr>
        <w:t>）</w:t>
      </w:r>
      <w:r>
        <w:rPr>
          <w:rFonts w:hint="default" w:ascii="Times New Roman" w:hAnsi="Times New Roman" w:eastAsia="仿宋_GB2312" w:cs="Times New Roman"/>
          <w:bCs/>
          <w:color w:val="auto"/>
          <w:szCs w:val="32"/>
          <w:highlight w:val="none"/>
          <w:lang w:eastAsia="zh-CN"/>
        </w:rPr>
        <w:t>加强施工期环境保护，落实防沙治沙措施，防止施工废水、扬尘、噪声污染、水土流失和生态破坏。</w:t>
      </w:r>
    </w:p>
    <w:p w14:paraId="21C8611F">
      <w:pPr>
        <w:keepNext w:val="0"/>
        <w:keepLines w:val="0"/>
        <w:pageBreakBefore w:val="0"/>
        <w:widowControl w:val="0"/>
        <w:tabs>
          <w:tab w:val="left" w:pos="379"/>
          <w:tab w:val="left" w:pos="844"/>
          <w:tab w:val="left" w:pos="3060"/>
        </w:tabs>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w:t>
      </w:r>
      <w:r>
        <w:rPr>
          <w:rFonts w:hint="eastAsia" w:eastAsia="仿宋_GB2312" w:cs="Times New Roman"/>
          <w:bCs/>
          <w:color w:val="auto"/>
          <w:szCs w:val="32"/>
          <w:highlight w:val="none"/>
          <w:lang w:val="en-US" w:eastAsia="zh-CN"/>
        </w:rPr>
        <w:t>七</w:t>
      </w:r>
      <w:r>
        <w:rPr>
          <w:rFonts w:hint="default" w:ascii="Times New Roman" w:hAnsi="Times New Roman" w:eastAsia="仿宋_GB2312" w:cs="Times New Roman"/>
          <w:bCs/>
          <w:color w:val="auto"/>
          <w:szCs w:val="32"/>
          <w:highlight w:val="none"/>
        </w:rPr>
        <w:t>）强化各项环境风险防范措施，有效防范环境风险。定期开展环境风险应急培训和演练，落实各项应急环境管理措施以及各项风险防范措施，确保风险事故得到有效控制。</w:t>
      </w:r>
    </w:p>
    <w:p w14:paraId="24F231E2">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eastAsia" w:eastAsia="仿宋_GB2312" w:cs="Times New Roman"/>
          <w:bCs/>
          <w:color w:val="auto"/>
          <w:szCs w:val="32"/>
          <w:highlight w:val="none"/>
          <w:lang w:eastAsia="zh-CN"/>
        </w:rPr>
        <w:t>（</w:t>
      </w:r>
      <w:r>
        <w:rPr>
          <w:rFonts w:hint="eastAsia" w:eastAsia="仿宋_GB2312" w:cs="Times New Roman"/>
          <w:bCs/>
          <w:color w:val="auto"/>
          <w:szCs w:val="32"/>
          <w:highlight w:val="none"/>
          <w:lang w:val="en-US" w:eastAsia="zh-CN"/>
        </w:rPr>
        <w:t>八</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在工程运营过程中，应建立畅通的公众参与平台，加强宣传与沟通工作，及时解决公众提出的合理环境诉求。定期发布企业环境信息，并主动接受社会监督。</w:t>
      </w:r>
    </w:p>
    <w:p w14:paraId="367ABA6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四、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36983DF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五、环境影响报告</w:t>
      </w:r>
      <w:r>
        <w:rPr>
          <w:rFonts w:hint="eastAsia" w:eastAsia="仿宋_GB2312" w:cs="Times New Roman"/>
          <w:bCs/>
          <w:color w:val="auto"/>
          <w:szCs w:val="32"/>
          <w:highlight w:val="none"/>
          <w:lang w:val="en-US" w:eastAsia="zh-CN"/>
        </w:rPr>
        <w:t>书</w:t>
      </w:r>
      <w:r>
        <w:rPr>
          <w:rFonts w:hint="default" w:ascii="Times New Roman" w:hAnsi="Times New Roman" w:eastAsia="仿宋_GB2312" w:cs="Times New Roman"/>
          <w:bCs/>
          <w:color w:val="auto"/>
          <w:szCs w:val="32"/>
          <w:highlight w:val="none"/>
        </w:rPr>
        <w:t>经批准后，该项目的性质、规模、地点、生产工艺和环境保护措施发生重大变动，且可能导致环境影响显著变化</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特别是不利环境影响加重</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的，应当重新报批该项目环境影响评价报告。</w:t>
      </w:r>
    </w:p>
    <w:p w14:paraId="36131E7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六、在启动生产设施或者在实际排污之前，按照经批准的环境影响评价文件认真梳理并确认各项环境保护措施落实后，依法申领排污许可证。</w:t>
      </w:r>
    </w:p>
    <w:p w14:paraId="0212C16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eastAsia" w:eastAsia="仿宋_GB2312" w:cs="Times New Roman"/>
          <w:bCs/>
          <w:color w:val="auto"/>
          <w:szCs w:val="32"/>
          <w:highlight w:val="none"/>
          <w:lang w:val="en-US" w:eastAsia="zh-CN"/>
        </w:rPr>
        <w:t>七</w:t>
      </w:r>
      <w:r>
        <w:rPr>
          <w:rFonts w:hint="default" w:ascii="Times New Roman" w:hAnsi="Times New Roman" w:eastAsia="仿宋_GB2312" w:cs="Times New Roman"/>
          <w:bCs/>
          <w:color w:val="auto"/>
          <w:szCs w:val="32"/>
          <w:highlight w:val="none"/>
        </w:rPr>
        <w:t>、</w:t>
      </w:r>
      <w:r>
        <w:rPr>
          <w:rFonts w:hint="default" w:ascii="Times New Roman" w:hAnsi="Times New Roman" w:eastAsia="仿宋_GB2312" w:cs="Times New Roman"/>
          <w:bCs/>
          <w:sz w:val="32"/>
          <w:szCs w:val="32"/>
          <w:lang w:val="en-US" w:eastAsia="zh-CN"/>
        </w:rPr>
        <w:t>1</w:t>
      </w:r>
      <w:r>
        <w:rPr>
          <w:rFonts w:hint="eastAsia" w:eastAsia="仿宋_GB2312" w:cs="Times New Roman"/>
          <w:bCs/>
          <w:sz w:val="32"/>
          <w:szCs w:val="32"/>
          <w:lang w:val="en-US" w:eastAsia="zh-CN"/>
        </w:rPr>
        <w:t>23</w:t>
      </w:r>
      <w:r>
        <w:rPr>
          <w:rFonts w:hint="default" w:ascii="Times New Roman" w:hAnsi="Times New Roman" w:eastAsia="仿宋_GB2312" w:cs="Times New Roman"/>
          <w:bCs/>
          <w:sz w:val="32"/>
          <w:szCs w:val="32"/>
        </w:rPr>
        <w:t>团城镇和生态保护中心</w:t>
      </w:r>
      <w:r>
        <w:rPr>
          <w:rFonts w:hint="default" w:ascii="Times New Roman" w:hAnsi="Times New Roman" w:eastAsia="仿宋_GB2312" w:cs="Times New Roman"/>
          <w:bCs/>
          <w:color w:val="auto"/>
          <w:szCs w:val="32"/>
          <w:highlight w:val="none"/>
        </w:rPr>
        <w:t>要切实承担事中事后监管主要责任，履行属地监管职责，按照《关于进一步完善建设项目环境保护“三同时”及竣工环境保护自主验收监管工作机制的意见》（环执法〔2021〕70号）要求，加强对该项目环境保护“三同时”及自主验收监管。</w:t>
      </w:r>
    </w:p>
    <w:p w14:paraId="66A63F0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eastAsia" w:eastAsia="仿宋_GB2312" w:cs="Times New Roman"/>
          <w:bCs/>
          <w:color w:val="auto"/>
          <w:szCs w:val="32"/>
          <w:highlight w:val="none"/>
          <w:lang w:val="en-US" w:eastAsia="zh-CN"/>
        </w:rPr>
        <w:t>八</w:t>
      </w:r>
      <w:r>
        <w:rPr>
          <w:rFonts w:hint="default" w:ascii="Times New Roman" w:hAnsi="Times New Roman" w:eastAsia="仿宋_GB2312" w:cs="Times New Roman"/>
          <w:bCs/>
          <w:color w:val="auto"/>
          <w:szCs w:val="32"/>
          <w:highlight w:val="none"/>
        </w:rPr>
        <w:t>、我局委托师市生态环境保护综合行政执法支队负责该项目的事中事后监管，生态环境监测站按职责开展相关监管工作，我局负责对“三同时”及自主验收监管工作的监督指导。你单位应在接到本批复后20个工作日内，将批准后的环境影响报告</w:t>
      </w:r>
      <w:r>
        <w:rPr>
          <w:rFonts w:hint="eastAsia" w:eastAsia="仿宋_GB2312" w:cs="Times New Roman"/>
          <w:bCs/>
          <w:color w:val="auto"/>
          <w:szCs w:val="32"/>
          <w:highlight w:val="none"/>
          <w:lang w:val="en-US" w:eastAsia="zh-CN"/>
        </w:rPr>
        <w:t>书</w:t>
      </w:r>
      <w:r>
        <w:rPr>
          <w:rFonts w:hint="default" w:ascii="Times New Roman" w:hAnsi="Times New Roman" w:eastAsia="仿宋_GB2312" w:cs="Times New Roman"/>
          <w:bCs/>
          <w:color w:val="auto"/>
          <w:szCs w:val="32"/>
          <w:highlight w:val="none"/>
        </w:rPr>
        <w:t>送师市生态环境保护综合行政执法支队、生态环境监测站、</w:t>
      </w:r>
      <w:r>
        <w:rPr>
          <w:rFonts w:hint="default" w:ascii="Times New Roman" w:hAnsi="Times New Roman" w:eastAsia="仿宋_GB2312" w:cs="Times New Roman"/>
          <w:bCs/>
          <w:sz w:val="32"/>
          <w:szCs w:val="32"/>
          <w:lang w:val="en-US" w:eastAsia="zh-CN"/>
        </w:rPr>
        <w:t>1</w:t>
      </w:r>
      <w:r>
        <w:rPr>
          <w:rFonts w:hint="eastAsia" w:eastAsia="仿宋_GB2312" w:cs="Times New Roman"/>
          <w:bCs/>
          <w:sz w:val="32"/>
          <w:szCs w:val="32"/>
          <w:lang w:val="en-US" w:eastAsia="zh-CN"/>
        </w:rPr>
        <w:t>23</w:t>
      </w:r>
      <w:r>
        <w:rPr>
          <w:rFonts w:hint="default" w:ascii="Times New Roman" w:hAnsi="Times New Roman" w:eastAsia="仿宋_GB2312" w:cs="Times New Roman"/>
          <w:bCs/>
          <w:sz w:val="32"/>
          <w:szCs w:val="32"/>
        </w:rPr>
        <w:t>团城镇和生态保护中心</w:t>
      </w:r>
      <w:r>
        <w:rPr>
          <w:rFonts w:hint="default" w:ascii="Times New Roman" w:hAnsi="Times New Roman" w:eastAsia="仿宋_GB2312" w:cs="Times New Roman"/>
          <w:bCs/>
          <w:color w:val="auto"/>
          <w:szCs w:val="32"/>
          <w:highlight w:val="none"/>
        </w:rPr>
        <w:t>，并按规定接受各级生态环境主管部门的监督检查。</w:t>
      </w:r>
    </w:p>
    <w:p w14:paraId="3F8719BC">
      <w:pPr>
        <w:keepNext w:val="0"/>
        <w:keepLines w:val="0"/>
        <w:pageBreakBefore w:val="0"/>
        <w:widowControl w:val="0"/>
        <w:kinsoku/>
        <w:wordWrap/>
        <w:overflowPunct/>
        <w:topLinePunct w:val="0"/>
        <w:autoSpaceDE/>
        <w:autoSpaceDN/>
        <w:bidi w:val="0"/>
        <w:adjustRightInd/>
        <w:snapToGrid/>
        <w:spacing w:line="740" w:lineRule="exact"/>
        <w:ind w:firstLine="4740" w:firstLineChars="1500"/>
        <w:textAlignment w:val="auto"/>
        <w:rPr>
          <w:rFonts w:hint="default" w:ascii="Times New Roman" w:hAnsi="Times New Roman" w:eastAsia="仿宋_GB2312" w:cs="Times New Roman"/>
          <w:bCs/>
          <w:color w:val="auto"/>
          <w:szCs w:val="32"/>
          <w:highlight w:val="none"/>
        </w:rPr>
      </w:pPr>
    </w:p>
    <w:p w14:paraId="6E2FBCCF">
      <w:pPr>
        <w:keepNext w:val="0"/>
        <w:keepLines w:val="0"/>
        <w:pageBreakBefore w:val="0"/>
        <w:widowControl w:val="0"/>
        <w:kinsoku/>
        <w:wordWrap/>
        <w:overflowPunct/>
        <w:topLinePunct w:val="0"/>
        <w:autoSpaceDE/>
        <w:autoSpaceDN/>
        <w:bidi w:val="0"/>
        <w:adjustRightInd/>
        <w:snapToGrid/>
        <w:spacing w:line="740" w:lineRule="exact"/>
        <w:ind w:firstLine="4740" w:firstLineChars="1500"/>
        <w:textAlignment w:val="auto"/>
        <w:rPr>
          <w:rFonts w:hint="default" w:ascii="Times New Roman" w:hAnsi="Times New Roman" w:eastAsia="仿宋_GB2312" w:cs="Times New Roman"/>
          <w:bCs/>
          <w:color w:val="auto"/>
          <w:szCs w:val="32"/>
          <w:highlight w:val="none"/>
        </w:rPr>
      </w:pPr>
    </w:p>
    <w:p w14:paraId="5167903C">
      <w:pPr>
        <w:keepNext w:val="0"/>
        <w:keepLines w:val="0"/>
        <w:pageBreakBefore w:val="0"/>
        <w:widowControl w:val="0"/>
        <w:kinsoku/>
        <w:wordWrap/>
        <w:overflowPunct/>
        <w:topLinePunct w:val="0"/>
        <w:autoSpaceDE/>
        <w:autoSpaceDN/>
        <w:bidi w:val="0"/>
        <w:adjustRightInd/>
        <w:snapToGrid/>
        <w:spacing w:line="400" w:lineRule="exact"/>
        <w:ind w:firstLine="4740" w:firstLineChars="15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 xml:space="preserve">第七师胡杨河市生态环境局 </w:t>
      </w:r>
    </w:p>
    <w:p w14:paraId="64D7B946">
      <w:pPr>
        <w:keepNext w:val="0"/>
        <w:keepLines w:val="0"/>
        <w:pageBreakBefore w:val="0"/>
        <w:widowControl w:val="0"/>
        <w:kinsoku/>
        <w:wordWrap/>
        <w:overflowPunct/>
        <w:topLinePunct w:val="0"/>
        <w:autoSpaceDE/>
        <w:autoSpaceDN/>
        <w:bidi w:val="0"/>
        <w:adjustRightInd/>
        <w:snapToGrid/>
        <w:spacing w:line="400" w:lineRule="exact"/>
        <w:ind w:firstLine="5372" w:firstLineChars="17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Cs/>
          <w:color w:val="auto"/>
          <w:szCs w:val="32"/>
          <w:highlight w:val="none"/>
        </w:rPr>
        <w:t>202</w:t>
      </w:r>
      <w:r>
        <w:rPr>
          <w:rFonts w:hint="eastAsia" w:eastAsia="仿宋_GB2312" w:cs="Times New Roman"/>
          <w:bCs/>
          <w:color w:val="auto"/>
          <w:szCs w:val="32"/>
          <w:highlight w:val="none"/>
          <w:lang w:val="en-US" w:eastAsia="zh-CN"/>
        </w:rPr>
        <w:t>6</w:t>
      </w:r>
      <w:r>
        <w:rPr>
          <w:rFonts w:hint="default" w:ascii="Times New Roman" w:hAnsi="Times New Roman" w:eastAsia="仿宋_GB2312" w:cs="Times New Roman"/>
          <w:bCs/>
          <w:color w:val="auto"/>
          <w:szCs w:val="32"/>
          <w:highlight w:val="none"/>
        </w:rPr>
        <w:t>年</w:t>
      </w:r>
      <w:r>
        <w:rPr>
          <w:rFonts w:hint="eastAsia" w:eastAsia="仿宋_GB2312" w:cs="Times New Roman"/>
          <w:bCs/>
          <w:color w:val="auto"/>
          <w:szCs w:val="32"/>
          <w:highlight w:val="none"/>
          <w:lang w:val="en-US" w:eastAsia="zh-CN"/>
        </w:rPr>
        <w:t>7</w:t>
      </w:r>
      <w:r>
        <w:rPr>
          <w:rFonts w:hint="default" w:ascii="Times New Roman" w:hAnsi="Times New Roman" w:eastAsia="仿宋_GB2312" w:cs="Times New Roman"/>
          <w:bCs/>
          <w:color w:val="auto"/>
          <w:szCs w:val="32"/>
          <w:highlight w:val="none"/>
        </w:rPr>
        <w:t>月</w:t>
      </w:r>
      <w:r>
        <w:rPr>
          <w:rFonts w:hint="eastAsia" w:eastAsia="仿宋_GB2312" w:cs="Times New Roman"/>
          <w:bCs/>
          <w:color w:val="auto"/>
          <w:szCs w:val="32"/>
          <w:highlight w:val="none"/>
          <w:lang w:val="en-US" w:eastAsia="zh-CN"/>
        </w:rPr>
        <w:t>17</w:t>
      </w:r>
      <w:r>
        <w:rPr>
          <w:rFonts w:hint="default" w:ascii="Times New Roman" w:hAnsi="Times New Roman" w:eastAsia="仿宋_GB2312" w:cs="Times New Roman"/>
          <w:bCs/>
          <w:color w:val="auto"/>
          <w:szCs w:val="32"/>
          <w:highlight w:val="none"/>
        </w:rPr>
        <w:t>日</w:t>
      </w:r>
    </w:p>
    <w:p w14:paraId="78E62357">
      <w:pPr>
        <w:spacing w:line="400" w:lineRule="exact"/>
        <w:ind w:right="316" w:rightChars="100"/>
        <w:rPr>
          <w:rFonts w:hint="default" w:ascii="Times New Roman" w:hAnsi="Times New Roman" w:eastAsia="仿宋_GB2312" w:cs="Times New Roman"/>
          <w:color w:val="auto"/>
          <w:sz w:val="28"/>
          <w:szCs w:val="28"/>
        </w:rPr>
      </w:pPr>
    </w:p>
    <w:p w14:paraId="0899815C">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438B5262">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47DAAFEB">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386C91C4">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51368CDA">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19F12197">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76BA3949">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7BCC7755">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4DFEB575">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02C7126D">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16956E2E">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0941AAC6">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079B36E5">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7E7019DD">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6947C309">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4EB24CF2">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0751B106">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7D32A463">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44B846CB">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657B2A3A">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645A79B2">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7293EF79">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4D196C0E">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7A0823C4">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58F6A39A">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590D6924">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4908C7B3">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6225F487">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656ECE62">
      <w:pPr>
        <w:spacing w:line="400" w:lineRule="exact"/>
        <w:ind w:right="316" w:rightChars="100"/>
        <w:rPr>
          <w:rFonts w:hint="default" w:ascii="Times New Roman" w:hAnsi="Times New Roman" w:eastAsia="仿宋_GB2312" w:cs="Times New Roman"/>
          <w:color w:val="auto"/>
          <w:sz w:val="28"/>
          <w:szCs w:val="28"/>
        </w:rPr>
      </w:pPr>
    </w:p>
    <w:p w14:paraId="57FE78B2">
      <w:pPr>
        <w:spacing w:line="400" w:lineRule="exact"/>
        <w:ind w:right="316" w:rightChars="100"/>
        <w:rPr>
          <w:rFonts w:hint="default" w:ascii="Times New Roman" w:hAnsi="Times New Roman" w:eastAsia="仿宋_GB2312" w:cs="Times New Roman"/>
          <w:color w:val="auto"/>
          <w:sz w:val="28"/>
          <w:szCs w:val="28"/>
        </w:rPr>
      </w:pPr>
    </w:p>
    <w:p w14:paraId="131EF20A">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136E9D54">
      <w:pPr>
        <w:pStyle w:val="7"/>
        <w:rPr>
          <w:rFonts w:hint="default" w:ascii="Times New Roman" w:hAnsi="Times New Roman" w:eastAsia="仿宋_GB2312" w:cs="Times New Roman"/>
          <w:color w:val="auto"/>
          <w:sz w:val="28"/>
          <w:szCs w:val="28"/>
        </w:rPr>
      </w:pPr>
    </w:p>
    <w:p w14:paraId="38360143">
      <w:pPr>
        <w:pStyle w:val="7"/>
        <w:rPr>
          <w:rFonts w:hint="default" w:ascii="Times New Roman" w:hAnsi="Times New Roman" w:eastAsia="仿宋_GB2312" w:cs="Times New Roman"/>
          <w:color w:val="auto"/>
          <w:sz w:val="28"/>
          <w:szCs w:val="28"/>
        </w:rPr>
      </w:pPr>
    </w:p>
    <w:p w14:paraId="6F262850">
      <w:pPr>
        <w:pStyle w:val="7"/>
        <w:rPr>
          <w:rFonts w:hint="default" w:ascii="Times New Roman" w:hAnsi="Times New Roman" w:eastAsia="仿宋_GB2312" w:cs="Times New Roman"/>
          <w:color w:val="auto"/>
          <w:sz w:val="28"/>
          <w:szCs w:val="28"/>
        </w:rPr>
      </w:pPr>
    </w:p>
    <w:p w14:paraId="215459C3">
      <w:pPr>
        <w:keepNext w:val="0"/>
        <w:keepLines w:val="0"/>
        <w:pageBreakBefore w:val="0"/>
        <w:widowControl w:val="0"/>
        <w:kinsoku/>
        <w:wordWrap/>
        <w:overflowPunct/>
        <w:topLinePunct w:val="0"/>
        <w:autoSpaceDE/>
        <w:autoSpaceDN/>
        <w:bidi w:val="0"/>
        <w:adjustRightInd/>
        <w:snapToGrid/>
        <w:spacing w:line="720" w:lineRule="exact"/>
        <w:ind w:right="316" w:rightChars="100"/>
        <w:textAlignment w:val="auto"/>
        <w:rPr>
          <w:rFonts w:hint="default" w:ascii="Times New Roman" w:hAnsi="Times New Roman" w:eastAsia="仿宋_GB2312" w:cs="Times New Roman"/>
          <w:color w:val="auto"/>
          <w:sz w:val="28"/>
          <w:szCs w:val="28"/>
        </w:rPr>
      </w:pPr>
    </w:p>
    <w:p w14:paraId="35C2C75D">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-10795</wp:posOffset>
                </wp:positionV>
                <wp:extent cx="5568315" cy="10795"/>
                <wp:effectExtent l="0" t="0" r="0" b="0"/>
                <wp:wrapNone/>
                <wp:docPr id="1" name="直接连接符 1"/>
                <wp:cNvGraphicFramePr/>
                <a:graphic xmlns:a="http://schemas.openxmlformats.org/drawingml/2006/main">
                  <a:graphicData uri="http://schemas.microsoft.com/office/word/2010/wordprocessingShape">
                    <wps:wsp>
                      <wps:cNvCnPr/>
                      <wps:spPr>
                        <a:xfrm flipV="1">
                          <a:off x="0" y="0"/>
                          <a:ext cx="5568315" cy="10795"/>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pt;margin-top:-0.85pt;height:0.85pt;width:438.45pt;z-index:251660288;mso-width-relative:page;mso-height-relative:page;" filled="f" stroked="t" coordsize="21600,21600" o:gfxdata="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PhbN/TAAAABAEAAA8AAAAAAAAAAQAgAAAAIgAAAGRycy9kb3du&#10;cmV2LnhtbFBLAQIUABQAAAAIAIdO4kCJn9VuBAIAAAEEAAAOAAAAAAAAAAEAIAAAACIBAABkcnMv&#10;ZTJvRG9jLnhtbFBLBQYAAAAABgAGAFkBAACYBQ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auto"/>
          <w:sz w:val="28"/>
          <w:szCs w:val="28"/>
        </w:rPr>
        <w:t>抄送：师市生态环境保护综合行政执法支队、生态环境监测站、</w:t>
      </w:r>
      <w:r>
        <w:rPr>
          <w:rFonts w:hint="default" w:ascii="Times New Roman" w:hAnsi="Times New Roman" w:eastAsia="仿宋_GB2312" w:cs="Times New Roman"/>
          <w:color w:val="auto"/>
          <w:sz w:val="28"/>
          <w:szCs w:val="28"/>
          <w:lang w:val="en-US" w:eastAsia="zh-CN"/>
        </w:rPr>
        <w:t>123</w:t>
      </w:r>
      <w:r>
        <w:rPr>
          <w:rFonts w:hint="default" w:ascii="Times New Roman" w:hAnsi="Times New Roman" w:eastAsia="仿宋_GB2312" w:cs="Times New Roman"/>
          <w:color w:val="auto"/>
          <w:sz w:val="28"/>
          <w:szCs w:val="28"/>
        </w:rPr>
        <w:t>团城镇和生态保护中心。</w:t>
      </w:r>
    </w:p>
    <w:p w14:paraId="66A4461E">
      <w:pPr>
        <w:spacing w:line="600" w:lineRule="exact"/>
        <w:ind w:right="316" w:rightChars="100" w:firstLine="254" w:firstLineChars="100"/>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color w:val="auto"/>
          <w:spacing w:val="-11"/>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382270</wp:posOffset>
                </wp:positionV>
                <wp:extent cx="5615940" cy="1905"/>
                <wp:effectExtent l="0" t="0" r="0" b="0"/>
                <wp:wrapNone/>
                <wp:docPr id="2" name="直接连接符 2"/>
                <wp:cNvGraphicFramePr/>
                <a:graphic xmlns:a="http://schemas.openxmlformats.org/drawingml/2006/main">
                  <a:graphicData uri="http://schemas.microsoft.com/office/word/2010/wordprocessingShape">
                    <wps:wsp>
                      <wps:cNvCnPr/>
                      <wps:spPr>
                        <a:xfrm>
                          <a:off x="0" y="0"/>
                          <a:ext cx="5615940" cy="1905"/>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0.1pt;height:0.15pt;width:442.2pt;z-index:251661312;mso-width-relative:page;mso-height-relative:page;" filled="f" stroked="t" coordsize="21600,21600" o:gfxdata="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5uTPV1AAAAAYBAAAPAAAAAAAAAAEAIAAAACIAAABkcnMvZG93bnJldi54bWxQSwEC&#10;FAAUAAAACACHTuJAHiSEh/gBAAD2AwAADgAAAAAAAAABACAAAAAjAQAAZHJzL2Uyb0RvYy54bWxQ&#10;SwUGAAAAAAYABgBZAQAAjQU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auto"/>
          <w:spacing w:val="-11"/>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-6350</wp:posOffset>
                </wp:positionV>
                <wp:extent cx="5577840" cy="6350"/>
                <wp:effectExtent l="0" t="0" r="0" b="0"/>
                <wp:wrapNone/>
                <wp:docPr id="3" name="直接连接符 3"/>
                <wp:cNvGraphicFramePr/>
                <a:graphic xmlns:a="http://schemas.openxmlformats.org/drawingml/2006/main">
                  <a:graphicData uri="http://schemas.microsoft.com/office/word/2010/wordprocessingShape">
                    <wps:wsp>
                      <wps:cNvCnPr/>
                      <wps:spPr>
                        <a:xfrm flipV="1">
                          <a:off x="0" y="0"/>
                          <a:ext cx="5577840" cy="635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pt;margin-top:-0.5pt;height:0.5pt;width:439.2pt;z-index:251661312;mso-width-relative:page;mso-height-relative:page;" filled="f" stroked="t" coordsize="21600,21600" o:gfxdata="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4iMwQNMAAAAEAQAADwAAAAAAAAABACAAAAAiAAAAZHJzL2Rv&#10;d25yZXYueG1sUEsBAhQAFAAAAAgAh07iQPj8sJsGAgAA/wMAAA4AAAAAAAAAAQAgAAAAIgEAAGRy&#10;cy9lMm9Eb2MueG1sUEsFBgAAAAAGAAYAWQEAAJoFA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pacing w:val="-11"/>
          <w:sz w:val="28"/>
          <w:szCs w:val="28"/>
        </w:rPr>
        <w:t>新疆生产建设兵团第七师胡杨河市生态环境局</w:t>
      </w:r>
      <w:r>
        <w:rPr>
          <w:rFonts w:hint="default" w:ascii="Times New Roman" w:hAnsi="Times New Roman" w:eastAsia="仿宋_GB2312" w:cs="Times New Roman"/>
          <w:color w:val="FF0000"/>
          <w:sz w:val="28"/>
          <w:szCs w:val="28"/>
        </w:rPr>
        <w:t xml:space="preserve"> </w: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202</w:t>
      </w:r>
      <w:r>
        <w:rPr>
          <w:rFonts w:hint="eastAsia"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年</w:t>
      </w:r>
      <w:r>
        <w:rPr>
          <w:rFonts w:hint="eastAsia"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月</w:t>
      </w:r>
      <w:r>
        <w:rPr>
          <w:rFonts w:hint="eastAsia" w:eastAsia="仿宋_GB2312" w:cs="Times New Roman"/>
          <w:color w:val="auto"/>
          <w:sz w:val="28"/>
          <w:szCs w:val="28"/>
          <w:lang w:val="en-US" w:eastAsia="zh-CN"/>
        </w:rPr>
        <w:t>17</w:t>
      </w:r>
      <w:r>
        <w:rPr>
          <w:rFonts w:hint="default" w:ascii="Times New Roman" w:hAnsi="Times New Roman" w:eastAsia="仿宋_GB2312" w:cs="Times New Roman"/>
          <w:color w:val="auto"/>
          <w:sz w:val="28"/>
          <w:szCs w:val="28"/>
        </w:rPr>
        <w:t>日印发</w:t>
      </w:r>
    </w:p>
    <w:sectPr>
      <w:headerReference r:id="rId3" w:type="default"/>
      <w:footerReference r:id="rId4" w:type="default"/>
      <w:footerReference r:id="rId5" w:type="even"/>
      <w:pgSz w:w="11906" w:h="16838"/>
      <w:pgMar w:top="2098" w:right="1474" w:bottom="1984" w:left="1587" w:header="851" w:footer="1418" w:gutter="0"/>
      <w:pgNumType w:fmt="decimal"/>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ronet">
    <w:altName w:val="微软雅黑"/>
    <w:panose1 w:val="00000000000000000000"/>
    <w:charset w:val="00"/>
    <w:family w:val="script"/>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auto"/>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66150">
    <w:pPr>
      <w:pStyle w:val="11"/>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219075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3E986">
                          <w:pPr>
                            <w:pStyle w:val="11"/>
                            <w:ind w:left="320" w:leftChars="100" w:right="320" w:rightChars="100"/>
                            <w:rPr>
                              <w:rStyle w:val="22"/>
                              <w:rFonts w:hint="eastAsia" w:ascii="仿宋_GB2312" w:eastAsia="仿宋_GB2312"/>
                              <w:b/>
                              <w:bCs/>
                              <w:sz w:val="28"/>
                              <w:szCs w:val="28"/>
                            </w:rPr>
                          </w:pPr>
                          <w:r>
                            <w:rPr>
                              <w:rStyle w:val="22"/>
                              <w:rFonts w:hint="eastAsia" w:ascii="仿宋_GB2312" w:eastAsia="仿宋_GB2312"/>
                              <w:sz w:val="28"/>
                              <w:szCs w:val="28"/>
                            </w:rPr>
                            <w:t xml:space="preserve">— </w:t>
                          </w:r>
                          <w:r>
                            <w:rPr>
                              <w:rFonts w:hint="eastAsia" w:ascii="宋体" w:hAnsi="宋体" w:eastAsia="宋体" w:cs="宋体"/>
                              <w:sz w:val="28"/>
                              <w:szCs w:val="28"/>
                            </w:rPr>
                            <w:fldChar w:fldCharType="begin"/>
                          </w:r>
                          <w:r>
                            <w:rPr>
                              <w:rStyle w:val="22"/>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22"/>
                              <w:rFonts w:hint="eastAsia" w:ascii="宋体" w:hAnsi="宋体" w:eastAsia="宋体" w:cs="宋体"/>
                              <w:sz w:val="28"/>
                              <w:szCs w:val="28"/>
                            </w:rPr>
                            <w:t>1</w:t>
                          </w:r>
                          <w:r>
                            <w:rPr>
                              <w:rFonts w:hint="eastAsia" w:ascii="宋体" w:hAnsi="宋体" w:eastAsia="宋体" w:cs="宋体"/>
                              <w:sz w:val="28"/>
                              <w:szCs w:val="28"/>
                            </w:rPr>
                            <w:fldChar w:fldCharType="end"/>
                          </w:r>
                          <w:r>
                            <w:rPr>
                              <w:rStyle w:val="22"/>
                              <w:rFonts w:hint="eastAsia" w:ascii="仿宋_GB2312" w:eastAsia="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7.25pt;height:144pt;width:144pt;mso-position-horizontal:outside;mso-position-horizontal-relative:margin;mso-wrap-style:none;z-index:251659264;mso-width-relative:page;mso-height-relative:page;" filled="f" stroked="f" coordsize="21600,21600" o:gfxdata="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F/LxMNQAAAAHAQAADwAAAAAAAAABACAAAAAiAAAAZHJzL2Rvd25yZXYueG1sUEsB&#10;AhQAFAAAAAgAh07iQLqMOCsyAgAAYQQAAA4AAAAAAAAAAQAgAAAAIwEAAGRycy9lMm9Eb2MueG1s&#10;UEsFBgAAAAAGAAYAWQEAAMcFAAAAAA==&#10;">
              <v:fill on="f" focussize="0,0"/>
              <v:stroke on="f" weight="0.5pt"/>
              <v:imagedata o:title=""/>
              <o:lock v:ext="edit" aspectratio="f"/>
              <v:textbox inset="0mm,0mm,0mm,0mm" style="mso-fit-shape-to-text:t;">
                <w:txbxContent>
                  <w:p w14:paraId="3EF3E986">
                    <w:pPr>
                      <w:pStyle w:val="11"/>
                      <w:ind w:left="320" w:leftChars="100" w:right="320" w:rightChars="100"/>
                      <w:rPr>
                        <w:rStyle w:val="22"/>
                        <w:rFonts w:hint="eastAsia" w:ascii="仿宋_GB2312" w:eastAsia="仿宋_GB2312"/>
                        <w:b/>
                        <w:bCs/>
                        <w:sz w:val="28"/>
                        <w:szCs w:val="28"/>
                      </w:rPr>
                    </w:pPr>
                    <w:r>
                      <w:rPr>
                        <w:rStyle w:val="22"/>
                        <w:rFonts w:hint="eastAsia" w:ascii="仿宋_GB2312" w:eastAsia="仿宋_GB2312"/>
                        <w:sz w:val="28"/>
                        <w:szCs w:val="28"/>
                      </w:rPr>
                      <w:t xml:space="preserve">— </w:t>
                    </w:r>
                    <w:r>
                      <w:rPr>
                        <w:rFonts w:hint="eastAsia" w:ascii="宋体" w:hAnsi="宋体" w:eastAsia="宋体" w:cs="宋体"/>
                        <w:sz w:val="28"/>
                        <w:szCs w:val="28"/>
                      </w:rPr>
                      <w:fldChar w:fldCharType="begin"/>
                    </w:r>
                    <w:r>
                      <w:rPr>
                        <w:rStyle w:val="22"/>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22"/>
                        <w:rFonts w:hint="eastAsia" w:ascii="宋体" w:hAnsi="宋体" w:eastAsia="宋体" w:cs="宋体"/>
                        <w:sz w:val="28"/>
                        <w:szCs w:val="28"/>
                      </w:rPr>
                      <w:t>1</w:t>
                    </w:r>
                    <w:r>
                      <w:rPr>
                        <w:rFonts w:hint="eastAsia" w:ascii="宋体" w:hAnsi="宋体" w:eastAsia="宋体" w:cs="宋体"/>
                        <w:sz w:val="28"/>
                        <w:szCs w:val="28"/>
                      </w:rPr>
                      <w:fldChar w:fldCharType="end"/>
                    </w:r>
                    <w:r>
                      <w:rPr>
                        <w:rStyle w:val="22"/>
                        <w:rFonts w:hint="eastAsia" w:ascii="仿宋_GB2312" w:eastAsia="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7F3F2">
    <w:pPr>
      <w:pStyle w:val="11"/>
      <w:framePr w:wrap="around" w:vAnchor="text" w:hAnchor="margin" w:xAlign="outside" w:y="1"/>
      <w:rPr>
        <w:rStyle w:val="22"/>
      </w:rPr>
    </w:pPr>
    <w:r>
      <w:fldChar w:fldCharType="begin"/>
    </w:r>
    <w:r>
      <w:rPr>
        <w:rStyle w:val="22"/>
      </w:rPr>
      <w:instrText xml:space="preserve">PAGE  </w:instrText>
    </w:r>
    <w:r>
      <w:fldChar w:fldCharType="separate"/>
    </w:r>
    <w:r>
      <w:rPr>
        <w:rStyle w:val="22"/>
      </w:rPr>
      <w:t>1</w:t>
    </w:r>
    <w:r>
      <w:fldChar w:fldCharType="end"/>
    </w:r>
  </w:p>
  <w:p w14:paraId="0475D362">
    <w:pPr>
      <w:pStyle w:val="11"/>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9CAC5">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401AFB"/>
    <w:multiLevelType w:val="multilevel"/>
    <w:tmpl w:val="7F401AFB"/>
    <w:lvl w:ilvl="0" w:tentative="0">
      <w:start w:val="1"/>
      <w:numFmt w:val="decimal"/>
      <w:pStyle w:val="2"/>
      <w:suff w:val="space"/>
      <w:lvlText w:val="%1"/>
      <w:lvlJc w:val="center"/>
      <w:pPr>
        <w:ind w:left="0" w:firstLine="0"/>
      </w:pPr>
      <w:rPr>
        <w:rFonts w:hint="default" w:ascii="Times New Roman" w:hAnsi="Times New Roman" w:eastAsia="宋体"/>
        <w:b/>
        <w:i w:val="0"/>
        <w:caps w:val="0"/>
        <w:strike w:val="0"/>
        <w:dstrike w:val="0"/>
        <w:vanish w:val="0"/>
        <w:color w:val="auto"/>
        <w:sz w:val="28"/>
        <w:szCs w:val="32"/>
        <w:u w:val="none"/>
        <w:vertAlign w:val="baseline"/>
      </w:rPr>
    </w:lvl>
    <w:lvl w:ilvl="1" w:tentative="0">
      <w:start w:val="1"/>
      <w:numFmt w:val="decimal"/>
      <w:isLgl/>
      <w:suff w:val="space"/>
      <w:lvlText w:val="%1.%2"/>
      <w:lvlJc w:val="left"/>
      <w:pPr>
        <w:ind w:left="0" w:firstLine="0"/>
      </w:pPr>
      <w:rPr>
        <w:rFonts w:hint="default" w:ascii="Times New Roman" w:hAnsi="Times New Roman" w:eastAsia="宋体"/>
        <w:b/>
        <w:i w:val="0"/>
        <w:caps w:val="0"/>
        <w:smallCaps w:val="0"/>
        <w:strike w:val="0"/>
        <w:dstrike w:val="0"/>
        <w:vanish w:val="0"/>
        <w:spacing w:val="0"/>
        <w:position w:val="0"/>
        <w:sz w:val="24"/>
        <w:u w:val="none"/>
        <w:vertAlign w:val="baseline"/>
      </w:rPr>
    </w:lvl>
    <w:lvl w:ilvl="2" w:tentative="0">
      <w:start w:val="1"/>
      <w:numFmt w:val="decimal"/>
      <w:suff w:val="space"/>
      <w:lvlText w:val="%1.%2.%3"/>
      <w:lvlJc w:val="left"/>
      <w:pPr>
        <w:ind w:left="280" w:firstLine="0"/>
      </w:pPr>
      <w:rPr>
        <w:rFonts w:hint="default" w:ascii="Times New Roman" w:hAnsi="Times New Roman" w:eastAsia="宋体"/>
        <w:b w:val="0"/>
        <w:i w:val="0"/>
        <w:caps w:val="0"/>
        <w:strike w:val="0"/>
        <w:dstrike w:val="0"/>
        <w:vanish w:val="0"/>
        <w:color w:val="auto"/>
        <w:sz w:val="24"/>
        <w:szCs w:val="28"/>
        <w:u w:val="none"/>
        <w:vertAlign w:val="baseline"/>
      </w:rPr>
    </w:lvl>
    <w:lvl w:ilvl="3" w:tentative="0">
      <w:start w:val="1"/>
      <w:numFmt w:val="decimal"/>
      <w:isLgl/>
      <w:suff w:val="space"/>
      <w:lvlText w:val="%1.%2.%3.%4"/>
      <w:lvlJc w:val="left"/>
      <w:pPr>
        <w:ind w:left="0" w:firstLine="0"/>
      </w:pPr>
      <w:rPr>
        <w:rFonts w:hint="default" w:ascii="Times New Roman" w:hAnsi="Times New Roman" w:eastAsia="宋体" w:cs="Coronet"/>
        <w:b w:val="0"/>
        <w:bCs w:val="0"/>
        <w:i w:val="0"/>
        <w:iCs w:val="0"/>
        <w:caps w:val="0"/>
        <w:smallCaps w:val="0"/>
        <w:strike w:val="0"/>
        <w:dstrike w:val="0"/>
        <w:vanish w:val="0"/>
        <w:spacing w:val="0"/>
        <w:kern w:val="0"/>
        <w:position w:val="0"/>
        <w:u w:val="none"/>
        <w:vertAlign w:val="baseline"/>
        <w:lang w:val="en-US"/>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1NzQzYjNhYTE2OGQ5MDI4ZjFiOTZkOTM2ZTYxYzcifQ=="/>
    <w:docVar w:name="KSO_WPS_MARK_KEY" w:val="d26b9c51-6e15-4a45-9ce6-093b6e674425"/>
  </w:docVars>
  <w:rsids>
    <w:rsidRoot w:val="007E248D"/>
    <w:rsid w:val="003C56A9"/>
    <w:rsid w:val="004964B4"/>
    <w:rsid w:val="004E2243"/>
    <w:rsid w:val="00551627"/>
    <w:rsid w:val="00667BE7"/>
    <w:rsid w:val="006E0941"/>
    <w:rsid w:val="00716EAB"/>
    <w:rsid w:val="007E248D"/>
    <w:rsid w:val="008833E6"/>
    <w:rsid w:val="008E7DDF"/>
    <w:rsid w:val="009102E5"/>
    <w:rsid w:val="009C6F11"/>
    <w:rsid w:val="00B8473B"/>
    <w:rsid w:val="00BB7897"/>
    <w:rsid w:val="00C43B00"/>
    <w:rsid w:val="00C514AC"/>
    <w:rsid w:val="00C823C4"/>
    <w:rsid w:val="00D003EC"/>
    <w:rsid w:val="00D774FB"/>
    <w:rsid w:val="00DC26F3"/>
    <w:rsid w:val="00DE4A81"/>
    <w:rsid w:val="00EC6E6C"/>
    <w:rsid w:val="00F617BE"/>
    <w:rsid w:val="00FB12F8"/>
    <w:rsid w:val="01913DF5"/>
    <w:rsid w:val="02370362"/>
    <w:rsid w:val="02B04EBD"/>
    <w:rsid w:val="03752488"/>
    <w:rsid w:val="046775AC"/>
    <w:rsid w:val="04B77D73"/>
    <w:rsid w:val="04FE094C"/>
    <w:rsid w:val="05207129"/>
    <w:rsid w:val="05737345"/>
    <w:rsid w:val="06281A38"/>
    <w:rsid w:val="06C71389"/>
    <w:rsid w:val="06CC7B06"/>
    <w:rsid w:val="07061550"/>
    <w:rsid w:val="07E14CFA"/>
    <w:rsid w:val="081F0F86"/>
    <w:rsid w:val="08EC6D80"/>
    <w:rsid w:val="09150170"/>
    <w:rsid w:val="0994708F"/>
    <w:rsid w:val="09E77F18"/>
    <w:rsid w:val="0A1B1122"/>
    <w:rsid w:val="0BBC2B25"/>
    <w:rsid w:val="0BC649E1"/>
    <w:rsid w:val="0C7E602C"/>
    <w:rsid w:val="0CE57E5A"/>
    <w:rsid w:val="0E130163"/>
    <w:rsid w:val="0E7B0A75"/>
    <w:rsid w:val="0EDB59B8"/>
    <w:rsid w:val="0F0F11BE"/>
    <w:rsid w:val="0FE304CE"/>
    <w:rsid w:val="128F6BA3"/>
    <w:rsid w:val="12C7072D"/>
    <w:rsid w:val="141E2CF7"/>
    <w:rsid w:val="151B7857"/>
    <w:rsid w:val="15437E13"/>
    <w:rsid w:val="165C227D"/>
    <w:rsid w:val="16733296"/>
    <w:rsid w:val="16B800EE"/>
    <w:rsid w:val="16E15B36"/>
    <w:rsid w:val="16F05D79"/>
    <w:rsid w:val="177121A0"/>
    <w:rsid w:val="17D3547E"/>
    <w:rsid w:val="18A773D4"/>
    <w:rsid w:val="18C9062F"/>
    <w:rsid w:val="19A10D50"/>
    <w:rsid w:val="1A0C111B"/>
    <w:rsid w:val="1A597231"/>
    <w:rsid w:val="1B385372"/>
    <w:rsid w:val="1D8B05A9"/>
    <w:rsid w:val="1E460B4D"/>
    <w:rsid w:val="1E7948A6"/>
    <w:rsid w:val="1F7532BF"/>
    <w:rsid w:val="203531CA"/>
    <w:rsid w:val="205C4B20"/>
    <w:rsid w:val="20783D41"/>
    <w:rsid w:val="21162F81"/>
    <w:rsid w:val="21DD6837"/>
    <w:rsid w:val="2250591D"/>
    <w:rsid w:val="232E3EB1"/>
    <w:rsid w:val="233D7B4C"/>
    <w:rsid w:val="23D22A8E"/>
    <w:rsid w:val="23DC56BB"/>
    <w:rsid w:val="23E10AC4"/>
    <w:rsid w:val="24057B5F"/>
    <w:rsid w:val="24696853"/>
    <w:rsid w:val="24765B0F"/>
    <w:rsid w:val="247C78BD"/>
    <w:rsid w:val="250B5DC7"/>
    <w:rsid w:val="256C6F12"/>
    <w:rsid w:val="25B11864"/>
    <w:rsid w:val="260C6FC7"/>
    <w:rsid w:val="266546C4"/>
    <w:rsid w:val="291034DE"/>
    <w:rsid w:val="2B066B68"/>
    <w:rsid w:val="2B665A9B"/>
    <w:rsid w:val="2BA03F96"/>
    <w:rsid w:val="2C2240F7"/>
    <w:rsid w:val="2DFB7085"/>
    <w:rsid w:val="2F130EE6"/>
    <w:rsid w:val="2F1F6DA3"/>
    <w:rsid w:val="2F234AE5"/>
    <w:rsid w:val="2F2B3664"/>
    <w:rsid w:val="2F306B60"/>
    <w:rsid w:val="2F57653D"/>
    <w:rsid w:val="2FEE4162"/>
    <w:rsid w:val="301A5EE8"/>
    <w:rsid w:val="31857392"/>
    <w:rsid w:val="32C5491C"/>
    <w:rsid w:val="331F7372"/>
    <w:rsid w:val="358F67ED"/>
    <w:rsid w:val="35927151"/>
    <w:rsid w:val="369167D9"/>
    <w:rsid w:val="371F1D45"/>
    <w:rsid w:val="37A75B88"/>
    <w:rsid w:val="38207142"/>
    <w:rsid w:val="38453BBB"/>
    <w:rsid w:val="396C7089"/>
    <w:rsid w:val="39A14787"/>
    <w:rsid w:val="39A80255"/>
    <w:rsid w:val="3A783EEF"/>
    <w:rsid w:val="3AE72E6B"/>
    <w:rsid w:val="3BAC6099"/>
    <w:rsid w:val="3C25479F"/>
    <w:rsid w:val="3C814BF9"/>
    <w:rsid w:val="3D2A7F67"/>
    <w:rsid w:val="3D7076AF"/>
    <w:rsid w:val="3DD64512"/>
    <w:rsid w:val="3E322D18"/>
    <w:rsid w:val="3E7569E0"/>
    <w:rsid w:val="3E900D0A"/>
    <w:rsid w:val="3EC1562C"/>
    <w:rsid w:val="3F0E35AF"/>
    <w:rsid w:val="3F4E158E"/>
    <w:rsid w:val="40600DAE"/>
    <w:rsid w:val="407209E5"/>
    <w:rsid w:val="4419237E"/>
    <w:rsid w:val="45D948F4"/>
    <w:rsid w:val="46F24DE3"/>
    <w:rsid w:val="474D04FA"/>
    <w:rsid w:val="47587B93"/>
    <w:rsid w:val="47D76015"/>
    <w:rsid w:val="47E96F77"/>
    <w:rsid w:val="4812529F"/>
    <w:rsid w:val="48776584"/>
    <w:rsid w:val="4936052D"/>
    <w:rsid w:val="493F20C4"/>
    <w:rsid w:val="4970227E"/>
    <w:rsid w:val="4A1609FB"/>
    <w:rsid w:val="4AB55994"/>
    <w:rsid w:val="4B9F5BD0"/>
    <w:rsid w:val="4CBF17F2"/>
    <w:rsid w:val="4CCA458A"/>
    <w:rsid w:val="4F0E67C1"/>
    <w:rsid w:val="4FFE5147"/>
    <w:rsid w:val="50C2181E"/>
    <w:rsid w:val="50CC6933"/>
    <w:rsid w:val="50CD705E"/>
    <w:rsid w:val="51134562"/>
    <w:rsid w:val="52E568E7"/>
    <w:rsid w:val="532B39C5"/>
    <w:rsid w:val="54231BA0"/>
    <w:rsid w:val="54817A35"/>
    <w:rsid w:val="54CF69F2"/>
    <w:rsid w:val="550F6DEF"/>
    <w:rsid w:val="55F52488"/>
    <w:rsid w:val="562D5084"/>
    <w:rsid w:val="56B572CC"/>
    <w:rsid w:val="56E16569"/>
    <w:rsid w:val="56F42E4F"/>
    <w:rsid w:val="596F60AE"/>
    <w:rsid w:val="5A605F4A"/>
    <w:rsid w:val="5A885A96"/>
    <w:rsid w:val="5AA77AC9"/>
    <w:rsid w:val="5B637E94"/>
    <w:rsid w:val="5B9C5154"/>
    <w:rsid w:val="5BF921B1"/>
    <w:rsid w:val="5C1B42CB"/>
    <w:rsid w:val="5CB62246"/>
    <w:rsid w:val="5CBD2518"/>
    <w:rsid w:val="5D8B722E"/>
    <w:rsid w:val="5EF808F3"/>
    <w:rsid w:val="609006D2"/>
    <w:rsid w:val="610E0E65"/>
    <w:rsid w:val="61241E74"/>
    <w:rsid w:val="63D83CD1"/>
    <w:rsid w:val="63F87D72"/>
    <w:rsid w:val="64C86FBA"/>
    <w:rsid w:val="652E506F"/>
    <w:rsid w:val="654C1999"/>
    <w:rsid w:val="660E4EA0"/>
    <w:rsid w:val="66270550"/>
    <w:rsid w:val="66A60DD7"/>
    <w:rsid w:val="66BE66CF"/>
    <w:rsid w:val="677F3533"/>
    <w:rsid w:val="68991CEA"/>
    <w:rsid w:val="6A2C3B47"/>
    <w:rsid w:val="6AC439C0"/>
    <w:rsid w:val="6ADC4BA2"/>
    <w:rsid w:val="6B762AC2"/>
    <w:rsid w:val="6B997D40"/>
    <w:rsid w:val="6C054650"/>
    <w:rsid w:val="6C4C04D0"/>
    <w:rsid w:val="6C711CE5"/>
    <w:rsid w:val="6D272415"/>
    <w:rsid w:val="6D561607"/>
    <w:rsid w:val="6D904215"/>
    <w:rsid w:val="6E7D6F40"/>
    <w:rsid w:val="6E8623AE"/>
    <w:rsid w:val="6F065AB6"/>
    <w:rsid w:val="70205EFC"/>
    <w:rsid w:val="70787AE6"/>
    <w:rsid w:val="71535E5D"/>
    <w:rsid w:val="721320EC"/>
    <w:rsid w:val="73323C81"/>
    <w:rsid w:val="734D62FA"/>
    <w:rsid w:val="73510DAC"/>
    <w:rsid w:val="7388211F"/>
    <w:rsid w:val="745A0337"/>
    <w:rsid w:val="748F3650"/>
    <w:rsid w:val="754C0619"/>
    <w:rsid w:val="76DD68F5"/>
    <w:rsid w:val="76FA7D0E"/>
    <w:rsid w:val="77B21B30"/>
    <w:rsid w:val="780167E7"/>
    <w:rsid w:val="780A371A"/>
    <w:rsid w:val="786F7A21"/>
    <w:rsid w:val="79621333"/>
    <w:rsid w:val="798C319D"/>
    <w:rsid w:val="79A731EA"/>
    <w:rsid w:val="79E166FC"/>
    <w:rsid w:val="79F35C8E"/>
    <w:rsid w:val="7A85778D"/>
    <w:rsid w:val="7BA55F94"/>
    <w:rsid w:val="7C460A98"/>
    <w:rsid w:val="7CE3278B"/>
    <w:rsid w:val="7D155CFE"/>
    <w:rsid w:val="7D4B4C50"/>
    <w:rsid w:val="7D7B4DE1"/>
    <w:rsid w:val="7EB24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39" w:semiHidden="0" w:name="toc 9"/>
    <w:lsdException w:qFormat="1"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paragraph" w:styleId="2">
    <w:name w:val="heading 1"/>
    <w:basedOn w:val="1"/>
    <w:next w:val="1"/>
    <w:qFormat/>
    <w:uiPriority w:val="0"/>
    <w:pPr>
      <w:keepNext/>
      <w:keepLines/>
      <w:numPr>
        <w:ilvl w:val="0"/>
        <w:numId w:val="1"/>
      </w:numPr>
      <w:outlineLvl w:val="0"/>
    </w:pPr>
    <w:rPr>
      <w:b/>
      <w:kern w:val="0"/>
      <w:sz w:val="28"/>
      <w:szCs w:val="28"/>
    </w:rPr>
  </w:style>
  <w:style w:type="paragraph" w:styleId="3">
    <w:name w:val="heading 2"/>
    <w:basedOn w:val="1"/>
    <w:next w:val="1"/>
    <w:qFormat/>
    <w:uiPriority w:val="0"/>
    <w:pPr>
      <w:keepNext/>
      <w:keepLines/>
      <w:widowControl w:val="0"/>
      <w:spacing w:before="50" w:beforeLines="50" w:after="50" w:afterLines="50" w:line="560" w:lineRule="exact"/>
      <w:ind w:firstLine="640" w:firstLineChars="200"/>
      <w:outlineLvl w:val="1"/>
    </w:pPr>
    <w:rPr>
      <w:rFonts w:ascii="仿宋" w:hAnsi="宋体" w:eastAsia="楷体" w:cs="仿宋"/>
      <w:b/>
      <w:bCs/>
      <w:kern w:val="2"/>
      <w:sz w:val="36"/>
      <w:szCs w:val="32"/>
      <w:lang w:val="en-US" w:eastAsia="zh-CN" w:bidi="ar-SA"/>
    </w:rPr>
  </w:style>
  <w:style w:type="paragraph" w:styleId="4">
    <w:name w:val="heading 3"/>
    <w:basedOn w:val="1"/>
    <w:next w:val="1"/>
    <w:qFormat/>
    <w:uiPriority w:val="0"/>
    <w:pPr>
      <w:keepNext/>
      <w:keepLines/>
      <w:spacing w:line="360" w:lineRule="auto"/>
      <w:ind w:firstLine="200" w:firstLineChars="200"/>
      <w:outlineLvl w:val="2"/>
    </w:pPr>
    <w:rPr>
      <w:bCs/>
      <w:szCs w:val="28"/>
    </w:rPr>
  </w:style>
  <w:style w:type="character" w:default="1" w:styleId="21">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宋体" w:hAnsi="宋体"/>
    </w:rPr>
  </w:style>
  <w:style w:type="paragraph" w:styleId="6">
    <w:name w:val="index 5"/>
    <w:basedOn w:val="1"/>
    <w:next w:val="1"/>
    <w:qFormat/>
    <w:uiPriority w:val="0"/>
    <w:pPr>
      <w:ind w:left="800" w:leftChars="800"/>
    </w:pPr>
  </w:style>
  <w:style w:type="paragraph" w:styleId="7">
    <w:name w:val="Body Text"/>
    <w:basedOn w:val="1"/>
    <w:qFormat/>
    <w:uiPriority w:val="0"/>
    <w:rPr>
      <w:rFonts w:eastAsia="华文中宋"/>
      <w:b/>
      <w:bCs/>
      <w:w w:val="90"/>
      <w:sz w:val="44"/>
    </w:rPr>
  </w:style>
  <w:style w:type="paragraph" w:styleId="8">
    <w:name w:val="Body Text Indent"/>
    <w:basedOn w:val="1"/>
    <w:next w:val="7"/>
    <w:qFormat/>
    <w:uiPriority w:val="0"/>
    <w:pPr>
      <w:spacing w:after="120"/>
      <w:ind w:left="420" w:leftChars="200"/>
    </w:pPr>
  </w:style>
  <w:style w:type="paragraph" w:styleId="9">
    <w:name w:val="Block Text"/>
    <w:basedOn w:val="1"/>
    <w:next w:val="10"/>
    <w:qFormat/>
    <w:uiPriority w:val="99"/>
    <w:pPr>
      <w:spacing w:line="480" w:lineRule="exact"/>
      <w:ind w:left="-125" w:right="-56" w:firstLine="570"/>
    </w:pPr>
    <w:rPr>
      <w:sz w:val="28"/>
      <w:szCs w:val="24"/>
    </w:rPr>
  </w:style>
  <w:style w:type="paragraph" w:styleId="10">
    <w:name w:val="toc 9"/>
    <w:basedOn w:val="1"/>
    <w:next w:val="1"/>
    <w:qFormat/>
    <w:uiPriority w:val="39"/>
    <w:pPr>
      <w:jc w:val="center"/>
    </w:pPr>
    <w:rPr>
      <w:sz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rPr>
  </w:style>
  <w:style w:type="paragraph" w:styleId="13">
    <w:name w:val="index heading"/>
    <w:basedOn w:val="1"/>
    <w:next w:val="14"/>
    <w:qFormat/>
    <w:uiPriority w:val="0"/>
    <w:pPr>
      <w:widowControl/>
      <w:jc w:val="left"/>
    </w:pPr>
    <w:rPr>
      <w:rFonts w:ascii="Arial" w:hAnsi="Arial" w:cs="Arial"/>
      <w:b/>
      <w:bCs/>
      <w:kern w:val="0"/>
      <w:sz w:val="24"/>
    </w:rPr>
  </w:style>
  <w:style w:type="paragraph" w:styleId="14">
    <w:name w:val="index 1"/>
    <w:basedOn w:val="1"/>
    <w:next w:val="1"/>
    <w:qFormat/>
    <w:uiPriority w:val="0"/>
    <w:pPr>
      <w:spacing w:line="360" w:lineRule="auto"/>
      <w:jc w:val="center"/>
    </w:pPr>
  </w:style>
  <w:style w:type="paragraph" w:styleId="15">
    <w:name w:val="footnote text"/>
    <w:basedOn w:val="1"/>
    <w:next w:val="6"/>
    <w:unhideWhenUsed/>
    <w:qFormat/>
    <w:uiPriority w:val="99"/>
    <w:pPr>
      <w:snapToGrid w:val="0"/>
      <w:jc w:val="left"/>
    </w:pPr>
    <w:rPr>
      <w:rFonts w:ascii="Calibri" w:hAnsi="Calibri" w:eastAsia="仿宋" w:cs="Times New Roman"/>
      <w:sz w:val="18"/>
      <w:szCs w:val="18"/>
    </w:rPr>
  </w:style>
  <w:style w:type="paragraph" w:styleId="16">
    <w:name w:val="Body Text 2"/>
    <w:basedOn w:val="1"/>
    <w:unhideWhenUsed/>
    <w:qFormat/>
    <w:uiPriority w:val="99"/>
    <w:pPr>
      <w:spacing w:after="120" w:line="480" w:lineRule="auto"/>
    </w:p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Body Text First Indent"/>
    <w:basedOn w:val="7"/>
    <w:next w:val="19"/>
    <w:unhideWhenUsed/>
    <w:qFormat/>
    <w:uiPriority w:val="0"/>
    <w:pPr>
      <w:widowControl w:val="0"/>
      <w:kinsoku/>
      <w:autoSpaceDE/>
      <w:autoSpaceDN/>
      <w:spacing w:after="120" w:line="360" w:lineRule="auto"/>
      <w:ind w:firstLine="420" w:firstLineChars="100"/>
      <w:jc w:val="both"/>
      <w:textAlignment w:val="auto"/>
    </w:pPr>
    <w:rPr>
      <w:rFonts w:ascii="Times New Roman" w:hAnsi="Times New Roman" w:cs="Times New Roman"/>
      <w:color w:val="auto"/>
      <w:kern w:val="2"/>
      <w:sz w:val="24"/>
      <w:szCs w:val="24"/>
    </w:rPr>
  </w:style>
  <w:style w:type="paragraph" w:styleId="19">
    <w:name w:val="Body Text First Indent 2"/>
    <w:basedOn w:val="8"/>
    <w:next w:val="1"/>
    <w:qFormat/>
    <w:uiPriority w:val="0"/>
    <w:pPr>
      <w:adjustRightInd w:val="0"/>
      <w:spacing w:line="360" w:lineRule="atLeast"/>
      <w:ind w:left="0" w:leftChars="0" w:firstLine="210"/>
      <w:textAlignment w:val="baseline"/>
    </w:pPr>
    <w:rPr>
      <w:sz w:val="24"/>
    </w:rPr>
  </w:style>
  <w:style w:type="character" w:styleId="22">
    <w:name w:val="page number"/>
    <w:basedOn w:val="21"/>
    <w:qFormat/>
    <w:uiPriority w:val="0"/>
  </w:style>
  <w:style w:type="paragraph" w:customStyle="1" w:styleId="23">
    <w:name w:val="Default"/>
    <w:basedOn w:val="24"/>
    <w:next w:val="1"/>
    <w:unhideWhenUsed/>
    <w:qFormat/>
    <w:uiPriority w:val="0"/>
    <w:pPr>
      <w:tabs>
        <w:tab w:val="left" w:pos="2760"/>
      </w:tabs>
      <w:autoSpaceDE w:val="0"/>
      <w:autoSpaceDN w:val="0"/>
    </w:pPr>
    <w:rPr>
      <w:rFonts w:hAnsi="宋体" w:eastAsia="宋体"/>
      <w:color w:val="000000"/>
      <w:sz w:val="24"/>
    </w:rPr>
  </w:style>
  <w:style w:type="paragraph" w:customStyle="1" w:styleId="24">
    <w:name w:val="纯文本1"/>
    <w:basedOn w:val="1"/>
    <w:qFormat/>
    <w:uiPriority w:val="0"/>
    <w:pPr>
      <w:tabs>
        <w:tab w:val="left" w:pos="2760"/>
      </w:tabs>
      <w:adjustRightInd w:val="0"/>
    </w:pPr>
    <w:rPr>
      <w:rFonts w:ascii="宋体" w:hAnsi="Courier New"/>
    </w:rPr>
  </w:style>
  <w:style w:type="paragraph" w:customStyle="1" w:styleId="25">
    <w:name w:val="表头"/>
    <w:basedOn w:val="18"/>
    <w:next w:val="1"/>
    <w:qFormat/>
    <w:uiPriority w:val="0"/>
    <w:pPr>
      <w:jc w:val="center"/>
    </w:pPr>
    <w:rPr>
      <w:rFonts w:ascii="黑体" w:eastAsia="黑体"/>
      <w:kern w:val="0"/>
    </w:rPr>
  </w:style>
  <w:style w:type="paragraph" w:customStyle="1" w:styleId="26">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 w:type="paragraph" w:customStyle="1" w:styleId="27">
    <w:name w:val="样式 首行缩进:  2 字符1"/>
    <w:basedOn w:val="1"/>
    <w:qFormat/>
    <w:uiPriority w:val="0"/>
    <w:pPr>
      <w:adjustRightInd w:val="0"/>
      <w:snapToGrid w:val="0"/>
      <w:ind w:firstLine="480"/>
    </w:pPr>
    <w:rPr>
      <w:rFonts w:cs="宋体"/>
      <w:szCs w:val="20"/>
    </w:rPr>
  </w:style>
  <w:style w:type="paragraph" w:customStyle="1" w:styleId="28">
    <w:name w:val="Char"/>
    <w:basedOn w:val="1"/>
    <w:qFormat/>
    <w:uiPriority w:val="0"/>
    <w:rPr>
      <w:rFonts w:cs="宋体"/>
      <w:sz w:val="28"/>
    </w:rPr>
  </w:style>
  <w:style w:type="paragraph" w:customStyle="1" w:styleId="29">
    <w:name w:val="YJ正文*"/>
    <w:basedOn w:val="1"/>
    <w:qFormat/>
    <w:uiPriority w:val="0"/>
    <w:pPr>
      <w:spacing w:line="500" w:lineRule="exact"/>
      <w:ind w:firstLine="200" w:firstLineChars="200"/>
      <w:jc w:val="both"/>
    </w:pPr>
    <w:rPr>
      <w:rFonts w:ascii="等线" w:hAnsi="等线" w:eastAsia="宋体"/>
      <w:sz w:val="24"/>
    </w:rPr>
  </w:style>
  <w:style w:type="paragraph" w:customStyle="1" w:styleId="30">
    <w:name w:val="表字-书"/>
    <w:basedOn w:val="1"/>
    <w:qFormat/>
    <w:uiPriority w:val="0"/>
    <w:pPr>
      <w:spacing w:line="240" w:lineRule="exact"/>
      <w:ind w:firstLine="0" w:firstLineChars="0"/>
      <w:jc w:val="center"/>
    </w:pPr>
    <w:rPr>
      <w:rFonts w:hAnsi="宋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2379</Words>
  <Characters>2562</Characters>
  <Lines>11</Lines>
  <Paragraphs>3</Paragraphs>
  <TotalTime>3</TotalTime>
  <ScaleCrop>false</ScaleCrop>
  <LinksUpToDate>false</LinksUpToDate>
  <CharactersWithSpaces>2604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2020-12-18T12:29:00Z</dcterms:created>
  <dc:creator>Administrator</dc:creator>
  <cp:lastModifiedBy>Floating dream </cp:lastModifiedBy>
  <cp:lastPrinted>2026-07-17T08:48:41Z</cp:lastPrinted>
  <dcterms:modified xsi:type="dcterms:W3CDTF">2026-07-17T08:57:34Z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79E30D8A2AFA4AAA8D781C60D69D0529_13</vt:lpwstr>
  </property>
  <property fmtid="{D5CDD505-2E9C-101B-9397-08002B2CF9AE}" pid="4" name="KSOTemplateDocerSaveRecord">
    <vt:lpwstr>eyJoZGlkIjoiODBjNzYxYmIzOWJkMDlmNzJmZjdjMmNkNDkzMGYxZDkiLCJ1c2VySWQiOiIzNjMzMTU4MzUifQ==</vt:lpwstr>
  </property>
</Properties>
</file>